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0B2545"/>
          <w:sz w:val="40"/>
          <w:szCs w:val="40"/>
        </w:rPr>
        <w:t xml:space="preserve">ETKAN</w:t>
      </w:r>
    </w:p>
    <w:p>
      <w:pPr>
        <w:spacing w:after="200"/>
      </w:pPr>
      <w:r>
        <w:rPr>
          <w:rFonts w:ascii="Calibri" w:cs="Calibri" w:eastAsia="Calibri" w:hAnsi="Calibri"/>
          <w:i/>
          <w:iCs/>
          <w:color w:val="C9972B"/>
          <w:sz w:val="20"/>
          <w:szCs w:val="20"/>
        </w:rPr>
        <w:t xml:space="preserve">Bridging the gap between engineering theory and industry practice</w:t>
      </w:r>
    </w:p>
    <w:p>
      <w:pPr>
        <w:pBdr>
          <w:bottom w:val="single" w:color="0B2545" w:sz="8" w:space="4"/>
        </w:pBdr>
        <w:spacing w:after="240"/>
      </w:pP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C9972B"/>
          <w:sz w:val="18"/>
          <w:szCs w:val="18"/>
        </w:rPr>
        <w:t xml:space="preserve">WORKSHOP PROPOSAL &amp; SYLLABUS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B2545"/>
          <w:sz w:val="36"/>
          <w:szCs w:val="36"/>
        </w:rPr>
        <w:t xml:space="preserve">The Engineering Blind Spot</w:t>
      </w:r>
    </w:p>
    <w:p>
      <w:pPr>
        <w:spacing w:after="260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What Your Mentality Is Missing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shd w:fill="F2F0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972B"/>
                <w:sz w:val="16"/>
                <w:szCs w:val="16"/>
              </w:rPr>
              <w:t xml:space="preserve">FORMAT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1 interactive session · 60–90 minutes</w:t>
            </w:r>
          </w:p>
        </w:tc>
        <w:tc>
          <w:tcPr>
            <w:tcW w:type="pct" w:w="50%"/>
            <w:shd w:fill="F2F0E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C9972B"/>
                <w:sz w:val="16"/>
                <w:szCs w:val="16"/>
              </w:rPr>
              <w:t xml:space="preserve">AUDIENCE</w:t>
            </w:r>
          </w:p>
          <w:p>
            <w:r>
              <w:rPr>
                <w:rFonts w:ascii="Calibri" w:cs="Calibri" w:eastAsia="Calibri" w:hAnsi="Calibri"/>
                <w:b/>
                <w:bCs/>
                <w:color w:val="0B2545"/>
                <w:sz w:val="21"/>
                <w:szCs w:val="21"/>
              </w:rPr>
              <w:t xml:space="preserve">Engineering students, all majors</w:t>
            </w:r>
          </w:p>
        </w:tc>
      </w:tr>
    </w:tbl>
    <w:p>
      <w:pPr>
        <w:spacing w:after="280"/>
      </w:pPr>
    </w:p>
    <w:p>
      <w:pPr>
        <w:pStyle w:val="Heading1"/>
        <w:pBdr>
          <w:bottom w:val="single" w:color="C9972B" w:sz="6" w:space="3"/>
        </w:pBdr>
        <w:spacing w:after="140" w:before="360"/>
      </w:pPr>
      <w:r>
        <w:rPr>
          <w:rFonts w:ascii="Calibri" w:cs="Calibri" w:eastAsia="Calibri" w:hAnsi="Calibri"/>
          <w:b/>
          <w:bCs/>
          <w:color w:val="0B2545"/>
          <w:sz w:val="26"/>
          <w:szCs w:val="26"/>
        </w:rPr>
        <w:t xml:space="preserve">About ETKAN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ETKAN is a Lebanon-based paraeducation program in mechatronics and industrial engineering, built to give students the real engineering experience that a purely academic track cannot provide on its own. Our instructors bring direct market and industry experience into the room, and our programs are designed around one core conviction: engineering students should graduate knowing not just how to analyze a problem, but how real engineering teams actually work.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workshop is offered as a standalone session for engineering faculties who want to give their students an early, honest look at that gap — and how to close it before graduation.</w:t>
      </w:r>
    </w:p>
    <w:p>
      <w:pPr>
        <w:pStyle w:val="Heading1"/>
        <w:pBdr>
          <w:bottom w:val="single" w:color="C9972B" w:sz="6" w:space="3"/>
        </w:pBdr>
        <w:spacing w:after="140" w:before="360"/>
      </w:pPr>
      <w:r>
        <w:rPr>
          <w:rFonts w:ascii="Calibri" w:cs="Calibri" w:eastAsia="Calibri" w:hAnsi="Calibri"/>
          <w:b/>
          <w:bCs/>
          <w:color w:val="0B2545"/>
          <w:sz w:val="26"/>
          <w:szCs w:val="26"/>
        </w:rPr>
        <w:t xml:space="preserve">The Problem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University curricula build essential theoretical foundations and analytical rigor. But most engineering students in Lebanon reach graduation without a clear picture of how that theory is actually used inside a company: how decisions get made, how time and budget constrain design, and how much of real engineering work is selection and integration rather than derivation from first principles.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The result is a blind spot — not in what students know, but in how they've been trained to think about applying it. “The Engineering Blind Spot” workshop exists to name that gap directly and give students a practical mental model for closing it.</w:t>
      </w:r>
    </w:p>
    <w:p>
      <w:pPr>
        <w:pStyle w:val="Heading1"/>
        <w:pBdr>
          <w:bottom w:val="single" w:color="C9972B" w:sz="6" w:space="3"/>
        </w:pBdr>
        <w:spacing w:after="140" w:before="360"/>
      </w:pPr>
      <w:r>
        <w:rPr>
          <w:rFonts w:ascii="Calibri" w:cs="Calibri" w:eastAsia="Calibri" w:hAnsi="Calibri"/>
          <w:b/>
          <w:bCs/>
          <w:color w:val="0B2545"/>
          <w:sz w:val="26"/>
          <w:szCs w:val="26"/>
        </w:rPr>
        <w:t xml:space="preserve">Executive Summary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While university education builds the critical theoretical foundation and analytical rigor necessary for engineering, students often lack context on how these tools operate within actual industrial workflows.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This workshop addresses the shift from academic problem-solving (deriving from first principles) to industrial problem-solving (selection, constraint management, software proficiency limits, and alignment with company Standard Operating Procedures) — what we call the shift from an analysis mentality to a selection mentality.</w:t>
      </w:r>
    </w:p>
    <w:p>
      <w:pPr>
        <w:pStyle w:val="Heading1"/>
        <w:pBdr>
          <w:bottom w:val="single" w:color="C9972B" w:sz="6" w:space="3"/>
        </w:pBdr>
        <w:spacing w:after="140" w:before="360"/>
      </w:pPr>
      <w:r>
        <w:rPr>
          <w:rFonts w:ascii="Calibri" w:cs="Calibri" w:eastAsia="Calibri" w:hAnsi="Calibri"/>
          <w:b/>
          <w:bCs/>
          <w:color w:val="0B2545"/>
          <w:sz w:val="26"/>
          <w:szCs w:val="26"/>
        </w:rPr>
        <w:t xml:space="preserve">Key Learning Objectives</w:t>
      </w:r>
    </w:p>
    <w:p>
      <w:pPr>
        <w:spacing w:after="160" w:line="30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By the end of this session, students will be able to: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Optimize Tool Mastery.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Understand the 80/20 rule of engineering tools — balancing software proficiency, calculations, and Design for Manufacturing (DFM/DFA).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Shift from Derivation to Selection.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Recognize when engineering requires original design versus when it demands component selection, system integration, and configuration.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Understand Corporate Workflows.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Learn how multi-disciplinary teams function within real-world Standard Operating Procedures (SOPs).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Strategize University Years.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Differentiate between research paths and industry paths early, to build a targeted portfolio and industrial network.</w:t>
      </w:r>
    </w:p>
    <w:p>
      <w:pPr>
        <w:pStyle w:val="Heading1"/>
        <w:pBdr>
          <w:bottom w:val="single" w:color="C9972B" w:sz="6" w:space="3"/>
        </w:pBdr>
        <w:spacing w:after="140" w:before="360"/>
      </w:pPr>
      <w:r>
        <w:rPr>
          <w:rFonts w:ascii="Calibri" w:cs="Calibri" w:eastAsia="Calibri" w:hAnsi="Calibri"/>
          <w:b/>
          <w:bCs/>
          <w:color w:val="0B2545"/>
          <w:sz w:val="26"/>
          <w:szCs w:val="26"/>
        </w:rPr>
        <w:t xml:space="preserve">Session Outline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0"/>
      </w:tblGrid>
      <w:tr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10 min</w:t>
            </w:r>
          </w:p>
        </w:tc>
        <w:tc>
          <w:tcPr>
            <w:tcW w:type="pct" w:w="8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The Blind Spot</w:t>
            </w:r>
          </w:p>
          <w:p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Framing the gap between academic and industrial problem-solving, grounded in real project examples.</w:t>
            </w:r>
          </w:p>
        </w:tc>
      </w:tr>
      <w:tr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20 min</w:t>
            </w:r>
          </w:p>
        </w:tc>
        <w:tc>
          <w:tcPr>
            <w:tcW w:type="pct" w:w="8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Selection vs. Analysis Mentality</w:t>
            </w:r>
          </w:p>
          <w:p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Live case study contrasting a first-principles derivation with an industry selection-and-integration workflow.</w:t>
            </w:r>
          </w:p>
        </w:tc>
      </w:tr>
      <w:tr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15 min</w:t>
            </w:r>
          </w:p>
        </w:tc>
        <w:tc>
          <w:tcPr>
            <w:tcW w:type="pct" w:w="8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The 80/20 of Engineering Tools</w:t>
            </w:r>
          </w:p>
          <w:p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Where software proficiency, calculation, and DFM/DFA actually carry the workload on the job.</w:t>
            </w:r>
          </w:p>
        </w:tc>
      </w:tr>
      <w:tr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15 min</w:t>
            </w:r>
          </w:p>
        </w:tc>
        <w:tc>
          <w:tcPr>
            <w:tcW w:type="pct" w:w="8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Inside a Real SOP</w:t>
            </w:r>
          </w:p>
          <w:p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How multi-disciplinary teams coordinate design, procurement, and manufacturing under a Standard Operating Procedure.</w:t>
            </w:r>
          </w:p>
        </w:tc>
      </w:tr>
      <w:tr>
        <w:tc>
          <w:tcPr>
            <w:tcW w:type="pct" w:w="18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B2545"/>
                <w:sz w:val="20"/>
                <w:szCs w:val="20"/>
              </w:rPr>
              <w:t xml:space="preserve">15–25 min</w:t>
            </w:r>
          </w:p>
        </w:tc>
        <w:tc>
          <w:tcPr>
            <w:tcW w:type="pct" w:w="82%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262626"/>
                <w:sz w:val="20"/>
                <w:szCs w:val="20"/>
              </w:rPr>
              <w:t xml:space="preserve">Mapping Your University Years</w:t>
            </w:r>
          </w:p>
          <w:p>
            <w:r>
              <w:rPr>
                <w:rFonts w:ascii="Calibri" w:cs="Calibri" w:eastAsia="Calibri" w:hAnsi="Calibri"/>
                <w:color w:val="595959"/>
                <w:sz w:val="19"/>
                <w:szCs w:val="19"/>
              </w:rPr>
              <w:t xml:space="preserve">Research track vs. industry track — building a targeted portfolio and network starting now, plus open Q&amp;A.</w:t>
            </w:r>
          </w:p>
        </w:tc>
      </w:tr>
    </w:tbl>
    <w:p>
      <w:pPr>
        <w:spacing w:after="260"/>
      </w:pPr>
    </w:p>
    <w:p>
      <w:pPr>
        <w:pStyle w:val="Heading1"/>
        <w:pBdr>
          <w:bottom w:val="single" w:color="C9972B" w:sz="6" w:space="3"/>
        </w:pBdr>
        <w:spacing w:after="140" w:before="360"/>
      </w:pPr>
      <w:r>
        <w:rPr>
          <w:rFonts w:ascii="Calibri" w:cs="Calibri" w:eastAsia="Calibri" w:hAnsi="Calibri"/>
          <w:b/>
          <w:bCs/>
          <w:color w:val="0B2545"/>
          <w:sz w:val="26"/>
          <w:szCs w:val="26"/>
        </w:rPr>
        <w:t xml:space="preserve">Why Partner with ETKAN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Practitioner-led.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Every facilitator has direct industry experience, not just teaching experience.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Cross-disciplinary by design.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Framed for Mechanical, Electrical, Computer, and Mechatronics students alike — not a single-major session.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Zero lift for the university.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Delivered as a self-contained session with no cost or setup burden on the faculty beyond a room and a projector.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b/>
          <w:bCs/>
          <w:color w:val="0B2545"/>
          <w:sz w:val="22"/>
          <w:szCs w:val="22"/>
        </w:rPr>
        <w:t xml:space="preserve">A natural next step for interested students. </w:t>
      </w:r>
      <w:r>
        <w:rPr>
          <w:rFonts w:ascii="Calibri" w:cs="Calibri" w:eastAsia="Calibri" w:hAnsi="Calibri"/>
          <w:color w:val="262626"/>
          <w:sz w:val="22"/>
          <w:szCs w:val="22"/>
        </w:rPr>
        <w:t xml:space="preserve">Can extend into ETKAN's broader mechatronics learning path for students who want to go further.</w:t>
      </w:r>
    </w:p>
    <w:p>
      <w:pPr>
        <w:pStyle w:val="Heading1"/>
        <w:pBdr>
          <w:bottom w:val="single" w:color="C9972B" w:sz="6" w:space="3"/>
        </w:pBdr>
        <w:spacing w:after="140" w:before="360"/>
      </w:pPr>
      <w:r>
        <w:rPr>
          <w:rFonts w:ascii="Calibri" w:cs="Calibri" w:eastAsia="Calibri" w:hAnsi="Calibri"/>
          <w:b/>
          <w:bCs/>
          <w:color w:val="0B2545"/>
          <w:sz w:val="26"/>
          <w:szCs w:val="26"/>
        </w:rPr>
        <w:t xml:space="preserve">Logistics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A classroom or lecture hall with a projector/screen and audio for 30–100 students.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60–90 minutes, scheduled at the faculty's convenience — ideally within regular class or seminar hours.</w:t>
      </w:r>
    </w:p>
    <w:p>
      <w:pPr>
        <w:pStyle w:val="ListParagraph"/>
        <w:numPr>
          <w:ilvl w:val="0"/>
          <w:numId w:val="2"/>
        </w:numPr>
        <w:spacing w:after="100" w:line="280"/>
      </w:pPr>
      <w:r>
        <w:rPr>
          <w:rFonts w:ascii="Calibri" w:cs="Calibri" w:eastAsia="Calibri" w:hAnsi="Calibri"/>
          <w:color w:val="262626"/>
          <w:sz w:val="22"/>
          <w:szCs w:val="22"/>
        </w:rPr>
        <w:t xml:space="preserve">ETKAN provides all materials and facilitation; no cost to the university for this session.</w:t>
      </w:r>
    </w:p>
    <w:p>
      <w:pPr>
        <w:pBdr>
          <w:bottom w:val="single" w:color="0B2545" w:sz="8" w:space="4"/>
        </w:pBdr>
        <w:spacing w:after="240"/>
      </w:pPr>
    </w:p>
    <w:p>
      <w:pPr>
        <w:spacing w:after="40"/>
      </w:pPr>
      <w:r>
        <w:rPr>
          <w:rFonts w:ascii="Calibri" w:cs="Calibri" w:eastAsia="Calibri" w:hAnsi="Calibri"/>
          <w:b/>
          <w:bCs/>
          <w:color w:val="0B2545"/>
          <w:sz w:val="20"/>
          <w:szCs w:val="20"/>
        </w:rPr>
        <w:t xml:space="preserve">ETKAN</w:t>
      </w:r>
    </w:p>
    <w:p>
      <w:r>
        <w:rPr>
          <w:rFonts w:ascii="Calibri" w:cs="Calibri" w:eastAsia="Calibri" w:hAnsi="Calibri"/>
          <w:color w:val="595959"/>
          <w:sz w:val="18"/>
          <w:szCs w:val="18"/>
        </w:rPr>
        <w:t xml:space="preserve">Ali Rida Lezzaik  ·  ali.lezzaik@etkan.org  ·  81 960 475  ·  etkan.org</w:t>
      </w: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03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2026-09-22T10:22:27.484Z</dcterms:created>
  <dcterms:modified xsi:type="dcterms:W3CDTF">2026-09-22T10:22:27.492Z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