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Annex</w:t>
      </w:r>
      <w:r>
        <w:t xml:space="preserve"> </w:t>
      </w:r>
      <w:r>
        <w:t xml:space="preserve">IV-Style</w:t>
      </w:r>
      <w:r>
        <w:t xml:space="preserve"> </w:t>
      </w:r>
      <w:r>
        <w:t xml:space="preserve">Technical</w:t>
      </w:r>
      <w:r>
        <w:t xml:space="preserve"> </w:t>
      </w:r>
      <w:r>
        <w:t xml:space="preserve">Documentation</w:t>
      </w:r>
      <w:r>
        <w:t xml:space="preserve"> </w:t>
      </w:r>
      <w:r>
        <w:t xml:space="preserve">Summary:</w:t>
      </w:r>
      <w:r>
        <w:t xml:space="preserve"> </w:t>
      </w:r>
      <w:r>
        <w:t xml:space="preserve">Positional-Encoding</w:t>
      </w:r>
      <w:r>
        <w:t xml:space="preserve"> </w:t>
      </w:r>
      <w:r>
        <w:t xml:space="preserve">Ablation</w:t>
      </w:r>
      <w:r>
        <w:t xml:space="preserve"> </w:t>
      </w:r>
      <w:r>
        <w:t xml:space="preserve">for</w:t>
      </w:r>
      <w:r>
        <w:t xml:space="preserve"> </w:t>
      </w:r>
      <w:r>
        <w:t xml:space="preserve">Hourly</w:t>
      </w:r>
      <w:r>
        <w:t xml:space="preserve"> </w:t>
      </w:r>
      <w:r>
        <w:t xml:space="preserve">Electricity-Demand</w:t>
      </w:r>
      <w:r>
        <w:t xml:space="preserve"> </w:t>
      </w:r>
      <w:r>
        <w:t xml:space="preserve">Forecasting</w:t>
      </w:r>
    </w:p>
    <w:p>
      <w:pPr>
        <w:pStyle w:val="Subtitle"/>
      </w:pPr>
      <w:r>
        <w:t xml:space="preserve">CST</w:t>
      </w:r>
      <w:r>
        <w:t xml:space="preserve"> </w:t>
      </w:r>
      <w:r>
        <w:t xml:space="preserve">627</w:t>
      </w:r>
      <w:r>
        <w:t xml:space="preserve"> </w:t>
      </w:r>
      <w:r>
        <w:t xml:space="preserve">Week</w:t>
      </w:r>
      <w:r>
        <w:t xml:space="preserve"> </w:t>
      </w:r>
      <w:r>
        <w:t xml:space="preserve">7</w:t>
      </w:r>
      <w:r>
        <w:t xml:space="preserve"> </w:t>
      </w:r>
      <w:r>
        <w:t xml:space="preserve">capstone.</w:t>
      </w:r>
      <w:r>
        <w:t xml:space="preserve"> </w:t>
      </w:r>
      <w:r>
        <w:t xml:space="preserve">Academic</w:t>
      </w:r>
      <w:r>
        <w:t xml:space="preserve"> </w:t>
      </w:r>
      <w:r>
        <w:t xml:space="preserve">exercise,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assessment.</w:t>
      </w:r>
    </w:p>
    <w:bookmarkStart w:id="20" w:name="what-this-document-is-and-what-it-is-not"/>
    <w:p>
      <w:pPr>
        <w:pStyle w:val="Heading2"/>
      </w:pPr>
      <w:r>
        <w:t xml:space="preserve">0. What this document is, and what it is not</w:t>
      </w:r>
    </w:p>
    <w:p>
      <w:pPr>
        <w:pStyle w:val="FirstParagraph"/>
      </w:pPr>
      <w:r>
        <w:t xml:space="preserve">This is an academic exercise. It organises the evidence from a small forecasting experiment using the headings that</w:t>
      </w:r>
      <w:r>
        <w:t xml:space="preserve"> </w:t>
      </w:r>
      <w:r>
        <w:t xml:space="preserve">Annex IV of Regulation (EU) 2024/1689 sets for technical documentation under Article 11.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completed</w:t>
      </w:r>
      <w:r>
        <w:t xml:space="preserve"> </w:t>
      </w:r>
      <w:r>
        <w:t xml:space="preserve">conformity assessment. No system was placed on the market or put into service. No EU declaration of conformity, notified-body</w:t>
      </w:r>
      <w:r>
        <w:t xml:space="preserve"> </w:t>
      </w:r>
      <w:r>
        <w:t xml:space="preserve">review, quality management system or post-market monitoring plan exists, and none is claimed.</w:t>
      </w:r>
    </w:p>
    <w:p>
      <w:pPr>
        <w:pStyle w:val="BodyText"/>
      </w:pPr>
      <w:r>
        <w:rPr>
          <w:bCs/>
          <w:b/>
        </w:rPr>
        <w:t xml:space="preserve">Sourcing.</w:t>
      </w:r>
      <w:r>
        <w:t xml:space="preserve"> </w:t>
      </w:r>
      <w:r>
        <w:t xml:space="preserve">The Annex IV headings and the Article 11 requirement used here come from a secondary summary of the</w:t>
      </w:r>
      <w:r>
        <w:t xml:space="preserve"> </w:t>
      </w:r>
      <w:r>
        <w:t xml:space="preserve">Regulation supplied for this assignment, not from the Official Journal text, which I could not open from my working</w:t>
      </w:r>
      <w:r>
        <w:t xml:space="preserve"> </w:t>
      </w:r>
      <w:r>
        <w:t xml:space="preserve">environment. Before submission, each heading and the Article 11(1) wording should be checked against the Regulation on</w:t>
      </w:r>
      <w:r>
        <w:t xml:space="preserve"> </w:t>
      </w:r>
      <w:r>
        <w:t xml:space="preserve">EUR-Lex. Application dates and amending acts are left out because they do not affect this exercise and I could not verify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bCs/>
          <w:b/>
        </w:rPr>
        <w:t xml:space="preserve">Classification assumption.</w:t>
      </w:r>
      <w:r>
        <w:t xml:space="preserve"> </w:t>
      </w:r>
      <w:r>
        <w:t xml:space="preserve">Annex IV applies to providers of high-risk systems, so the first step in a real file is</w:t>
      </w:r>
      <w:r>
        <w:t xml:space="preserve"> </w:t>
      </w:r>
      <w:r>
        <w:t xml:space="preserve">classification under Article 6. I have not done that analysis against the Regulation’s text. This exercise treats the</w:t>
      </w:r>
      <w:r>
        <w:t xml:space="preserve"> </w:t>
      </w:r>
      <w:r>
        <w:t xml:space="preserve">forecaster as if it were a candidate high-risk system, for example one feeding grid operations planning, because that</w:t>
      </w:r>
      <w:r>
        <w:t xml:space="preserve"> </w:t>
      </w:r>
      <w:r>
        <w:t xml:space="preserve">use gives the documentation a purpose. A load forecaster used only for planning may well fall outside the high-risk</w:t>
      </w:r>
      <w:r>
        <w:t xml:space="preserve"> </w:t>
      </w:r>
      <w:r>
        <w:t xml:space="preserve">categories. That question stays open here.</w:t>
      </w:r>
    </w:p>
    <w:bookmarkEnd w:id="20"/>
    <w:bookmarkStart w:id="21" w:name="X07dde7df50f3a3c44ad3253515bece9a7e11b2d"/>
    <w:p>
      <w:pPr>
        <w:pStyle w:val="Heading2"/>
      </w:pPr>
      <w:r>
        <w:t xml:space="preserve">1. Purpose and general description (Annex IV, section 1)</w:t>
      </w:r>
    </w:p>
    <w:p>
      <w:pPr>
        <w:pStyle w:val="FirstParagraph"/>
      </w:pPr>
      <w:r>
        <w:rPr>
          <w:bCs/>
          <w:b/>
        </w:rPr>
        <w:t xml:space="preserve">Intended purpose of the study.</w:t>
      </w:r>
      <w:r>
        <w:t xml:space="preserve"> </w:t>
      </w:r>
      <w:r>
        <w:t xml:space="preserve">To decide whether the positional encoding of a small time-series transformer should be</w:t>
      </w:r>
      <w:r>
        <w:t xml:space="preserve"> </w:t>
      </w:r>
      <w:r>
        <w:t xml:space="preserve">changed, judged on forecast accuracy and on runtime cost. The model reads 168 hours of demand for one meter and predicts</w:t>
      </w:r>
      <w:r>
        <w:t xml:space="preserve"> </w:t>
      </w:r>
      <w:r>
        <w:t xml:space="preserve">the next 24 hours. The positional encoding is the only thing that differs between the three arms.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Positional encoding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Parameters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learned absolute embedding, 168 positions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162,520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fixed sinusoidal table added at the input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151,768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rotary (RoPE) on queries and keys in every layer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151,768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 intended for.</w:t>
      </w:r>
      <w:r>
        <w:t xml:space="preserve"> </w:t>
      </w:r>
      <w:r>
        <w:t xml:space="preserve">Use with real customer data, operational dispatch decisions, or any claim about transformers or</w:t>
      </w:r>
      <w:r>
        <w:t xml:space="preserve"> </w:t>
      </w:r>
      <w:r>
        <w:t xml:space="preserve">RoPE in general. The data are synthetic and the model is small.</w:t>
      </w:r>
    </w:p>
    <w:p>
      <w:pPr>
        <w:pStyle w:val="BodyText"/>
      </w:pPr>
      <w:r>
        <w:rPr>
          <w:bCs/>
          <w:b/>
        </w:rPr>
        <w:t xml:space="preserve">Hardware and software.</w:t>
      </w:r>
      <w:r>
        <w:t xml:space="preserve"> </w:t>
      </w:r>
      <w:r>
        <w:t xml:space="preserve">Nine runs on one Tesla T4 in one Colab session, Python 3.13,</w:t>
      </w:r>
      <w:r>
        <w:t xml:space="preserve"> </w:t>
      </w:r>
      <w:r>
        <w:rPr>
          <w:rStyle w:val="VerbatimChar"/>
        </w:rPr>
        <w:t xml:space="preserve">torch==2.11.0+cu130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numpy==2.1.3</w:t>
      </w:r>
      <w:r>
        <w:t xml:space="preserve">,</w:t>
      </w:r>
      <w:r>
        <w:t xml:space="preserve"> </w:t>
      </w:r>
      <w:r>
        <w:rPr>
          <w:rStyle w:val="VerbatimChar"/>
        </w:rPr>
        <w:t xml:space="preserve">PyYAML==6.0.3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requirements.lock.txt</w:t>
      </w:r>
      <w:r>
        <w:t xml:space="preserve">). The repository runs the analysis and tests on CPU. There are no</w:t>
      </w:r>
      <w:r>
        <w:t xml:space="preserve"> </w:t>
      </w:r>
      <w:r>
        <w:t xml:space="preserve">deployers, no instructions for use and no versioned release, because nothing was deployed.</w:t>
      </w:r>
    </w:p>
    <w:bookmarkEnd w:id="21"/>
    <w:bookmarkStart w:id="22" w:name="X1906e368d761d72ac579b8c6a7c89e44a4a4034"/>
    <w:p>
      <w:pPr>
        <w:pStyle w:val="Heading2"/>
      </w:pPr>
      <w:r>
        <w:t xml:space="preserve">2. Development and design process (Annex IV, section 2)</w:t>
      </w:r>
    </w:p>
    <w:p>
      <w:pPr>
        <w:pStyle w:val="FirstParagraph"/>
      </w:pPr>
      <w:r>
        <w:rPr>
          <w:bCs/>
          <w:b/>
        </w:rPr>
        <w:t xml:space="preserve">Design choice and its rationale.</w:t>
      </w:r>
      <w:r>
        <w:t xml:space="preserve"> </w:t>
      </w:r>
      <w:r>
        <w:t xml:space="preserve">A one-factor ablation. Shared backbone weights are initialised from the seed, the</w:t>
      </w:r>
      <w:r>
        <w:t xml:space="preserve"> </w:t>
      </w:r>
      <w:r>
        <w:t xml:space="preserve">positional module from</w:t>
      </w:r>
      <w:r>
        <w:t xml:space="preserve"> </w:t>
      </w:r>
      <w:r>
        <w:rPr>
          <w:rStyle w:val="VerbatimChar"/>
        </w:rPr>
        <w:t xml:space="preserve">seed + 10000</w:t>
      </w:r>
      <w:r>
        <w:t xml:space="preserve"> </w:t>
      </w:r>
      <w:r>
        <w:t xml:space="preserve">and training from</w:t>
      </w:r>
      <w:r>
        <w:t xml:space="preserve"> </w:t>
      </w:r>
      <w:r>
        <w:rPr>
          <w:rStyle w:val="VerbatimChar"/>
        </w:rPr>
        <w:t xml:space="preserve">seed + 20000</w:t>
      </w:r>
      <w:r>
        <w:t xml:space="preserve">, so the three arms start from bitwise-identical</w:t>
      </w:r>
      <w:r>
        <w:t xml:space="preserve"> </w:t>
      </w:r>
      <w:r>
        <w:t xml:space="preserve">shared weights (checked by hash). Seeds 0, 1 and 2 are matched across arms, and differences are analysed per seed.</w:t>
      </w:r>
      <w:r>
        <w:t xml:space="preserve"> </w:t>
      </w:r>
      <w:r>
        <w:t xml:space="preserve">Using matched seeds removes seed-to-seed variation in the shared weights from the comparison. It does not remove</w:t>
      </w:r>
      <w:r>
        <w:t xml:space="preserve"> </w:t>
      </w:r>
      <w:r>
        <w:t xml:space="preserve">everything: arm A’s three seeds differ by a standard deviation of 0.033 MAPE points.</w:t>
      </w:r>
    </w:p>
    <w:p>
      <w:pPr>
        <w:pStyle w:val="BodyText"/>
      </w:pPr>
      <w:r>
        <w:rPr>
          <w:bCs/>
          <w:b/>
        </w:rPr>
        <w:t xml:space="preserve">Architecture.</w:t>
      </w:r>
      <w:r>
        <w:t xml:space="preserve"> </w:t>
      </w:r>
      <w:r>
        <w:t xml:space="preserve">Three transformer encoder layers, model width 64, four heads, feed-forward width 256, dropout 0.1,</w:t>
      </w:r>
      <w:r>
        <w:t xml:space="preserve"> </w:t>
      </w:r>
      <w:r>
        <w:t xml:space="preserve">mean pooling over positions and a linear head (output</w:t>
      </w:r>
      <w:r>
        <w:t xml:space="preserve"> </w:t>
      </w:r>
      <w:r>
        <w:rPr>
          <w:rStyle w:val="VerbatimChar"/>
        </w:rPr>
        <w:t xml:space="preserve">1 + head(mean-pool)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Trade-offs and fixed choices.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Training length.</w:t>
      </w:r>
      <w:r>
        <w:t xml:space="preserve"> </w:t>
      </w:r>
      <w:r>
        <w:t xml:space="preserve">8000 steps. Calibration looked for a step count where training loss improved by less than 2%</w:t>
      </w:r>
      <w:r>
        <w:t xml:space="preserve"> </w:t>
      </w:r>
      <w:r>
        <w:t xml:space="preserve">between doublings. None of the tried grid values got there (4000 to 8000 still gave 5.12%), so the pre-declared</w:t>
      </w:r>
      <w:r>
        <w:t xml:space="preserve"> </w:t>
      </w:r>
      <w:r>
        <w:t xml:space="preserve">fallback of 8000 was used. The models are not converged.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Determinism policy P1.</w:t>
      </w:r>
      <w:r>
        <w:t xml:space="preserve"> </w:t>
      </w:r>
      <w:r>
        <w:t xml:space="preserve">Deterministic algorithms, a fixed cuBLAS workspace, deterministic cuDNN and the math attention</w:t>
      </w:r>
      <w:r>
        <w:t xml:space="preserve"> </w:t>
      </w:r>
      <w:r>
        <w:t xml:space="preserve">backend. P1 was chosen on feasibility alone (projected runtime against a three-hour ceiling), before seeing any</w:t>
      </w:r>
      <w:r>
        <w:t xml:space="preserve"> </w:t>
      </w:r>
      <w:r>
        <w:t xml:space="preserve">accuracy result. A run repeated on one GPU matched bitwise. The cost is slower kernels, so latencies are not those of</w:t>
      </w:r>
      <w:r>
        <w:t xml:space="preserve"> </w:t>
      </w:r>
      <w:r>
        <w:t xml:space="preserve">a tuned deployment.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per-arm tuning, no early stopping, final-step weights only.</w:t>
      </w:r>
    </w:p>
    <w:p>
      <w:pPr>
        <w:pStyle w:val="FirstParagraph"/>
      </w:pPr>
      <w:r>
        <w:rPr>
          <w:bCs/>
          <w:b/>
        </w:rPr>
        <w:t xml:space="preserve">Data (see section 3), human oversight and pre-determined changes.</w:t>
      </w:r>
      <w:r>
        <w:t xml:space="preserve"> </w:t>
      </w:r>
      <w:r>
        <w:t xml:space="preserve">Human oversight and pre-determined changes are</w:t>
      </w:r>
      <w:r>
        <w:t xml:space="preserve"> </w:t>
      </w:r>
      <w:r>
        <w:t xml:space="preserve">not applicable: the system has no deployers. What did exist was oversight of the experiment itself. The decision rule was</w:t>
      </w:r>
      <w:r>
        <w:t xml:space="preserve"> </w:t>
      </w:r>
      <w:r>
        <w:t xml:space="preserve">frozen before the nine runs, and every stage needed explicit approval before the next began.</w:t>
      </w:r>
    </w:p>
    <w:bookmarkEnd w:id="22"/>
    <w:bookmarkStart w:id="23" w:name="X41859b99f98ec19e4bc3dc9ef30d69c1f064673"/>
    <w:p>
      <w:pPr>
        <w:pStyle w:val="Heading2"/>
      </w:pPr>
      <w:r>
        <w:t xml:space="preserve">3. Data provenance and governance (Annex IV, section 2, data)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Item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Source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Synthetic. A seeded generator (</w:t>
            </w:r>
            <w:r>
              <w:rPr>
                <w:rStyle w:val="VerbatimChar"/>
                <w:sz w:val="17"/>
              </w:rPr>
              <w:t xml:space="preserve">gen-v1</w:t>
            </w:r>
            <w:r>
              <w:rPr>
                <w:sz w:val="17"/>
              </w:rPr>
              <w:t xml:space="preserve">, data seed 42) builds hourly demand for 16 meters over 3 years starting 2021-01-01.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Generator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 daily profile, a weekend factor, a latent temperature effect and AR(1) noise, with rare outlier hours (0.6 to 1.5 times) and short gaps of 1 to 6 hours. Gaps are filled with the last earlier value.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Fingerprint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SHA-256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65d899e60a00802062ac5c9c0dc5202d8d5ed6e6a0d64cba593e8985fc53f695</w:t>
            </w:r>
            <w:r>
              <w:rPr>
                <w:sz w:val="17"/>
              </w:rPr>
              <w:t xml:space="preserve">, identical across machines.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Split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By time, no shuffling: 24 months train, 6 validation, 6 test. Windows are split by target time, start at midnight, stride 24 h.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Window counts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11,568 train, 2,912 validation, 2,928 test.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Leakage control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 leakage check runs with every data build (and in the test suite). Calibration used training loss only, and code gates block validation and test metrics for arms B and C in the calibration and pilot stages.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Personal data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None. Real data would bring Article 10 questions (representativeness, bias, personal data), which this exercise does not address.</w:t>
            </w:r>
          </w:p>
        </w:tc>
      </w:tr>
    </w:tbl>
    <w:p>
      <w:pPr>
        <w:pStyle w:val="BodyText"/>
      </w:pPr>
      <w:r>
        <w:rPr>
          <w:bCs/>
          <w:b/>
        </w:rPr>
        <w:t xml:space="preserve">Honest limit.</w:t>
      </w:r>
      <w:r>
        <w:t xml:space="preserve"> </w:t>
      </w:r>
      <w:r>
        <w:t xml:space="preserve">Synthetic data can show whether the arms differ on this generator. It cannot show how they would behave on</w:t>
      </w:r>
      <w:r>
        <w:t xml:space="preserve"> </w:t>
      </w:r>
      <w:r>
        <w:t xml:space="preserve">real load curves, whose structure the generator only imitates. The generator’s weekly and daily patterns may also favour</w:t>
      </w:r>
      <w:r>
        <w:t xml:space="preserve"> </w:t>
      </w:r>
      <w:r>
        <w:t xml:space="preserve">some positional schemes over others.</w:t>
      </w:r>
    </w:p>
    <w:bookmarkEnd w:id="23"/>
    <w:bookmarkStart w:id="24" w:name="training-methodology-annex-iv-section-2"/>
    <w:p>
      <w:pPr>
        <w:pStyle w:val="Heading2"/>
      </w:pPr>
      <w:r>
        <w:t xml:space="preserve">4. Training methodology (Annex IV, section 2)</w:t>
      </w:r>
    </w:p>
    <w:p>
      <w:pPr>
        <w:pStyle w:val="FirstParagraph"/>
      </w:pPr>
      <w:r>
        <w:t xml:space="preserve">AdamW, learning rate 0.001, weight decay 0.01, 100 warmup steps then linear decay, batch size 128, no gradient</w:t>
      </w:r>
      <w:r>
        <w:t xml:space="preserve"> </w:t>
      </w:r>
      <w:r>
        <w:t xml:space="preserve">accumulation, fp32, normalised L1 loss. Main stage: three arms times seeds 0, 1 and 2 in one GPU session on the frozen</w:t>
      </w:r>
      <w:r>
        <w:t xml:space="preserve"> </w:t>
      </w:r>
      <w:r>
        <w:t xml:space="preserve">commit, with the arm order rotated by seed (A,B,C / B,C,A / C,A,B) so that thermal or session drift does not line up</w:t>
      </w:r>
      <w:r>
        <w:t xml:space="preserve"> </w:t>
      </w:r>
      <w:r>
        <w:t xml:space="preserve">with one arm. A calibration stage and a noise pilot (arm A only, seeds 901 and 902) came first, and their results were not</w:t>
      </w:r>
      <w:r>
        <w:t xml:space="preserve"> </w:t>
      </w:r>
      <w:r>
        <w:t xml:space="preserve">mixed into the main tables.</w:t>
      </w:r>
    </w:p>
    <w:p>
      <w:pPr>
        <w:pStyle w:val="BodyText"/>
      </w:pPr>
      <w:r>
        <w:rPr>
          <w:bCs/>
          <w:b/>
        </w:rPr>
        <w:t xml:space="preserve">Pre-registration.</w:t>
      </w:r>
      <w:r>
        <w:t xml:space="preserve"> </w:t>
      </w:r>
      <w:r>
        <w:t xml:space="preserve">Before the main runs,</w:t>
      </w:r>
      <w:r>
        <w:t xml:space="preserve"> </w:t>
      </w:r>
      <w:r>
        <w:rPr>
          <w:rStyle w:val="VerbatimChar"/>
        </w:rPr>
        <w:t xml:space="preserve">PREREGISTRATION.md</w:t>
      </w:r>
      <w:r>
        <w:t xml:space="preserve"> </w:t>
      </w:r>
      <w:r>
        <w:t xml:space="preserve">and twelve other files were hashed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results/freeze_record.json</w:t>
      </w:r>
      <w:r>
        <w:t xml:space="preserve">). The runner refuses to start unless the record verifies. After the runs,</w:t>
      </w:r>
      <w:r>
        <w:t xml:space="preserve"> </w:t>
      </w:r>
      <w:r>
        <w:rPr>
          <w:rStyle w:val="VerbatimChar"/>
        </w:rPr>
        <w:t xml:space="preserve">python src/freeze.py --verify</w:t>
      </w:r>
      <w:r>
        <w:t xml:space="preserve"> </w:t>
      </w:r>
      <w:r>
        <w:t xml:space="preserve">still reports that 13 files match.</w:t>
      </w:r>
    </w:p>
    <w:bookmarkEnd w:id="24"/>
    <w:bookmarkStart w:id="25" w:name="Xf8665296855b096cc11acb6ab3b8831f6e1eee4"/>
    <w:p>
      <w:pPr>
        <w:pStyle w:val="Heading2"/>
      </w:pPr>
      <w:r>
        <w:t xml:space="preserve">5. Evaluation metrics and results (Annex IV, section 4)</w:t>
      </w:r>
    </w:p>
    <w:p>
      <w:pPr>
        <w:pStyle w:val="FirstParagraph"/>
      </w:pPr>
      <w:r>
        <w:rPr>
          <w:bCs/>
          <w:b/>
        </w:rPr>
        <w:t xml:space="preserve">Metric choice.</w:t>
      </w:r>
      <w:r>
        <w:t xml:space="preserve"> </w:t>
      </w:r>
      <w:r>
        <w:t xml:space="preserve">Primary metric: validation MAPE (percent), because a percentage error is comparable across meters of</w:t>
      </w:r>
      <w:r>
        <w:t xml:space="preserve"> </w:t>
      </w:r>
      <w:r>
        <w:t xml:space="preserve">different size and is the form a demand planner reads. Secondary: validation MAE in kW, test MAPE, training time, batch-1</w:t>
      </w:r>
      <w:r>
        <w:t xml:space="preserve"> </w:t>
      </w:r>
      <w:r>
        <w:t xml:space="preserve">inference latency (p50) and peak memory. MAPE is undefined near zero demand, so the generator enforces a positive floor;</w:t>
      </w:r>
      <w:r>
        <w:t xml:space="preserve"> </w:t>
      </w:r>
      <w:r>
        <w:t xml:space="preserve">MAPE also weights errors at low demand more heavily than errors at peak demand, which may not match what matters</w:t>
      </w:r>
      <w:r>
        <w:t xml:space="preserve"> </w:t>
      </w:r>
      <w:r>
        <w:t xml:space="preserve">operationally. Two seasonal baselines score 7.08 and 7.17.</w:t>
      </w:r>
    </w:p>
    <w:p>
      <w:pPr>
        <w:pStyle w:val="BodyText"/>
      </w:pPr>
      <w:r>
        <w:rPr>
          <w:bCs/>
          <w:b/>
        </w:rPr>
        <w:t xml:space="preserve">Decision rule (frozen).</w:t>
      </w:r>
      <w:r>
        <w:t xml:space="preserve"> </w:t>
      </w:r>
      <w:r>
        <w:t xml:space="preserve">For each comparison with arm A, d is the per-seed MAPE difference. A tentative call needs all</w:t>
      </w:r>
      <w:r>
        <w:t xml:space="preserve"> </w:t>
      </w:r>
      <w:r>
        <w:t xml:space="preserve">three differences to share a sign, |mean| at least 0.10 points, |mean| at least 2 times the standard deviation of d, and</w:t>
      </w:r>
      <w:r>
        <w:t xml:space="preserve"> </w:t>
      </w:r>
      <w:r>
        <w:t xml:space="preserve">every leave-one-out mean to stay beyond 0.10 in the same direction. These are exploratory screening criteria for three</w:t>
      </w:r>
      <w:r>
        <w:t xml:space="preserve"> </w:t>
      </w:r>
      <w:r>
        <w:t xml:space="preserve">seeds, not significance tests. Three same-sign differences occur by chance 25% of the time.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Validation MAPE, seeds 0, 1,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Mean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Difference from A (per seed)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Mean difference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Frozen-rule verdict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4.634, 4.700, 4.666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4.667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n/a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n/a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reference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4.663, 4.632, 4.677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4.658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+0.028, -0.068, +0.011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-0.009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 difference detectable at this budget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4.745, 4.755, 4.772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4.757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+0.111, +0.055, +0.106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+0.090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 difference detectable at this budget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Reading it.</w:t>
      </w:r>
      <w:r>
        <w:t xml:space="preserve"> </w:t>
      </w:r>
      <w:r>
        <w:t xml:space="preserve">C had higher error than A on all three seeds, but its mean difference (+0.090) is below the pre-registered</w:t>
      </w:r>
      <w:r>
        <w:t xml:space="preserve"> </w:t>
      </w:r>
      <w:r>
        <w:t xml:space="preserve">threshold of 0.10, so the rule does not call it. B and A show mixed signs. Test MAPE moves the same way (A 4.20 to 4.26, B 4.21 to 4.23, C 4.28 to 4.31).</w:t>
      </w:r>
    </w:p>
    <w:p>
      <w:pPr>
        <w:pStyle w:val="BodyText"/>
      </w:pPr>
      <w:r>
        <w:rPr>
          <w:bCs/>
          <w:b/>
        </w:rPr>
        <w:t xml:space="preserve">Cost under P1 on one T4.</w:t>
      </w:r>
      <w:r>
        <w:t xml:space="preserve"> </w:t>
      </w:r>
      <w:r>
        <w:t xml:space="preserve">Training time 312.8 s (A), 312.9 s (B) and 343.4 s (C), so C was 9.8% slower in every matched</w:t>
      </w:r>
      <w:r>
        <w:t xml:space="preserve"> </w:t>
      </w:r>
      <w:r>
        <w:t xml:space="preserve">pair. Batch-1 p50 latency 4.34, 4.32 and 4.69 ms. Peak training memory about 623 MiB in all arms. These describe this model, hardware, workload and deterministic</w:t>
      </w:r>
      <w:r>
        <w:t xml:space="preserve"> </w:t>
      </w:r>
      <w:r>
        <w:t xml:space="preserve">configuration. They are not a general statement about RoPE.</w:t>
      </w:r>
    </w:p>
    <w:p>
      <w:pPr>
        <w:pStyle w:val="BodyText"/>
      </w:pPr>
      <w:r>
        <w:rPr>
          <w:bCs/>
          <w:b/>
        </w:rPr>
        <w:t xml:space="preserve">Release recommendation (within the scope of this experiment).</w:t>
      </w:r>
      <w:r>
        <w:t xml:space="preserve"> </w:t>
      </w:r>
      <w:r>
        <w:t xml:space="preserve">The evidence is insufficient to recommend changing the</w:t>
      </w:r>
      <w:r>
        <w:t xml:space="preserve"> </w:t>
      </w:r>
      <w:r>
        <w:t xml:space="preserve">positional encoding for accuracy. Learned and sinusoidal encodings showed no detectable difference at the tested budget.</w:t>
      </w:r>
      <w:r>
        <w:t xml:space="preserve"> </w:t>
      </w:r>
      <w:r>
        <w:t xml:space="preserve">RoPE added a measurable runtime cost without an accuracy improvement that met the rule.</w:t>
      </w:r>
    </w:p>
    <w:bookmarkEnd w:id="25"/>
    <w:bookmarkStart w:id="26" w:name="Xecdad4f7184abc1146b2987c952408b79b68067"/>
    <w:p>
      <w:pPr>
        <w:pStyle w:val="Heading2"/>
      </w:pPr>
      <w:r>
        <w:t xml:space="preserve">6. Limitations, known risks and residual risk (Annex IV, section 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Risk or limit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Why it matters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What was done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Residual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Three seeds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The spread of three differences is a rough estimate, and a three-seed sign pattern can arise by chance.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Frozen, exploratory rule; verdicts worded as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no difference detectable at this budget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 real difference below about 0.1 points would not be reliably detected.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Noise underestimated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The arm A pilot SD (0.0073) was well below the main-run SD (0.0329).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Reported; delta was not lowered to fit the pilot.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Seed noise at this budget is larger than the pilot suggested.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Not converged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At 8000 steps the loss was still falling, and the ranking could change with longer training.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Stated as a fallback choice; extension not run.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Conclusions apply to this budget only.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Synthetic data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Real load data has structure, outliers and drift the generator lacks.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Provenance and hash documented.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 evidence about real data.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Single GPU and policy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Latency and memory depend on kernels; P1 is slower than defaults.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Environment pinned; hardware stated.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Cost figures do not transfer to other hardware or to default kernels.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Metric choice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MAPE over-weights low-demand hours.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MAE in kW and test MAPE also recorded.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An operational cost metric was not evaluated.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Bias and subgroup testing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 real file would test performance across customer groups and conditions.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Not applicable to synthetic meters.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Not assessed.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Cybersecurity and robustness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 real system needs Article 15-style checks.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Not assessed.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Not assessed.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Optional extension (seeds 3 and 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More seeds would tighten the estimate.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Not run; the three-seed results stay primary.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Open.</w:t>
            </w:r>
          </w:p>
        </w:tc>
      </w:tr>
    </w:tbl>
    <w:bookmarkEnd w:id="26"/>
    <w:bookmarkStart w:id="27" w:name="X141f410ee3406a31bf55af71c1f992505803713"/>
    <w:p>
      <w:pPr>
        <w:pStyle w:val="Heading2"/>
      </w:pPr>
      <w:r>
        <w:t xml:space="preserve">7. Lifecycle, standards, declaration and monitoring (Annex IV, sections 6 to 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Annex IV section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Status in this exercise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 Monitoring, functioning and control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Run files record commit, GPU id, session, policy, config hash and data and weight hashes. No deployed system exists, so no operational logging or alerts.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6. Changes through the lifecycle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Changes are logged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EXPERIMENT_PLAN.md</w:t>
            </w:r>
            <w:r>
              <w:rPr>
                <w:sz w:val="17"/>
              </w:rPr>
              <w:t xml:space="preserve">, the amendment log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PREREGISTRATION.md</w:t>
            </w:r>
            <w:r>
              <w:rPr>
                <w:sz w:val="17"/>
              </w:rPr>
              <w:t xml:space="preserve">, the git history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session_manifest.json</w:t>
            </w:r>
            <w:r>
              <w:rPr>
                <w:sz w:val="17"/>
              </w:rPr>
              <w:t xml:space="preserve">. One deviation is recorded: the 8000-step calibration used commit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198aad8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rather than the pinned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c8ab0d2</w:t>
            </w:r>
            <w:r>
              <w:rPr>
                <w:sz w:val="17"/>
              </w:rPr>
              <w:t xml:space="preserve">, and a diff showed no run-executing code changed.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7. Harmonised standards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None applied. The next section maps the work to two frameworks, which is not a claim of conformity to any standard.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 EU declaration of conformity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Not produced.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9. Post-market monitoring plan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Not produced.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There is no market placement to monitor.</w:t>
            </w:r>
          </w:p>
        </w:tc>
      </w:tr>
    </w:tbl>
    <w:bookmarkEnd w:id="27"/>
    <w:bookmarkStart w:id="28" w:name="X05495051faa03d440dfa2b33ce8af44e11044b9"/>
    <w:p>
      <w:pPr>
        <w:pStyle w:val="Heading2"/>
      </w:pPr>
      <w:r>
        <w:t xml:space="preserve">8. Crosswalk to NIST AI RMF and ISO/IEC 42001</w:t>
      </w:r>
    </w:p>
    <w:p>
      <w:pPr>
        <w:pStyle w:val="FirstParagraph"/>
      </w:pPr>
      <w:r>
        <w:t xml:space="preserve">This maps activities to the framework headings at topic level. It does not claim conformity, and I have not cited</w:t>
      </w:r>
      <w:r>
        <w:t xml:space="preserve"> </w:t>
      </w:r>
      <w:r>
        <w:t xml:space="preserve">clause numbers.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NIST AI RMF function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What this project did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ISO/IEC 42001 theme (AI management system)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Govern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Staged approvals, a frozen pre-registration, a written plan and amendment log, defined roles (analyst approves each step).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Leadership, policy, roles, documented information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Map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Stated purpose and non-purposes, assumptions, data provenance, a classification caveat (section 0).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Context of the organisation, scope, AI system impact and risk identification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Measure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Pre-declared metric and decision rule, matched seeds, seed variation reported, cost measured, baselines.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Performance evaluation, internal review of results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Manage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Limitations table with residual risk, deviations logged, optional extension deferred, no deployment.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Risk treatment, continual improvement, change control</w:t>
            </w:r>
          </w:p>
        </w:tc>
      </w:tr>
    </w:tbl>
    <w:p>
      <w:pPr>
        <w:pStyle w:val="BodyText"/>
      </w:pPr>
      <w:r>
        <w:t xml:space="preserve">Where the project does not meet the framework’s intent (no incident response, no deployer feedback, no organisational</w:t>
      </w:r>
      <w:r>
        <w:t xml:space="preserve"> </w:t>
      </w:r>
      <w:r>
        <w:t xml:space="preserve">accountability beyond one analyst), the gap is real and is not covered by this table.</w:t>
      </w:r>
    </w:p>
    <w:bookmarkEnd w:id="28"/>
    <w:bookmarkStart w:id="29" w:name="open-items-before-submission"/>
    <w:p>
      <w:pPr>
        <w:pStyle w:val="Heading2"/>
      </w:pPr>
      <w:r>
        <w:t xml:space="preserve">9. Open items before submission</w:t>
      </w:r>
    </w:p>
    <w:p>
      <w:pPr>
        <w:numPr>
          <w:ilvl w:val="0"/>
          <w:numId w:val="1002"/>
        </w:numPr>
        <w:pStyle w:val="Compact"/>
      </w:pPr>
      <w:r>
        <w:t xml:space="preserve">Check the Annex IV heading list and the Article 11(1) wording against the Regulation on EUR-Lex.</w:t>
      </w:r>
    </w:p>
    <w:p>
      <w:pPr>
        <w:numPr>
          <w:ilvl w:val="0"/>
          <w:numId w:val="1002"/>
        </w:numPr>
        <w:pStyle w:val="Compact"/>
      </w:pPr>
      <w:r>
        <w:t xml:space="preserve">Analyse Article 6 classification against the Regulation’s text and replace the assumption in section 0.</w:t>
      </w:r>
    </w:p>
    <w:p>
      <w:pPr>
        <w:numPr>
          <w:ilvl w:val="0"/>
          <w:numId w:val="1002"/>
        </w:numPr>
        <w:pStyle w:val="Compact"/>
      </w:pPr>
      <w:r>
        <w:t xml:space="preserve">Confirm the crosswalk level of detail against what the course materials ask for.</w:t>
      </w:r>
    </w:p>
    <w:bookmarkEnd w:id="29"/>
    <w:sectPr>
      <w:pgMar w:left="1224" w:right="1224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80"/>
    </w:pPr>
    <w:rPr>
      <w:rFonts w:ascii="Calibri" w:hAnsi="Calibri"/>
      <w:sz w:val="20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80"/>
    </w:pPr>
    <w:rPr>
      <w:rFonts w:ascii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themeColor="accent1" w:themeShade="B5" w:val="345A8A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customStyle="1" w:styleId="Definition" w:type="paragraph">
    <w:name w:val="Definition"/>
    <w:basedOn w:val="Normal"/>
    <w:rPr>
      <w:rFonts w:ascii="Calibr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</w:rPr>
  </w:style>
  <w:style w:customStyle="1" w:styleId="ImageCaption" w:type="paragraph">
    <w:name w:val="Image Caption"/>
    <w:basedOn w:val="Caption"/>
    <w:rPr>
      <w:rFonts w:ascii="Calibri" w:hAnsi="Calibri"/>
    </w:rPr>
  </w:style>
  <w:style w:customStyle="1" w:styleId="Figure" w:type="paragraph">
    <w:name w:val="Figure"/>
    <w:basedOn w:val="Normal"/>
    <w:rPr>
      <w:rFonts w:ascii="Calibr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IV-Style Technical Documentation Summary: Positional-Encoding Ablation for Hourly Electricity-Demand Forecasting</dc:title>
  <dc:creator/>
  <cp:keywords/>
  <dcterms:created xsi:type="dcterms:W3CDTF">2026-10-23T18:33:35Z</dcterms:created>
  <dcterms:modified xsi:type="dcterms:W3CDTF">2026-10-23T18:33:35Z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CST 627 Week 7 capstone. Academic exercise, not a conformity assessment.</vt:lpwstr>
  </property>
</Properties>
</file>