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E816F" w14:textId="77777777" w:rsidR="00644700" w:rsidRPr="00EE1EF0" w:rsidRDefault="00304E2C">
      <w:pPr>
        <w:spacing w:before="1400"/>
        <w:jc w:val="center"/>
        <w:rPr>
          <w:lang w:val="en-US"/>
        </w:rPr>
      </w:pPr>
      <w:r>
        <w:rPr>
          <w:b/>
          <w:bCs/>
          <w:color w:val="1F3864"/>
          <w:sz w:val="44"/>
          <w:szCs w:val="44"/>
          <w:lang w:val="en-US"/>
        </w:rPr>
        <w:t>BUSINESS CASE STUDY</w:t>
      </w:r>
    </w:p>
    <w:p w14:paraId="36D83CD7" w14:textId="77777777" w:rsidR="00644700" w:rsidRPr="00EE1EF0" w:rsidRDefault="00304E2C">
      <w:pPr>
        <w:spacing w:before="200" w:after="100"/>
        <w:jc w:val="center"/>
        <w:rPr>
          <w:lang w:val="en-US"/>
        </w:rPr>
      </w:pPr>
      <w:r>
        <w:rPr>
          <w:i/>
          <w:iCs/>
          <w:color w:val="2E5395"/>
          <w:sz w:val="26"/>
          <w:szCs w:val="26"/>
          <w:lang w:val="en-US"/>
        </w:rPr>
        <w:t>Strategic &amp; Financial Analysis of an Independent Electronics Retailer</w:t>
      </w:r>
    </w:p>
    <w:p w14:paraId="20A2E2D1" w14:textId="2CBABE42" w:rsidR="00644700" w:rsidRPr="00EE1EF0" w:rsidRDefault="00304E2C">
      <w:pPr>
        <w:spacing w:after="400"/>
        <w:jc w:val="center"/>
        <w:rPr>
          <w:lang w:val="en-US"/>
        </w:rPr>
      </w:pPr>
      <w:r>
        <w:rPr>
          <w:color w:val="595959"/>
          <w:sz w:val="24"/>
          <w:szCs w:val="24"/>
          <w:lang w:val="en-US"/>
        </w:rPr>
        <w:t>«iComp» — TSUM Department Store, Bishkek, Kyrgyz Republic</w:t>
      </w:r>
    </w:p>
    <w:p w14:paraId="04FF5CC7" w14:textId="77777777" w:rsidR="00644700" w:rsidRPr="00EE1EF0" w:rsidRDefault="00304E2C">
      <w:pPr>
        <w:spacing w:after="600"/>
        <w:jc w:val="center"/>
        <w:rPr>
          <w:lang w:val="en-US"/>
        </w:rPr>
      </w:pPr>
      <w:r>
        <w:rPr>
          <w:color w:val="595959"/>
          <w:lang w:val="en-US"/>
        </w:rPr>
        <w:t>Fields: Business Administration · Applied Economics · Retail Strategy</w:t>
      </w:r>
    </w:p>
    <w:p w14:paraId="5396FE81" w14:textId="77777777" w:rsidR="00644700" w:rsidRPr="00EE1EF0" w:rsidRDefault="00304E2C">
      <w:pPr>
        <w:spacing w:before="800" w:after="120"/>
        <w:jc w:val="center"/>
        <w:rPr>
          <w:lang w:val="en-US"/>
        </w:rPr>
      </w:pPr>
      <w:r>
        <w:rPr>
          <w:b/>
          <w:bCs/>
          <w:color w:val="1F3864"/>
          <w:sz w:val="22"/>
          <w:szCs w:val="22"/>
          <w:lang w:val="en-US"/>
        </w:rPr>
        <w:t>A Note on Methodology &amp; Data Access</w:t>
      </w:r>
    </w:p>
    <w:p w14:paraId="62AE8E40" w14:textId="77777777" w:rsidR="00644700" w:rsidRPr="00EE1EF0" w:rsidRDefault="00304E2C">
      <w:pPr>
        <w:spacing w:after="160" w:line="276" w:lineRule="auto"/>
        <w:jc w:val="both"/>
        <w:rPr>
          <w:lang w:val="en-US"/>
        </w:rPr>
      </w:pPr>
      <w:r>
        <w:rPr>
          <w:color w:val="333333"/>
          <w:sz w:val="21"/>
          <w:szCs w:val="21"/>
          <w:lang w:val="en-US"/>
        </w:rPr>
        <w:t>This case study is based on primary field data gathered from a real, operating retail business at TSUM («</w:t>
      </w:r>
      <w:r>
        <w:rPr>
          <w:color w:val="333333"/>
          <w:sz w:val="21"/>
          <w:szCs w:val="21"/>
        </w:rPr>
        <w:t>Айчюрек</w:t>
      </w:r>
      <w:r>
        <w:rPr>
          <w:color w:val="333333"/>
          <w:sz w:val="21"/>
          <w:szCs w:val="21"/>
          <w:lang w:val="en-US"/>
        </w:rPr>
        <w:t>»), 4th floor, Bishkek. The author had privileged, first-hand access to this business's internal operating data — including margin structure, staffing costs, foot-traffic patterns, and supplier relationships — through a personal and family connection to the business's ownership. This access is disclosed here in the interest of academic transparency and is precisely what allows the analysis to go beyond publicly observable storefront behaviour into genuine unit economics, seasonality, and internal decision-making. All figures reflect the business's actual 2025–2026 operating conditions as reported by ownership; no figures have been fabricated or extrapolated from secondary sources unless explicitly noted. Two cost inputs in particular — monthly rent (~$3,000) and hired-staff salaries (~40,000 KGS each) — are rounded, best-available approximations rather than exact contractual figures, and should be read as directionally accurate rather than audited financial data; all fixed-cost calculations in Section 2 inherit this margin of approximation.</w:t>
      </w:r>
    </w:p>
    <w:p w14:paraId="5D9422F6" w14:textId="77777777" w:rsidR="00644700" w:rsidRPr="00EE1EF0" w:rsidRDefault="00304E2C">
      <w:pPr>
        <w:rPr>
          <w:lang w:val="en-US"/>
        </w:rPr>
      </w:pPr>
      <w:r>
        <w:rPr>
          <w:lang w:val="en-US"/>
        </w:rPr>
        <w:br w:type="page"/>
      </w:r>
    </w:p>
    <w:p w14:paraId="170E1EEC" w14:textId="77777777" w:rsidR="00644700" w:rsidRPr="00EE1EF0" w:rsidRDefault="00304E2C">
      <w:pPr>
        <w:pStyle w:val="Heading1"/>
        <w:pBdr>
          <w:bottom w:val="single" w:sz="8" w:space="4" w:color="1F3864"/>
        </w:pBdr>
        <w:spacing w:before="480" w:after="240"/>
        <w:rPr>
          <w:lang w:val="en-US"/>
        </w:rPr>
      </w:pPr>
      <w:r>
        <w:rPr>
          <w:b/>
          <w:bCs/>
          <w:color w:val="1F3864"/>
          <w:sz w:val="30"/>
          <w:szCs w:val="30"/>
          <w:lang w:val="en-US"/>
        </w:rPr>
        <w:lastRenderedPageBreak/>
        <w:t>Document Map</w:t>
      </w:r>
    </w:p>
    <w:p w14:paraId="13C4F843" w14:textId="77777777" w:rsidR="00644700" w:rsidRPr="00EE1EF0" w:rsidRDefault="00304E2C">
      <w:pPr>
        <w:spacing w:after="160" w:line="276" w:lineRule="auto"/>
        <w:jc w:val="both"/>
        <w:rPr>
          <w:lang w:val="en-US"/>
        </w:rPr>
      </w:pPr>
      <w:r>
        <w:rPr>
          <w:sz w:val="21"/>
          <w:szCs w:val="21"/>
          <w:lang w:val="en-US"/>
        </w:rPr>
        <w:t>This document is presented in two complete, parallel versions — an English-language version followed by a full Russian-language (</w:t>
      </w:r>
      <w:r>
        <w:rPr>
          <w:sz w:val="21"/>
          <w:szCs w:val="21"/>
        </w:rPr>
        <w:t>Русский</w:t>
      </w:r>
      <w:r>
        <w:rPr>
          <w:sz w:val="21"/>
          <w:szCs w:val="21"/>
          <w:lang w:val="en-US"/>
        </w:rPr>
        <w:t xml:space="preserve"> </w:t>
      </w:r>
      <w:r>
        <w:rPr>
          <w:sz w:val="21"/>
          <w:szCs w:val="21"/>
        </w:rPr>
        <w:t>язык</w:t>
      </w:r>
      <w:r>
        <w:rPr>
          <w:sz w:val="21"/>
          <w:szCs w:val="21"/>
          <w:lang w:val="en-US"/>
        </w:rPr>
        <w:t>) version — each covering the following six sections:</w:t>
      </w:r>
    </w:p>
    <w:p w14:paraId="0674E27B" w14:textId="77777777" w:rsidR="00644700" w:rsidRDefault="00304E2C">
      <w:pPr>
        <w:pStyle w:val="ListParagraph"/>
        <w:numPr>
          <w:ilvl w:val="0"/>
          <w:numId w:val="2"/>
        </w:numPr>
        <w:spacing w:after="80"/>
      </w:pPr>
      <w:r>
        <w:rPr>
          <w:sz w:val="21"/>
          <w:szCs w:val="21"/>
        </w:rPr>
        <w:t>Title &amp; Executive Summary</w:t>
      </w:r>
    </w:p>
    <w:p w14:paraId="4D214EBE" w14:textId="77777777" w:rsidR="00644700" w:rsidRPr="00EE1EF0" w:rsidRDefault="00304E2C">
      <w:pPr>
        <w:pStyle w:val="ListParagraph"/>
        <w:numPr>
          <w:ilvl w:val="0"/>
          <w:numId w:val="2"/>
        </w:numPr>
        <w:spacing w:after="80"/>
        <w:rPr>
          <w:lang w:val="en-US"/>
        </w:rPr>
      </w:pPr>
      <w:r>
        <w:rPr>
          <w:sz w:val="21"/>
          <w:szCs w:val="21"/>
          <w:lang w:val="en-US"/>
        </w:rPr>
        <w:t>Business Model Canvas &amp; Financial Benchmark Analysis</w:t>
      </w:r>
    </w:p>
    <w:p w14:paraId="11D6A27F" w14:textId="77777777" w:rsidR="00644700" w:rsidRDefault="00304E2C">
      <w:pPr>
        <w:pStyle w:val="ListParagraph"/>
        <w:numPr>
          <w:ilvl w:val="0"/>
          <w:numId w:val="2"/>
        </w:numPr>
        <w:spacing w:after="80"/>
      </w:pPr>
      <w:r>
        <w:rPr>
          <w:sz w:val="21"/>
          <w:szCs w:val="21"/>
        </w:rPr>
        <w:t>Market Dynamics &amp; Behavioral Economics</w:t>
      </w:r>
    </w:p>
    <w:p w14:paraId="7224A2F2" w14:textId="77777777" w:rsidR="00644700" w:rsidRDefault="00304E2C">
      <w:pPr>
        <w:pStyle w:val="ListParagraph"/>
        <w:numPr>
          <w:ilvl w:val="0"/>
          <w:numId w:val="2"/>
        </w:numPr>
        <w:spacing w:after="80"/>
      </w:pPr>
      <w:r>
        <w:rPr>
          <w:sz w:val="21"/>
          <w:szCs w:val="21"/>
        </w:rPr>
        <w:t>Competitive &amp; Brand Positioning Analysis</w:t>
      </w:r>
    </w:p>
    <w:p w14:paraId="028C22B1" w14:textId="77777777" w:rsidR="00644700" w:rsidRPr="00EE1EF0" w:rsidRDefault="00304E2C">
      <w:pPr>
        <w:pStyle w:val="ListParagraph"/>
        <w:numPr>
          <w:ilvl w:val="0"/>
          <w:numId w:val="2"/>
        </w:numPr>
        <w:spacing w:after="80"/>
        <w:rPr>
          <w:lang w:val="en-US"/>
        </w:rPr>
      </w:pPr>
      <w:r>
        <w:rPr>
          <w:sz w:val="21"/>
          <w:szCs w:val="21"/>
          <w:lang w:val="en-US"/>
        </w:rPr>
        <w:t>Supply Chain, Global Macro Bottlenecks &amp; Operational Risks</w:t>
      </w:r>
    </w:p>
    <w:p w14:paraId="551B8EAE" w14:textId="77777777" w:rsidR="00644700" w:rsidRPr="00EE1EF0" w:rsidRDefault="00304E2C">
      <w:pPr>
        <w:pStyle w:val="ListParagraph"/>
        <w:numPr>
          <w:ilvl w:val="0"/>
          <w:numId w:val="2"/>
        </w:numPr>
        <w:spacing w:after="80"/>
        <w:rPr>
          <w:lang w:val="en-US"/>
        </w:rPr>
      </w:pPr>
      <w:r>
        <w:rPr>
          <w:sz w:val="21"/>
          <w:szCs w:val="21"/>
          <w:lang w:val="en-US"/>
        </w:rPr>
        <w:t>Actionable Strategic Recommendations (3-Tiered Roadmap)</w:t>
      </w:r>
    </w:p>
    <w:p w14:paraId="1D3D93C4" w14:textId="77777777" w:rsidR="00644700" w:rsidRPr="00EE1EF0" w:rsidRDefault="00304E2C">
      <w:pPr>
        <w:rPr>
          <w:lang w:val="en-US"/>
        </w:rPr>
      </w:pPr>
      <w:r>
        <w:rPr>
          <w:lang w:val="en-US"/>
        </w:rPr>
        <w:br w:type="page"/>
      </w:r>
    </w:p>
    <w:p w14:paraId="5E5A758E" w14:textId="77777777" w:rsidR="00644700" w:rsidRPr="00EE1EF0" w:rsidRDefault="00304E2C">
      <w:pPr>
        <w:shd w:val="clear" w:color="auto" w:fill="1F3864"/>
        <w:spacing w:after="400"/>
        <w:jc w:val="center"/>
        <w:rPr>
          <w:lang w:val="en-US"/>
        </w:rPr>
      </w:pPr>
      <w:r>
        <w:rPr>
          <w:b/>
          <w:bCs/>
          <w:color w:val="FFFFFF"/>
          <w:sz w:val="32"/>
          <w:szCs w:val="32"/>
          <w:lang w:val="en-US"/>
        </w:rPr>
        <w:lastRenderedPageBreak/>
        <w:t>ENGLISH VERSION</w:t>
      </w:r>
    </w:p>
    <w:p w14:paraId="4F5CC0FF" w14:textId="77777777" w:rsidR="00644700" w:rsidRPr="00EE1EF0" w:rsidRDefault="00304E2C">
      <w:pPr>
        <w:pStyle w:val="Heading1"/>
        <w:pBdr>
          <w:bottom w:val="single" w:sz="8" w:space="4" w:color="1F3864"/>
        </w:pBdr>
        <w:spacing w:before="480" w:after="240"/>
        <w:rPr>
          <w:lang w:val="en-US"/>
        </w:rPr>
      </w:pPr>
      <w:r>
        <w:rPr>
          <w:b/>
          <w:bCs/>
          <w:color w:val="1F3864"/>
          <w:sz w:val="30"/>
          <w:szCs w:val="30"/>
          <w:lang w:val="en-US"/>
        </w:rPr>
        <w:t>1. Title &amp; Executive Summary</w:t>
      </w:r>
    </w:p>
    <w:p w14:paraId="3464CC81" w14:textId="77777777" w:rsidR="00644700" w:rsidRPr="00EE1EF0" w:rsidRDefault="00304E2C">
      <w:pPr>
        <w:pStyle w:val="Heading2"/>
        <w:spacing w:before="320" w:after="160"/>
        <w:rPr>
          <w:lang w:val="en-US"/>
        </w:rPr>
      </w:pPr>
      <w:r>
        <w:rPr>
          <w:b/>
          <w:bCs/>
          <w:color w:val="2E5395"/>
          <w:sz w:val="24"/>
          <w:szCs w:val="24"/>
          <w:lang w:val="en-US"/>
        </w:rPr>
        <w:t>1.1 Title</w:t>
      </w:r>
    </w:p>
    <w:p w14:paraId="1A0650D9" w14:textId="6A7B2130" w:rsidR="00644700" w:rsidRPr="00EE1EF0" w:rsidRDefault="00304E2C">
      <w:pPr>
        <w:spacing w:after="160" w:line="276" w:lineRule="auto"/>
        <w:jc w:val="both"/>
        <w:rPr>
          <w:lang w:val="en-US"/>
        </w:rPr>
      </w:pPr>
      <w:r>
        <w:rPr>
          <w:sz w:val="21"/>
          <w:szCs w:val="21"/>
          <w:lang w:val="en-US"/>
        </w:rPr>
        <w:t xml:space="preserve">Prime Location, Invisible Brand: A Unit-Economics and Strategic-Positioning Analysis of a 15-Year Independent Electronics Retailer in Bishkek, Kyrgyzstan.</w:t>
      </w:r>
    </w:p>
    <w:p w14:paraId="7F586274" w14:textId="77777777" w:rsidR="00644700" w:rsidRPr="00EE1EF0" w:rsidRDefault="00304E2C">
      <w:pPr>
        <w:pStyle w:val="Heading2"/>
        <w:spacing w:before="320" w:after="160"/>
        <w:rPr>
          <w:lang w:val="en-US"/>
        </w:rPr>
      </w:pPr>
      <w:r>
        <w:rPr>
          <w:b/>
          <w:bCs/>
          <w:color w:val="2E5395"/>
          <w:sz w:val="24"/>
          <w:szCs w:val="24"/>
          <w:lang w:val="en-US"/>
        </w:rPr>
        <w:t>1.2 Research Scope &amp; Methodology</w:t>
      </w:r>
    </w:p>
    <w:p w14:paraId="7CC6033C" w14:textId="77777777" w:rsidR="00644700" w:rsidRPr="00EE1EF0" w:rsidRDefault="00304E2C">
      <w:pPr>
        <w:spacing w:after="160" w:line="276" w:lineRule="auto"/>
        <w:jc w:val="both"/>
        <w:rPr>
          <w:lang w:val="en-US"/>
        </w:rPr>
      </w:pPr>
      <w:r>
        <w:rPr>
          <w:sz w:val="21"/>
          <w:szCs w:val="21"/>
          <w:lang w:val="en-US"/>
        </w:rPr>
        <w:t>This case study examines «iComp», a family-operated micro-enterprise selling laptops, PC components, peripherals, and repair services from a fixed retail unit on the 4th floor of TSUM, Bishkek's central department store. The research draws on structured interviews with ownership, direct observation of point-of-sale behaviour, and internal financial data (rent, payroll, margin structure, and seasonal sales volumes) covering the 2025–2026 operating cycle. The analytical lens combines the Business Model Canvas, Porter's competitive-positioning logic, behavioral economics (information asymmetry in high-involvement purchases), and basic unit-economics modelling.</w:t>
      </w:r>
    </w:p>
    <w:p w14:paraId="537701D1" w14:textId="77777777" w:rsidR="00644700" w:rsidRDefault="00304E2C">
      <w:pPr>
        <w:pStyle w:val="Heading2"/>
        <w:spacing w:before="320" w:after="160"/>
      </w:pPr>
      <w:r>
        <w:rPr>
          <w:b/>
          <w:bCs/>
          <w:color w:val="2E5395"/>
          <w:sz w:val="24"/>
          <w:szCs w:val="24"/>
        </w:rPr>
        <w:t>1.3 Key Findings</w:t>
      </w:r>
    </w:p>
    <w:p w14:paraId="178D93DB" w14:textId="242522B4" w:rsidR="00644700" w:rsidRPr="00EE1EF0" w:rsidRDefault="00304E2C">
      <w:pPr>
        <w:pStyle w:val="ListParagraph"/>
        <w:numPr>
          <w:ilvl w:val="0"/>
          <w:numId w:val="3"/>
        </w:numPr>
        <w:spacing w:after="80"/>
        <w:rPr>
          <w:lang w:val="en-US"/>
        </w:rPr>
      </w:pPr>
      <w:r>
        <w:rPr>
          <w:sz w:val="21"/>
          <w:szCs w:val="21"/>
          <w:lang w:val="en-US"/>
        </w:rPr>
        <w:t xml:space="preserve">iComp occupies one of the most valuable physical footprints in Bishkek's retail electronics market — directly at the top of TSUM's main escalator on the 4th floor — yet operates with effectively zero brand visibility: no signage communicates the business's name or its 15-year operating history to new walk-in traffic.</w:t>
      </w:r>
    </w:p>
    <w:p w14:paraId="2D6E05BC" w14:textId="77777777" w:rsidR="00644700" w:rsidRPr="00EE1EF0" w:rsidRDefault="00304E2C">
      <w:pPr>
        <w:pStyle w:val="ListParagraph"/>
        <w:numPr>
          <w:ilvl w:val="0"/>
          <w:numId w:val="3"/>
        </w:numPr>
        <w:spacing w:after="80"/>
        <w:rPr>
          <w:lang w:val="en-US"/>
        </w:rPr>
      </w:pPr>
      <w:r>
        <w:rPr>
          <w:sz w:val="21"/>
          <w:szCs w:val="21"/>
          <w:lang w:val="en-US"/>
        </w:rPr>
        <w:t>The business's core competitive asset is not price or visual merchandising, but accumulated trust with a specific behavioral actor: the “tech-savvy expert” who accompanies price-sensitive, risk-averse buyers (predominantly students and their parents) to validate high-stakes purchases.</w:t>
      </w:r>
    </w:p>
    <w:p w14:paraId="70DEDA94" w14:textId="77777777" w:rsidR="00644700" w:rsidRPr="00EE1EF0" w:rsidRDefault="00304E2C">
      <w:pPr>
        <w:pStyle w:val="ListParagraph"/>
        <w:numPr>
          <w:ilvl w:val="0"/>
          <w:numId w:val="3"/>
        </w:numPr>
        <w:spacing w:after="80"/>
        <w:rPr>
          <w:lang w:val="en-US"/>
        </w:rPr>
      </w:pPr>
      <w:r>
        <w:rPr>
          <w:sz w:val="21"/>
          <w:szCs w:val="21"/>
          <w:lang w:val="en-US"/>
        </w:rPr>
        <w:t>Unit economics are structurally imbalanced: laptops generate ~30% of revenue at a thin, flat ~$80 (7,000 KGS) margin per unit, while accessories, builds, and repairs generate ~70% of revenue at a healthier ~30% markup — meaning the business's true profit engine is service and peripherals, not the product category it is best known for.</w:t>
      </w:r>
    </w:p>
    <w:p w14:paraId="30746570" w14:textId="77777777" w:rsidR="00644700" w:rsidRPr="00EE1EF0" w:rsidRDefault="00304E2C">
      <w:pPr>
        <w:pStyle w:val="ListParagraph"/>
        <w:numPr>
          <w:ilvl w:val="0"/>
          <w:numId w:val="3"/>
        </w:numPr>
        <w:spacing w:after="80"/>
        <w:rPr>
          <w:lang w:val="en-US"/>
        </w:rPr>
      </w:pPr>
      <w:r>
        <w:rPr>
          <w:sz w:val="21"/>
          <w:szCs w:val="21"/>
          <w:lang w:val="en-US"/>
        </w:rPr>
        <w:t>Demand is sharply seasonal (an academic-calendar-driven cycle), creating two extended low-cash-flow windows per year (Jan–Feb and Jun–Jul) against a fixed, non-seasonal rent obligation of $3,000/month.</w:t>
      </w:r>
    </w:p>
    <w:p w14:paraId="7C645552" w14:textId="77777777" w:rsidR="00644700" w:rsidRPr="00EE1EF0" w:rsidRDefault="00304E2C">
      <w:pPr>
        <w:pStyle w:val="ListParagraph"/>
        <w:numPr>
          <w:ilvl w:val="0"/>
          <w:numId w:val="3"/>
        </w:numPr>
        <w:spacing w:after="80"/>
        <w:rPr>
          <w:lang w:val="en-US"/>
        </w:rPr>
      </w:pPr>
      <w:r>
        <w:rPr>
          <w:sz w:val="21"/>
          <w:szCs w:val="21"/>
          <w:lang w:val="en-US"/>
        </w:rPr>
        <w:t>A well-capitalised, aggressively marketed direct competitor (“Legion”) is capturing first-moment visual attention from the same foot traffic, creating a long-term risk of trust-based customer attrition as the “expert generation” that recognises iComp gradually is diluted by newer shoppers with no prior relationship to the brand.</w:t>
      </w:r>
    </w:p>
    <w:p w14:paraId="302A309D" w14:textId="77777777" w:rsidR="00644700" w:rsidRPr="00EE1EF0" w:rsidRDefault="00304E2C">
      <w:pPr>
        <w:pStyle w:val="ListParagraph"/>
        <w:numPr>
          <w:ilvl w:val="0"/>
          <w:numId w:val="3"/>
        </w:numPr>
        <w:spacing w:after="80"/>
        <w:rPr>
          <w:lang w:val="en-US"/>
        </w:rPr>
      </w:pPr>
      <w:r>
        <w:rPr>
          <w:sz w:val="21"/>
          <w:szCs w:val="21"/>
          <w:lang w:val="en-US"/>
        </w:rPr>
        <w:t>Structural constraints — a Dubai-sourced supply chain exposed to global AI-driven DRAM/NAND cost inflation, and low bank-installment adoption (20%) due to procedural friction — remain a longer-term risk to margin and restocking cost, even though a recent inventory replenishment has, for now, resolved the acute stock-depth shortage observed at the time of initial data collection.</w:t>
      </w:r>
    </w:p>
    <w:p w14:paraId="5D97BA65" w14:textId="77777777" w:rsidR="00644700" w:rsidRPr="00EE1EF0" w:rsidRDefault="00304E2C">
      <w:pPr>
        <w:pStyle w:val="Heading2"/>
        <w:spacing w:before="320" w:after="160"/>
        <w:rPr>
          <w:lang w:val="en-US"/>
        </w:rPr>
      </w:pPr>
      <w:r>
        <w:rPr>
          <w:b/>
          <w:bCs/>
          <w:color w:val="2E5395"/>
          <w:sz w:val="24"/>
          <w:szCs w:val="24"/>
          <w:lang w:val="en-US"/>
        </w:rPr>
        <w:t>1.4 Central Strategic Dilemma</w:t>
      </w:r>
    </w:p>
    <w:p w14:paraId="20D699D9" w14:textId="77777777" w:rsidR="00644700" w:rsidRPr="00EE1EF0" w:rsidRDefault="00304E2C">
      <w:pPr>
        <w:spacing w:after="160" w:line="276" w:lineRule="auto"/>
        <w:jc w:val="both"/>
        <w:rPr>
          <w:lang w:val="en-US"/>
        </w:rPr>
      </w:pPr>
      <w:r>
        <w:rPr>
          <w:sz w:val="21"/>
          <w:szCs w:val="21"/>
          <w:lang w:val="en-US"/>
        </w:rPr>
        <w:t>iComp exemplifies a paradox common to long-standing, trust-based small retailers: two decades of consistent service have produced a durable, high-retention customer base and prime real estate, but almost no transferable brand equity for the growing share of shoppers who have no prior relationship with the business. The central strategic question this case study addresses is: how can a legacy, relationship-based retailer convert its accumulated trust into a visible, scalable brand asset — without the marketing budget of its digitally aggressive competitors, and without disrupting the informal, high-trust service model that built its loyal base in the first place?</w:t>
      </w:r>
    </w:p>
    <w:p w14:paraId="63D8D58C" w14:textId="0C042D99" w:rsidR="00644700" w:rsidRPr="00EE1EF0" w:rsidRDefault="00644700">
      <w:pPr>
        <w:rPr>
          <w:lang w:val="en-US"/>
        </w:rPr>
      </w:pPr>
    </w:p>
    <w:p w14:paraId="10855326" w14:textId="77777777" w:rsidR="00644700" w:rsidRPr="00EE1EF0" w:rsidRDefault="00304E2C">
      <w:pPr>
        <w:pStyle w:val="Heading1"/>
        <w:pBdr>
          <w:bottom w:val="single" w:sz="8" w:space="4" w:color="1F3864"/>
        </w:pBdr>
        <w:spacing w:before="480" w:after="240"/>
        <w:rPr>
          <w:lang w:val="en-US"/>
        </w:rPr>
      </w:pPr>
      <w:r>
        <w:rPr>
          <w:b/>
          <w:bCs/>
          <w:color w:val="1F3864"/>
          <w:sz w:val="30"/>
          <w:szCs w:val="30"/>
          <w:lang w:val="en-US"/>
        </w:rPr>
        <w:t>2. Business Model Canvas &amp; Financial Benchmark Analysis</w:t>
      </w:r>
    </w:p>
    <w:p w14:paraId="65D392DF" w14:textId="77777777" w:rsidR="00644700" w:rsidRDefault="00304E2C">
      <w:pPr>
        <w:pStyle w:val="Heading2"/>
        <w:spacing w:before="320" w:after="160"/>
      </w:pPr>
      <w:r>
        <w:rPr>
          <w:b/>
          <w:bCs/>
          <w:color w:val="2E5395"/>
          <w:sz w:val="24"/>
          <w:szCs w:val="24"/>
        </w:rPr>
        <w:t>2.1 Business Model Canvas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4700" w14:paraId="3A7ACADA" w14:textId="77777777">
        <w:trPr>
          <w:tblHeader/>
        </w:trPr>
        <w:tc>
          <w:tcPr>
            <w:tcW w:w="2600" w:type="dxa"/>
            <w:shd w:val="clear" w:color="auto" w:fill="1F3864"/>
            <w:tcMar>
              <w:top w:w="80" w:type="dxa"/>
              <w:left w:w="120" w:type="dxa"/>
              <w:bottom w:w="80" w:type="dxa"/>
              <w:right w:w="120" w:type="dxa"/>
            </w:tcMar>
            <w:vAlign w:val="center"/>
          </w:tcPr>
          <w:p w14:paraId="00B66C74" w14:textId="77777777" w:rsidR="00644700" w:rsidRDefault="00304E2C">
            <w:r>
              <w:rPr>
                <w:b/>
                <w:bCs/>
                <w:color w:val="FFFFFF"/>
                <w:sz w:val="19"/>
                <w:szCs w:val="19"/>
              </w:rPr>
              <w:t>Component</w:t>
            </w:r>
          </w:p>
        </w:tc>
        <w:tc>
          <w:tcPr>
            <w:tcW w:w="7400" w:type="dxa"/>
            <w:shd w:val="clear" w:color="auto" w:fill="1F3864"/>
            <w:tcMar>
              <w:top w:w="80" w:type="dxa"/>
              <w:left w:w="120" w:type="dxa"/>
              <w:bottom w:w="80" w:type="dxa"/>
              <w:right w:w="120" w:type="dxa"/>
            </w:tcMar>
            <w:vAlign w:val="center"/>
          </w:tcPr>
          <w:p w14:paraId="716B3FC8" w14:textId="77777777" w:rsidR="00644700" w:rsidRDefault="00304E2C">
            <w:r>
              <w:rPr>
                <w:b/>
                <w:bCs/>
                <w:color w:val="FFFFFF"/>
                <w:sz w:val="19"/>
                <w:szCs w:val="19"/>
              </w:rPr>
              <w:t>iComp Profile</w:t>
            </w:r>
          </w:p>
        </w:tc>
      </w:tr>
      <w:tr w:rsidR="00644700" w:rsidRPr="00E57AF8" w14:paraId="665BFC07" w14:textId="77777777">
        <w:tc>
          <w:tcPr>
            <w:tcW w:w="2600" w:type="dxa"/>
            <w:tcMar>
              <w:top w:w="80" w:type="dxa"/>
              <w:left w:w="120" w:type="dxa"/>
              <w:bottom w:w="80" w:type="dxa"/>
              <w:right w:w="120" w:type="dxa"/>
            </w:tcMar>
            <w:vAlign w:val="center"/>
          </w:tcPr>
          <w:p w14:paraId="13C4E17E" w14:textId="77777777" w:rsidR="00644700" w:rsidRDefault="00304E2C">
            <w:r>
              <w:rPr>
                <w:color w:val="000000"/>
                <w:sz w:val="19"/>
                <w:szCs w:val="19"/>
              </w:rPr>
              <w:t>Value Proposition</w:t>
            </w:r>
          </w:p>
        </w:tc>
        <w:tc>
          <w:tcPr>
            <w:tcW w:w="7400" w:type="dxa"/>
            <w:tcMar>
              <w:top w:w="80" w:type="dxa"/>
              <w:left w:w="120" w:type="dxa"/>
              <w:bottom w:w="80" w:type="dxa"/>
              <w:right w:w="120" w:type="dxa"/>
            </w:tcMar>
            <w:vAlign w:val="center"/>
          </w:tcPr>
          <w:p w14:paraId="030B5F84" w14:textId="223B67EE" w:rsidR="00644700" w:rsidRPr="00EE1EF0" w:rsidRDefault="00304E2C">
            <w:pPr>
              <w:rPr>
                <w:lang w:val="en-US"/>
              </w:rPr>
            </w:pPr>
            <w:r>
              <w:rPr>
                <w:color w:val="000000"/>
                <w:sz w:val="19"/>
                <w:szCs w:val="19"/>
                <w:lang w:val="en-US"/>
              </w:rPr>
              <w:t xml:space="preserve">Expert-led product selection, free pre-sale setup (OS/software), 15 years of accumulated trust, and open-ended post-sale support (“we see the customer through to the end”).</w:t>
            </w:r>
          </w:p>
        </w:tc>
      </w:tr>
      <w:tr w:rsidR="00644700" w:rsidRPr="00E57AF8" w14:paraId="2B51958F" w14:textId="77777777">
        <w:tc>
          <w:tcPr>
            <w:tcW w:w="2600" w:type="dxa"/>
            <w:shd w:val="clear" w:color="auto" w:fill="DCE6F1"/>
            <w:tcMar>
              <w:top w:w="80" w:type="dxa"/>
              <w:left w:w="120" w:type="dxa"/>
              <w:bottom w:w="80" w:type="dxa"/>
              <w:right w:w="120" w:type="dxa"/>
            </w:tcMar>
            <w:vAlign w:val="center"/>
          </w:tcPr>
          <w:p w14:paraId="71E097C5" w14:textId="77777777" w:rsidR="00644700" w:rsidRDefault="00304E2C">
            <w:r>
              <w:rPr>
                <w:color w:val="000000"/>
                <w:sz w:val="19"/>
                <w:szCs w:val="19"/>
              </w:rPr>
              <w:t>Key Customer Segments</w:t>
            </w:r>
          </w:p>
        </w:tc>
        <w:tc>
          <w:tcPr>
            <w:tcW w:w="7400" w:type="dxa"/>
            <w:shd w:val="clear" w:color="auto" w:fill="DCE6F1"/>
            <w:tcMar>
              <w:top w:w="80" w:type="dxa"/>
              <w:left w:w="120" w:type="dxa"/>
              <w:bottom w:w="80" w:type="dxa"/>
              <w:right w:w="120" w:type="dxa"/>
            </w:tcMar>
            <w:vAlign w:val="center"/>
          </w:tcPr>
          <w:p w14:paraId="502B61BE" w14:textId="77777777" w:rsidR="00644700" w:rsidRPr="00EE1EF0" w:rsidRDefault="00304E2C">
            <w:pPr>
              <w:rPr>
                <w:lang w:val="en-US"/>
              </w:rPr>
            </w:pPr>
            <w:r>
              <w:rPr>
                <w:color w:val="000000"/>
                <w:sz w:val="19"/>
                <w:szCs w:val="19"/>
                <w:lang w:val="en-US"/>
              </w:rPr>
              <w:t>Students in IT, Computer Science, and Design programmes, plus their accompanying parents; occasional one-off B2B office orders (~1x/year).</w:t>
            </w:r>
          </w:p>
        </w:tc>
      </w:tr>
      <w:tr w:rsidR="00644700" w:rsidRPr="00E57AF8" w14:paraId="50F88267" w14:textId="77777777">
        <w:tc>
          <w:tcPr>
            <w:tcW w:w="2600" w:type="dxa"/>
            <w:tcMar>
              <w:top w:w="80" w:type="dxa"/>
              <w:left w:w="120" w:type="dxa"/>
              <w:bottom w:w="80" w:type="dxa"/>
              <w:right w:w="120" w:type="dxa"/>
            </w:tcMar>
            <w:vAlign w:val="center"/>
          </w:tcPr>
          <w:p w14:paraId="73E35920" w14:textId="77777777" w:rsidR="00644700" w:rsidRDefault="00304E2C">
            <w:r>
              <w:rPr>
                <w:color w:val="000000"/>
                <w:sz w:val="19"/>
                <w:szCs w:val="19"/>
              </w:rPr>
              <w:t>Channels</w:t>
            </w:r>
          </w:p>
        </w:tc>
        <w:tc>
          <w:tcPr>
            <w:tcW w:w="7400" w:type="dxa"/>
            <w:tcMar>
              <w:top w:w="80" w:type="dxa"/>
              <w:left w:w="120" w:type="dxa"/>
              <w:bottom w:w="80" w:type="dxa"/>
              <w:right w:w="120" w:type="dxa"/>
            </w:tcMar>
            <w:vAlign w:val="center"/>
          </w:tcPr>
          <w:p w14:paraId="73DF1A15" w14:textId="77777777" w:rsidR="00644700" w:rsidRPr="00EE1EF0" w:rsidRDefault="00304E2C">
            <w:pPr>
              <w:rPr>
                <w:lang w:val="en-US"/>
              </w:rPr>
            </w:pPr>
            <w:r>
              <w:rPr>
                <w:color w:val="000000"/>
                <w:sz w:val="19"/>
                <w:szCs w:val="19"/>
                <w:lang w:val="en-US"/>
              </w:rPr>
              <w:t>100% offline / walk-in (TSUM foot traffic). Social media (Instagram) and marketplace listings (LalaFo) exist nominally but are inactive.</w:t>
            </w:r>
          </w:p>
        </w:tc>
      </w:tr>
      <w:tr w:rsidR="00644700" w:rsidRPr="00E57AF8" w14:paraId="013A6AAA" w14:textId="77777777">
        <w:tc>
          <w:tcPr>
            <w:tcW w:w="2600" w:type="dxa"/>
            <w:shd w:val="clear" w:color="auto" w:fill="DCE6F1"/>
            <w:tcMar>
              <w:top w:w="80" w:type="dxa"/>
              <w:left w:w="120" w:type="dxa"/>
              <w:bottom w:w="80" w:type="dxa"/>
              <w:right w:w="120" w:type="dxa"/>
            </w:tcMar>
            <w:vAlign w:val="center"/>
          </w:tcPr>
          <w:p w14:paraId="68AF7D1C" w14:textId="77777777" w:rsidR="00644700" w:rsidRDefault="00304E2C">
            <w:r>
              <w:rPr>
                <w:color w:val="000000"/>
                <w:sz w:val="19"/>
                <w:szCs w:val="19"/>
              </w:rPr>
              <w:t>Revenue Streams</w:t>
            </w:r>
          </w:p>
        </w:tc>
        <w:tc>
          <w:tcPr>
            <w:tcW w:w="7400" w:type="dxa"/>
            <w:shd w:val="clear" w:color="auto" w:fill="DCE6F1"/>
            <w:tcMar>
              <w:top w:w="80" w:type="dxa"/>
              <w:left w:w="120" w:type="dxa"/>
              <w:bottom w:w="80" w:type="dxa"/>
              <w:right w:w="120" w:type="dxa"/>
            </w:tcMar>
            <w:vAlign w:val="center"/>
          </w:tcPr>
          <w:p w14:paraId="2F5F9741" w14:textId="77777777" w:rsidR="00644700" w:rsidRPr="00EE1EF0" w:rsidRDefault="00304E2C">
            <w:pPr>
              <w:rPr>
                <w:lang w:val="en-US"/>
              </w:rPr>
            </w:pPr>
            <w:r>
              <w:rPr>
                <w:color w:val="000000"/>
                <w:sz w:val="19"/>
                <w:szCs w:val="19"/>
                <w:lang w:val="en-US"/>
              </w:rPr>
              <w:t>~30% laptops (flat ~7,000 KGS / ~$80 margin per unit); ~70% accessories, peripherals, PC builds, and repairs (~30% markup).</w:t>
            </w:r>
          </w:p>
        </w:tc>
      </w:tr>
      <w:tr w:rsidR="00644700" w:rsidRPr="00E57AF8" w14:paraId="74578E3D" w14:textId="77777777">
        <w:tc>
          <w:tcPr>
            <w:tcW w:w="2600" w:type="dxa"/>
            <w:tcMar>
              <w:top w:w="80" w:type="dxa"/>
              <w:left w:w="120" w:type="dxa"/>
              <w:bottom w:w="80" w:type="dxa"/>
              <w:right w:w="120" w:type="dxa"/>
            </w:tcMar>
            <w:vAlign w:val="center"/>
          </w:tcPr>
          <w:p w14:paraId="391AAB43" w14:textId="77777777" w:rsidR="00644700" w:rsidRDefault="00304E2C">
            <w:r>
              <w:rPr>
                <w:color w:val="000000"/>
                <w:sz w:val="19"/>
                <w:szCs w:val="19"/>
              </w:rPr>
              <w:t>Cost Structure</w:t>
            </w:r>
          </w:p>
        </w:tc>
        <w:tc>
          <w:tcPr>
            <w:tcW w:w="7400" w:type="dxa"/>
            <w:tcMar>
              <w:top w:w="80" w:type="dxa"/>
              <w:left w:w="120" w:type="dxa"/>
              <w:bottom w:w="80" w:type="dxa"/>
              <w:right w:w="120" w:type="dxa"/>
            </w:tcMar>
            <w:vAlign w:val="center"/>
          </w:tcPr>
          <w:p w14:paraId="4F290953" w14:textId="77777777" w:rsidR="00644700" w:rsidRPr="00EE1EF0" w:rsidRDefault="00304E2C">
            <w:pPr>
              <w:rPr>
                <w:lang w:val="en-US"/>
              </w:rPr>
            </w:pPr>
            <w:r>
              <w:rPr>
                <w:color w:val="000000"/>
                <w:sz w:val="19"/>
                <w:szCs w:val="19"/>
                <w:lang w:val="en-US"/>
              </w:rPr>
              <w:t>Rent: $3,000/mo (~260,000 KGS), fixed and non-seasonal. Payroll: 80,000 KGS/mo for 2 hired staff (40,000 KGS each); two working owners draw no fixed salary.</w:t>
            </w:r>
          </w:p>
        </w:tc>
      </w:tr>
      <w:tr w:rsidR="00644700" w:rsidRPr="00E57AF8" w14:paraId="25F85489" w14:textId="77777777">
        <w:tc>
          <w:tcPr>
            <w:tcW w:w="2600" w:type="dxa"/>
            <w:shd w:val="clear" w:color="auto" w:fill="DCE6F1"/>
            <w:tcMar>
              <w:top w:w="80" w:type="dxa"/>
              <w:left w:w="120" w:type="dxa"/>
              <w:bottom w:w="80" w:type="dxa"/>
              <w:right w:w="120" w:type="dxa"/>
            </w:tcMar>
            <w:vAlign w:val="center"/>
          </w:tcPr>
          <w:p w14:paraId="5DF8B93D" w14:textId="77777777" w:rsidR="00644700" w:rsidRDefault="00304E2C">
            <w:r>
              <w:rPr>
                <w:color w:val="000000"/>
                <w:sz w:val="19"/>
                <w:szCs w:val="19"/>
              </w:rPr>
              <w:t>Key Partnership</w:t>
            </w:r>
          </w:p>
        </w:tc>
        <w:tc>
          <w:tcPr>
            <w:tcW w:w="7400" w:type="dxa"/>
            <w:shd w:val="clear" w:color="auto" w:fill="DCE6F1"/>
            <w:tcMar>
              <w:top w:w="80" w:type="dxa"/>
              <w:left w:w="120" w:type="dxa"/>
              <w:bottom w:w="80" w:type="dxa"/>
              <w:right w:w="120" w:type="dxa"/>
            </w:tcMar>
            <w:vAlign w:val="center"/>
          </w:tcPr>
          <w:p w14:paraId="29E73566" w14:textId="77777777" w:rsidR="00644700" w:rsidRPr="00EE1EF0" w:rsidRDefault="00304E2C">
            <w:pPr>
              <w:rPr>
                <w:lang w:val="en-US"/>
              </w:rPr>
            </w:pPr>
            <w:r>
              <w:rPr>
                <w:color w:val="000000"/>
                <w:sz w:val="19"/>
                <w:szCs w:val="19"/>
                <w:lang w:val="en-US"/>
              </w:rPr>
              <w:t>An informal 5th, unsalaried associate sells his own projector inventory through the storefront, paying a 5,000 KGS commission per unit sold, and cross-covers sales-floor duties.</w:t>
            </w:r>
          </w:p>
        </w:tc>
      </w:tr>
    </w:tbl>
    <w:p w14:paraId="42CFD460" w14:textId="77777777" w:rsidR="00644700" w:rsidRPr="00EE1EF0" w:rsidRDefault="00304E2C">
      <w:pPr>
        <w:spacing w:before="80" w:after="240"/>
        <w:rPr>
          <w:lang w:val="en-US"/>
        </w:rPr>
      </w:pPr>
      <w:r>
        <w:rPr>
          <w:i/>
          <w:iCs/>
          <w:color w:val="595959"/>
          <w:sz w:val="18"/>
          <w:szCs w:val="18"/>
          <w:lang w:val="en-US"/>
        </w:rPr>
        <w:t>Table 1. Business Model Canvas summarising iComp's value creation, delivery, and capture logic.</w:t>
      </w:r>
    </w:p>
    <w:p w14:paraId="3A134117" w14:textId="77777777" w:rsidR="00644700" w:rsidRPr="00EE1EF0" w:rsidRDefault="00304E2C">
      <w:pPr>
        <w:pStyle w:val="Heading2"/>
        <w:spacing w:before="320" w:after="160"/>
        <w:rPr>
          <w:lang w:val="en-US"/>
        </w:rPr>
      </w:pPr>
      <w:r>
        <w:rPr>
          <w:b/>
          <w:bCs/>
          <w:color w:val="2E5395"/>
          <w:sz w:val="24"/>
          <w:szCs w:val="24"/>
          <w:lang w:val="en-US"/>
        </w:rPr>
        <w:t>2.2 Unit Economics: The Laptop-Margin Paradox</w:t>
      </w:r>
    </w:p>
    <w:p w14:paraId="0FB4DD82" w14:textId="77777777" w:rsidR="00644700" w:rsidRPr="00EE1EF0" w:rsidRDefault="00304E2C">
      <w:pPr>
        <w:spacing w:after="160" w:line="276" w:lineRule="auto"/>
        <w:jc w:val="both"/>
        <w:rPr>
          <w:lang w:val="en-US"/>
        </w:rPr>
      </w:pPr>
      <w:r>
        <w:rPr>
          <w:sz w:val="21"/>
          <w:szCs w:val="21"/>
          <w:lang w:val="en-US"/>
        </w:rPr>
        <w:t>A defining feature of iComp's financial structure is the inverse relationship between category visibility and category profitability. Laptops are the product the business is known for and the reason most customers walk in — yet at a flat ~$80 margin per unit and roughly three units sold per day even at peak season, laptops function closer to a traffic-generation and trust-building mechanism than a primary profit centre. The ~30% markup on accessories, custom PC builds, and repair services — categories with far lower unit price but far higher relative margin — is what actually carries the business's fixed cost base, most notably the $3,000 monthly rent.</w:t>
      </w:r>
    </w:p>
    <w:p w14:paraId="28A28903" w14:textId="77777777" w:rsidR="00644700" w:rsidRPr="00EE1EF0" w:rsidRDefault="00304E2C">
      <w:pPr>
        <w:pStyle w:val="Heading2"/>
        <w:spacing w:before="320" w:after="160"/>
        <w:rPr>
          <w:lang w:val="en-US"/>
        </w:rPr>
      </w:pPr>
      <w:r>
        <w:rPr>
          <w:b/>
          <w:bCs/>
          <w:color w:val="2E5395"/>
          <w:sz w:val="24"/>
          <w:szCs w:val="24"/>
          <w:lang w:val="en-US"/>
        </w:rPr>
        <w:t>2.3 Local Cost Benchmarking</w:t>
      </w:r>
    </w:p>
    <w:p w14:paraId="7E6F082F" w14:textId="77777777" w:rsidR="00644700" w:rsidRPr="00EE1EF0" w:rsidRDefault="00304E2C">
      <w:pPr>
        <w:spacing w:after="160" w:line="276" w:lineRule="auto"/>
        <w:jc w:val="both"/>
        <w:rPr>
          <w:lang w:val="en-US"/>
        </w:rPr>
      </w:pPr>
      <w:r>
        <w:rPr>
          <w:sz w:val="21"/>
          <w:szCs w:val="21"/>
          <w:lang w:val="en-US"/>
        </w:rPr>
        <w:t>At $3,000/month, iComp's rent for a single retail unit represents a significant fixed-cost burden relative to typical small-format retail rents in Bishkek's secondary shopping centres, reflecting the premium the business pays for its top-of-escalator, 4th-floor position in one of the city's most-visited department stores. Combined with 80,000 KGS in formal payroll, the business's fixed monthly cost floor is in the range of 340,000–350,000 KGS (~$3,900) before any variable cost of goods sold is considered — a floor that must be cleared even during the near-zero-laptop-sale winter and summer troughs described in Section 3. It is worth noting that both the rent and salary figures are rounded, ownership-reported approximations rather than exact contractual values; the fixed-cost floor above should therefore be read as a close estimate rather than an audited figure.</w:t>
      </w:r>
    </w:p>
    <w:p w14:paraId="0499F9F3" w14:textId="77777777" w:rsidR="00644700" w:rsidRPr="00EE1EF0" w:rsidRDefault="00304E2C">
      <w:pPr>
        <w:pStyle w:val="Heading2"/>
        <w:spacing w:before="320" w:after="160"/>
        <w:rPr>
          <w:lang w:val="en-US"/>
        </w:rPr>
      </w:pPr>
      <w:r>
        <w:rPr>
          <w:b/>
          <w:bCs/>
          <w:color w:val="2E5395"/>
          <w:sz w:val="24"/>
          <w:szCs w:val="24"/>
          <w:lang w:val="en-US"/>
        </w:rPr>
        <w:t>2.4 Financing Friction as a Revenue Ceiling</w:t>
      </w:r>
    </w:p>
    <w:p w14:paraId="221690F5" w14:textId="77777777" w:rsidR="00644700" w:rsidRPr="00EE1EF0" w:rsidRDefault="00304E2C">
      <w:pPr>
        <w:spacing w:after="160" w:line="276" w:lineRule="auto"/>
        <w:jc w:val="both"/>
        <w:rPr>
          <w:lang w:val="en-US"/>
        </w:rPr>
      </w:pPr>
      <w:r>
        <w:rPr>
          <w:sz w:val="21"/>
          <w:szCs w:val="21"/>
          <w:lang w:val="en-US"/>
        </w:rPr>
        <w:t xml:space="preserve">Only ~20% of purchases currently use bank installment financing, despite laptops sitting at a price point (35,000–140,000 KGS) that is genuinely difficult for many student households to pay in a single cash transaction. This is not primarily a demand-side reluctance but a supply-side friction problem: the bureaucratic complexity of partner-bank </w:t>
        <w:lastRenderedPageBreak/>
        <w:t>installment approval discourages both customers and sales staff from pursuing it as a default option, effectively capping conversion among price-constrained, otherwise-willing buyers.</w:t>
      </w:r>
    </w:p>
    <w:p w14:paraId="56C3CAE3" w14:textId="77777777" w:rsidR="00644700" w:rsidRPr="00EE1EF0" w:rsidRDefault="00304E2C">
      <w:pPr>
        <w:rPr>
          <w:lang w:val="en-US"/>
        </w:rPr>
      </w:pPr>
      <w:r>
        <w:rPr>
          <w:lang w:val="en-US"/>
        </w:rPr>
        <w:br w:type="page"/>
      </w:r>
    </w:p>
    <w:p w14:paraId="304B5609" w14:textId="77777777" w:rsidR="00644700" w:rsidRPr="00EE1EF0" w:rsidRDefault="00304E2C">
      <w:pPr>
        <w:pStyle w:val="Heading1"/>
        <w:pBdr>
          <w:bottom w:val="single" w:sz="8" w:space="4" w:color="1F3864"/>
        </w:pBdr>
        <w:spacing w:before="480" w:after="240"/>
        <w:rPr>
          <w:lang w:val="en-US"/>
        </w:rPr>
      </w:pPr>
      <w:r>
        <w:rPr>
          <w:b/>
          <w:bCs/>
          <w:color w:val="1F3864"/>
          <w:sz w:val="30"/>
          <w:szCs w:val="30"/>
          <w:lang w:val="en-US"/>
        </w:rPr>
        <w:lastRenderedPageBreak/>
        <w:t>3. Market Dynamics &amp; Behavioral Economics</w:t>
      </w:r>
    </w:p>
    <w:p w14:paraId="55305C81" w14:textId="77777777" w:rsidR="00644700" w:rsidRPr="00EE1EF0" w:rsidRDefault="00304E2C">
      <w:pPr>
        <w:pStyle w:val="Heading2"/>
        <w:spacing w:before="320" w:after="160"/>
        <w:rPr>
          <w:lang w:val="en-US"/>
        </w:rPr>
      </w:pPr>
      <w:r>
        <w:rPr>
          <w:b/>
          <w:bCs/>
          <w:color w:val="2E5395"/>
          <w:sz w:val="24"/>
          <w:szCs w:val="24"/>
          <w:lang w:val="en-US"/>
        </w:rPr>
        <w:t>3.1 The “Expert-Assisted Purchase” Behavioral Pattern</w:t>
      </w:r>
    </w:p>
    <w:p w14:paraId="3B599469" w14:textId="77777777" w:rsidR="00644700" w:rsidRPr="00EE1EF0" w:rsidRDefault="00304E2C">
      <w:pPr>
        <w:spacing w:after="160" w:line="276" w:lineRule="auto"/>
        <w:jc w:val="both"/>
        <w:rPr>
          <w:lang w:val="en-US"/>
        </w:rPr>
      </w:pPr>
      <w:r>
        <w:rPr>
          <w:sz w:val="21"/>
          <w:szCs w:val="21"/>
          <w:lang w:val="en-US"/>
        </w:rPr>
        <w:t>Electronics purchases in this market segment are rarely solo decisions. Because laptops represent a high-involvement, high-perceived-risk purchase for students and parents with limited technical fluency, buyers routinely bring a trusted, tech-savvy third party — a friend, older sibling, or relative — to validate the decision before committing. This creates a critical, underappreciated dynamic: the actual sales conversation is frequently directed at the expert, not the end buyer, and the expert's prior sentiment toward a given shop or salesperson can make or break a transaction regardless of price or product fit. iComp's two-decade operating history has organically built exactly this kind of standing reputation among a generation of “veteran experts” in Bishkek — a moat that is nearly impossible for a newer competitor to replicate quickly, but one that is also generationally finite if the pipeline of new “experts” who know the shop is not actively renewed.</w:t>
      </w:r>
    </w:p>
    <w:p w14:paraId="769F47EC" w14:textId="77777777" w:rsidR="00644700" w:rsidRPr="00EE1EF0" w:rsidRDefault="00304E2C">
      <w:pPr>
        <w:pStyle w:val="Heading2"/>
        <w:spacing w:before="320" w:after="160"/>
        <w:rPr>
          <w:lang w:val="en-US"/>
        </w:rPr>
      </w:pPr>
      <w:r>
        <w:rPr>
          <w:b/>
          <w:bCs/>
          <w:color w:val="2E5395"/>
          <w:sz w:val="24"/>
          <w:szCs w:val="24"/>
          <w:lang w:val="en-US"/>
        </w:rPr>
        <w:t>3.2 Information Asymmetry and Trust as a Switching Cost</w:t>
      </w:r>
    </w:p>
    <w:p w14:paraId="57972963" w14:textId="77777777" w:rsidR="00644700" w:rsidRPr="00EE1EF0" w:rsidRDefault="00304E2C">
      <w:pPr>
        <w:spacing w:after="160" w:line="276" w:lineRule="auto"/>
        <w:jc w:val="both"/>
        <w:rPr>
          <w:lang w:val="en-US"/>
        </w:rPr>
      </w:pPr>
      <w:r>
        <w:rPr>
          <w:sz w:val="21"/>
          <w:szCs w:val="21"/>
          <w:lang w:val="en-US"/>
        </w:rPr>
        <w:t>Because most buyers cannot independently evaluate technical specifications or fair pricing, trust functions as a de facto switching cost: once a customer (or their expert) has a positive experience with iComp, the perceived risk of trying an unfamiliar competitor — even one with a more attractive storefront — rises accordingly. This is the behavioral-economics foundation of iComp's customer retention, and it explains why the business has historically been able to compete on service and trust rather than price or visual presentation.</w:t>
      </w:r>
    </w:p>
    <w:p w14:paraId="5D1B9028" w14:textId="77777777" w:rsidR="00644700" w:rsidRPr="00EE1EF0" w:rsidRDefault="00304E2C">
      <w:pPr>
        <w:pStyle w:val="Heading2"/>
        <w:spacing w:before="320" w:after="160"/>
        <w:rPr>
          <w:lang w:val="en-US"/>
        </w:rPr>
      </w:pPr>
      <w:r>
        <w:rPr>
          <w:b/>
          <w:bCs/>
          <w:color w:val="2E5395"/>
          <w:sz w:val="24"/>
          <w:szCs w:val="24"/>
          <w:lang w:val="en-US"/>
        </w:rPr>
        <w:t>3.3 Seasonality and the Academic Demand Cycle</w:t>
      </w:r>
    </w:p>
    <w:p w14:paraId="05763C88" w14:textId="77777777" w:rsidR="00644700" w:rsidRPr="00EE1EF0" w:rsidRDefault="00304E2C">
      <w:pPr>
        <w:spacing w:after="160" w:line="276" w:lineRule="auto"/>
        <w:jc w:val="both"/>
        <w:rPr>
          <w:lang w:val="en-US"/>
        </w:rPr>
      </w:pPr>
      <w:r>
        <w:rPr>
          <w:sz w:val="21"/>
          <w:szCs w:val="21"/>
          <w:lang w:val="en-US"/>
        </w:rPr>
        <w:t>Demand tracks Kyrgyzstan's academic calendar closely, producing a highly predictable but volatile annual cycle: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000"/>
        <w:gridCol w:w="1900"/>
        <w:gridCol w:w="2200"/>
      </w:tblGrid>
      <w:tr w:rsidR="00644700" w14:paraId="37531313" w14:textId="77777777">
        <w:trPr>
          <w:tblHeader/>
        </w:trPr>
        <w:tc>
          <w:tcPr>
            <w:tcW w:w="2000" w:type="dxa"/>
            <w:shd w:val="clear" w:color="auto" w:fill="1F3864"/>
            <w:tcMar>
              <w:top w:w="80" w:type="dxa"/>
              <w:left w:w="120" w:type="dxa"/>
              <w:bottom w:w="80" w:type="dxa"/>
              <w:right w:w="120" w:type="dxa"/>
            </w:tcMar>
            <w:vAlign w:val="center"/>
          </w:tcPr>
          <w:p w14:paraId="23FCD366" w14:textId="77777777" w:rsidR="00644700" w:rsidRDefault="00304E2C">
            <w:r>
              <w:rPr>
                <w:b/>
                <w:bCs/>
                <w:color w:val="FFFFFF"/>
                <w:sz w:val="19"/>
                <w:szCs w:val="19"/>
              </w:rPr>
              <w:t>Season</w:t>
            </w:r>
          </w:p>
        </w:tc>
        <w:tc>
          <w:tcPr>
            <w:tcW w:w="1900" w:type="dxa"/>
            <w:shd w:val="clear" w:color="auto" w:fill="1F3864"/>
            <w:tcMar>
              <w:top w:w="80" w:type="dxa"/>
              <w:left w:w="120" w:type="dxa"/>
              <w:bottom w:w="80" w:type="dxa"/>
              <w:right w:w="120" w:type="dxa"/>
            </w:tcMar>
            <w:vAlign w:val="center"/>
          </w:tcPr>
          <w:p w14:paraId="3546A70E" w14:textId="77777777" w:rsidR="00644700" w:rsidRDefault="00304E2C">
            <w:r>
              <w:rPr>
                <w:b/>
                <w:bCs/>
                <w:color w:val="FFFFFF"/>
                <w:sz w:val="19"/>
                <w:szCs w:val="19"/>
              </w:rPr>
              <w:t>Daily Foot Traffic</w:t>
            </w:r>
          </w:p>
        </w:tc>
        <w:tc>
          <w:tcPr>
            <w:tcW w:w="2000" w:type="dxa"/>
            <w:shd w:val="clear" w:color="auto" w:fill="1F3864"/>
            <w:tcMar>
              <w:top w:w="80" w:type="dxa"/>
              <w:left w:w="120" w:type="dxa"/>
              <w:bottom w:w="80" w:type="dxa"/>
              <w:right w:w="120" w:type="dxa"/>
            </w:tcMar>
            <w:vAlign w:val="center"/>
          </w:tcPr>
          <w:p w14:paraId="728383FF" w14:textId="77777777" w:rsidR="00644700" w:rsidRDefault="00304E2C">
            <w:r>
              <w:rPr>
                <w:b/>
                <w:bCs/>
                <w:color w:val="FFFFFF"/>
                <w:sz w:val="19"/>
                <w:szCs w:val="19"/>
              </w:rPr>
              <w:t>Accessory Sales / Day</w:t>
            </w:r>
          </w:p>
        </w:tc>
        <w:tc>
          <w:tcPr>
            <w:tcW w:w="1900" w:type="dxa"/>
            <w:shd w:val="clear" w:color="auto" w:fill="1F3864"/>
            <w:tcMar>
              <w:top w:w="80" w:type="dxa"/>
              <w:left w:w="120" w:type="dxa"/>
              <w:bottom w:w="80" w:type="dxa"/>
              <w:right w:w="120" w:type="dxa"/>
            </w:tcMar>
            <w:vAlign w:val="center"/>
          </w:tcPr>
          <w:p w14:paraId="3A6BCB84" w14:textId="77777777" w:rsidR="00644700" w:rsidRDefault="00304E2C">
            <w:r>
              <w:rPr>
                <w:b/>
                <w:bCs/>
                <w:color w:val="FFFFFF"/>
                <w:sz w:val="19"/>
                <w:szCs w:val="19"/>
              </w:rPr>
              <w:t>Laptop Sales / Day</w:t>
            </w:r>
          </w:p>
        </w:tc>
        <w:tc>
          <w:tcPr>
            <w:tcW w:w="2200" w:type="dxa"/>
            <w:shd w:val="clear" w:color="auto" w:fill="1F3864"/>
            <w:tcMar>
              <w:top w:w="80" w:type="dxa"/>
              <w:left w:w="120" w:type="dxa"/>
              <w:bottom w:w="80" w:type="dxa"/>
              <w:right w:w="120" w:type="dxa"/>
            </w:tcMar>
            <w:vAlign w:val="center"/>
          </w:tcPr>
          <w:p w14:paraId="546B66C9" w14:textId="77777777" w:rsidR="00644700" w:rsidRDefault="00304E2C">
            <w:r>
              <w:rPr>
                <w:b/>
                <w:bCs/>
                <w:color w:val="FFFFFF"/>
                <w:sz w:val="19"/>
                <w:szCs w:val="19"/>
              </w:rPr>
              <w:t>Strategic Posture</w:t>
            </w:r>
          </w:p>
        </w:tc>
      </w:tr>
      <w:tr w:rsidR="00644700" w:rsidRPr="00E57AF8" w14:paraId="4703CCE8" w14:textId="77777777">
        <w:tc>
          <w:tcPr>
            <w:tcW w:w="2000" w:type="dxa"/>
            <w:tcMar>
              <w:top w:w="80" w:type="dxa"/>
              <w:left w:w="120" w:type="dxa"/>
              <w:bottom w:w="80" w:type="dxa"/>
              <w:right w:w="120" w:type="dxa"/>
            </w:tcMar>
            <w:vAlign w:val="center"/>
          </w:tcPr>
          <w:p w14:paraId="090F8284" w14:textId="77777777" w:rsidR="00644700" w:rsidRDefault="00304E2C">
            <w:r>
              <w:rPr>
                <w:color w:val="000000"/>
                <w:sz w:val="19"/>
                <w:szCs w:val="19"/>
              </w:rPr>
              <w:t>Peak (Aug–Oct)</w:t>
            </w:r>
          </w:p>
        </w:tc>
        <w:tc>
          <w:tcPr>
            <w:tcW w:w="1900" w:type="dxa"/>
            <w:tcMar>
              <w:top w:w="80" w:type="dxa"/>
              <w:left w:w="120" w:type="dxa"/>
              <w:bottom w:w="80" w:type="dxa"/>
              <w:right w:w="120" w:type="dxa"/>
            </w:tcMar>
            <w:vAlign w:val="center"/>
          </w:tcPr>
          <w:p w14:paraId="330EC7CA" w14:textId="77777777" w:rsidR="00644700" w:rsidRDefault="00304E2C">
            <w:r>
              <w:rPr>
                <w:color w:val="000000"/>
                <w:sz w:val="19"/>
                <w:szCs w:val="19"/>
              </w:rPr>
              <w:t>~70</w:t>
            </w:r>
          </w:p>
        </w:tc>
        <w:tc>
          <w:tcPr>
            <w:tcW w:w="2000" w:type="dxa"/>
            <w:tcMar>
              <w:top w:w="80" w:type="dxa"/>
              <w:left w:w="120" w:type="dxa"/>
              <w:bottom w:w="80" w:type="dxa"/>
              <w:right w:w="120" w:type="dxa"/>
            </w:tcMar>
            <w:vAlign w:val="center"/>
          </w:tcPr>
          <w:p w14:paraId="59134EF2" w14:textId="77777777" w:rsidR="00644700" w:rsidRDefault="00304E2C">
            <w:r>
              <w:rPr>
                <w:color w:val="000000"/>
                <w:sz w:val="19"/>
                <w:szCs w:val="19"/>
              </w:rPr>
              <w:t>~35</w:t>
            </w:r>
          </w:p>
        </w:tc>
        <w:tc>
          <w:tcPr>
            <w:tcW w:w="1900" w:type="dxa"/>
            <w:tcMar>
              <w:top w:w="80" w:type="dxa"/>
              <w:left w:w="120" w:type="dxa"/>
              <w:bottom w:w="80" w:type="dxa"/>
              <w:right w:w="120" w:type="dxa"/>
            </w:tcMar>
            <w:vAlign w:val="center"/>
          </w:tcPr>
          <w:p w14:paraId="54C88D74" w14:textId="77777777" w:rsidR="00644700" w:rsidRDefault="00304E2C">
            <w:r>
              <w:rPr>
                <w:color w:val="000000"/>
                <w:sz w:val="19"/>
                <w:szCs w:val="19"/>
              </w:rPr>
              <w:t>~3</w:t>
            </w:r>
          </w:p>
        </w:tc>
        <w:tc>
          <w:tcPr>
            <w:tcW w:w="2200" w:type="dxa"/>
            <w:tcMar>
              <w:top w:w="80" w:type="dxa"/>
              <w:left w:w="120" w:type="dxa"/>
              <w:bottom w:w="80" w:type="dxa"/>
              <w:right w:w="120" w:type="dxa"/>
            </w:tcMar>
            <w:vAlign w:val="center"/>
          </w:tcPr>
          <w:p w14:paraId="2CE7786E" w14:textId="77777777" w:rsidR="00644700" w:rsidRPr="00EE1EF0" w:rsidRDefault="00304E2C">
            <w:pPr>
              <w:rPr>
                <w:lang w:val="en-US"/>
              </w:rPr>
            </w:pPr>
            <w:r>
              <w:rPr>
                <w:color w:val="000000"/>
                <w:sz w:val="19"/>
                <w:szCs w:val="19"/>
                <w:lang w:val="en-US"/>
              </w:rPr>
              <w:t>Margin maximisation; build cash reserve for low seasons</w:t>
            </w:r>
          </w:p>
        </w:tc>
      </w:tr>
      <w:tr w:rsidR="00644700" w:rsidRPr="00E57AF8" w14:paraId="29EFEDDE" w14:textId="77777777">
        <w:tc>
          <w:tcPr>
            <w:tcW w:w="2000" w:type="dxa"/>
            <w:shd w:val="clear" w:color="auto" w:fill="DCE6F1"/>
            <w:tcMar>
              <w:top w:w="80" w:type="dxa"/>
              <w:left w:w="120" w:type="dxa"/>
              <w:bottom w:w="80" w:type="dxa"/>
              <w:right w:w="120" w:type="dxa"/>
            </w:tcMar>
            <w:vAlign w:val="center"/>
          </w:tcPr>
          <w:p w14:paraId="77D8BBEA" w14:textId="77777777" w:rsidR="00644700" w:rsidRDefault="00304E2C">
            <w:r>
              <w:rPr>
                <w:color w:val="000000"/>
                <w:sz w:val="19"/>
                <w:szCs w:val="19"/>
              </w:rPr>
              <w:t>Winter (Nov–Dec)</w:t>
            </w:r>
          </w:p>
        </w:tc>
        <w:tc>
          <w:tcPr>
            <w:tcW w:w="1900" w:type="dxa"/>
            <w:shd w:val="clear" w:color="auto" w:fill="DCE6F1"/>
            <w:tcMar>
              <w:top w:w="80" w:type="dxa"/>
              <w:left w:w="120" w:type="dxa"/>
              <w:bottom w:w="80" w:type="dxa"/>
              <w:right w:w="120" w:type="dxa"/>
            </w:tcMar>
            <w:vAlign w:val="center"/>
          </w:tcPr>
          <w:p w14:paraId="50AE05D4" w14:textId="77777777" w:rsidR="00644700" w:rsidRDefault="00304E2C">
            <w:r>
              <w:rPr>
                <w:color w:val="000000"/>
                <w:sz w:val="19"/>
                <w:szCs w:val="19"/>
              </w:rPr>
              <w:t>~45</w:t>
            </w:r>
          </w:p>
        </w:tc>
        <w:tc>
          <w:tcPr>
            <w:tcW w:w="2000" w:type="dxa"/>
            <w:shd w:val="clear" w:color="auto" w:fill="DCE6F1"/>
            <w:tcMar>
              <w:top w:w="80" w:type="dxa"/>
              <w:left w:w="120" w:type="dxa"/>
              <w:bottom w:w="80" w:type="dxa"/>
              <w:right w:w="120" w:type="dxa"/>
            </w:tcMar>
            <w:vAlign w:val="center"/>
          </w:tcPr>
          <w:p w14:paraId="3F227FBD" w14:textId="77777777" w:rsidR="00644700" w:rsidRDefault="00304E2C">
            <w:r>
              <w:rPr>
                <w:color w:val="000000"/>
                <w:sz w:val="19"/>
                <w:szCs w:val="19"/>
              </w:rPr>
              <w:t>~22</w:t>
            </w:r>
          </w:p>
        </w:tc>
        <w:tc>
          <w:tcPr>
            <w:tcW w:w="1900" w:type="dxa"/>
            <w:shd w:val="clear" w:color="auto" w:fill="DCE6F1"/>
            <w:tcMar>
              <w:top w:w="80" w:type="dxa"/>
              <w:left w:w="120" w:type="dxa"/>
              <w:bottom w:w="80" w:type="dxa"/>
              <w:right w:w="120" w:type="dxa"/>
            </w:tcMar>
            <w:vAlign w:val="center"/>
          </w:tcPr>
          <w:p w14:paraId="298B5AD1" w14:textId="77777777" w:rsidR="00644700" w:rsidRDefault="00304E2C">
            <w:r>
              <w:rPr>
                <w:color w:val="000000"/>
                <w:sz w:val="19"/>
                <w:szCs w:val="19"/>
              </w:rPr>
              <w:t>&lt;1 (pre-NY bump)</w:t>
            </w:r>
          </w:p>
        </w:tc>
        <w:tc>
          <w:tcPr>
            <w:tcW w:w="2200" w:type="dxa"/>
            <w:shd w:val="clear" w:color="auto" w:fill="DCE6F1"/>
            <w:tcMar>
              <w:top w:w="80" w:type="dxa"/>
              <w:left w:w="120" w:type="dxa"/>
              <w:bottom w:w="80" w:type="dxa"/>
              <w:right w:w="120" w:type="dxa"/>
            </w:tcMar>
            <w:vAlign w:val="center"/>
          </w:tcPr>
          <w:p w14:paraId="6227BFA4" w14:textId="77777777" w:rsidR="00644700" w:rsidRPr="00EE1EF0" w:rsidRDefault="00304E2C">
            <w:pPr>
              <w:rPr>
                <w:lang w:val="en-US"/>
              </w:rPr>
            </w:pPr>
            <w:r>
              <w:rPr>
                <w:color w:val="000000"/>
                <w:sz w:val="19"/>
                <w:szCs w:val="19"/>
                <w:lang w:val="en-US"/>
              </w:rPr>
              <w:t>Shift focus to accessories and service revenue</w:t>
            </w:r>
          </w:p>
        </w:tc>
      </w:tr>
      <w:tr w:rsidR="00644700" w14:paraId="229FEFCE" w14:textId="77777777">
        <w:tc>
          <w:tcPr>
            <w:tcW w:w="2000" w:type="dxa"/>
            <w:tcMar>
              <w:top w:w="80" w:type="dxa"/>
              <w:left w:w="120" w:type="dxa"/>
              <w:bottom w:w="80" w:type="dxa"/>
              <w:right w:w="120" w:type="dxa"/>
            </w:tcMar>
            <w:vAlign w:val="center"/>
          </w:tcPr>
          <w:p w14:paraId="748517B7" w14:textId="77777777" w:rsidR="00644700" w:rsidRDefault="00304E2C">
            <w:r>
              <w:rPr>
                <w:color w:val="000000"/>
                <w:sz w:val="19"/>
                <w:szCs w:val="19"/>
              </w:rPr>
              <w:t>Dry (Jan–Feb)</w:t>
            </w:r>
          </w:p>
        </w:tc>
        <w:tc>
          <w:tcPr>
            <w:tcW w:w="1900" w:type="dxa"/>
            <w:tcMar>
              <w:top w:w="80" w:type="dxa"/>
              <w:left w:w="120" w:type="dxa"/>
              <w:bottom w:w="80" w:type="dxa"/>
              <w:right w:w="120" w:type="dxa"/>
            </w:tcMar>
            <w:vAlign w:val="center"/>
          </w:tcPr>
          <w:p w14:paraId="30EBBEEB" w14:textId="77777777" w:rsidR="00644700" w:rsidRDefault="00304E2C">
            <w:r>
              <w:rPr>
                <w:color w:val="000000"/>
                <w:sz w:val="19"/>
                <w:szCs w:val="19"/>
              </w:rPr>
              <w:t>Low</w:t>
            </w:r>
          </w:p>
        </w:tc>
        <w:tc>
          <w:tcPr>
            <w:tcW w:w="2000" w:type="dxa"/>
            <w:tcMar>
              <w:top w:w="80" w:type="dxa"/>
              <w:left w:w="120" w:type="dxa"/>
              <w:bottom w:w="80" w:type="dxa"/>
              <w:right w:w="120" w:type="dxa"/>
            </w:tcMar>
            <w:vAlign w:val="center"/>
          </w:tcPr>
          <w:p w14:paraId="5F080587" w14:textId="77777777" w:rsidR="00644700" w:rsidRDefault="00304E2C">
            <w:r>
              <w:rPr>
                <w:color w:val="000000"/>
                <w:sz w:val="19"/>
                <w:szCs w:val="19"/>
              </w:rPr>
              <w:t>Low</w:t>
            </w:r>
          </w:p>
        </w:tc>
        <w:tc>
          <w:tcPr>
            <w:tcW w:w="1900" w:type="dxa"/>
            <w:tcMar>
              <w:top w:w="80" w:type="dxa"/>
              <w:left w:w="120" w:type="dxa"/>
              <w:bottom w:w="80" w:type="dxa"/>
              <w:right w:w="120" w:type="dxa"/>
            </w:tcMar>
            <w:vAlign w:val="center"/>
          </w:tcPr>
          <w:p w14:paraId="51C8E2CF" w14:textId="77777777" w:rsidR="00644700" w:rsidRDefault="00304E2C">
            <w:r>
              <w:rPr>
                <w:color w:val="000000"/>
                <w:sz w:val="19"/>
                <w:szCs w:val="19"/>
              </w:rPr>
              <w:t>~0</w:t>
            </w:r>
          </w:p>
        </w:tc>
        <w:tc>
          <w:tcPr>
            <w:tcW w:w="2200" w:type="dxa"/>
            <w:tcMar>
              <w:top w:w="80" w:type="dxa"/>
              <w:left w:w="120" w:type="dxa"/>
              <w:bottom w:w="80" w:type="dxa"/>
              <w:right w:w="120" w:type="dxa"/>
            </w:tcMar>
            <w:vAlign w:val="center"/>
          </w:tcPr>
          <w:p w14:paraId="22B20614" w14:textId="77777777" w:rsidR="00644700" w:rsidRDefault="00304E2C">
            <w:r>
              <w:rPr>
                <w:color w:val="000000"/>
                <w:sz w:val="19"/>
                <w:szCs w:val="19"/>
              </w:rPr>
              <w:t>Survival mode; cost discipline</w:t>
            </w:r>
          </w:p>
        </w:tc>
      </w:tr>
      <w:tr w:rsidR="00644700" w14:paraId="48A3DA40" w14:textId="77777777">
        <w:tc>
          <w:tcPr>
            <w:tcW w:w="2000" w:type="dxa"/>
            <w:shd w:val="clear" w:color="auto" w:fill="DCE6F1"/>
            <w:tcMar>
              <w:top w:w="80" w:type="dxa"/>
              <w:left w:w="120" w:type="dxa"/>
              <w:bottom w:w="80" w:type="dxa"/>
              <w:right w:w="120" w:type="dxa"/>
            </w:tcMar>
            <w:vAlign w:val="center"/>
          </w:tcPr>
          <w:p w14:paraId="6CBF70B3" w14:textId="77777777" w:rsidR="00644700" w:rsidRDefault="00304E2C">
            <w:r>
              <w:rPr>
                <w:color w:val="000000"/>
                <w:sz w:val="19"/>
                <w:szCs w:val="19"/>
              </w:rPr>
              <w:t>Spring (Mar–May)</w:t>
            </w:r>
          </w:p>
        </w:tc>
        <w:tc>
          <w:tcPr>
            <w:tcW w:w="1900" w:type="dxa"/>
            <w:shd w:val="clear" w:color="auto" w:fill="DCE6F1"/>
            <w:tcMar>
              <w:top w:w="80" w:type="dxa"/>
              <w:left w:w="120" w:type="dxa"/>
              <w:bottom w:w="80" w:type="dxa"/>
              <w:right w:w="120" w:type="dxa"/>
            </w:tcMar>
            <w:vAlign w:val="center"/>
          </w:tcPr>
          <w:p w14:paraId="07536C15" w14:textId="77777777" w:rsidR="00644700" w:rsidRDefault="00304E2C">
            <w:r>
              <w:rPr>
                <w:color w:val="000000"/>
                <w:sz w:val="19"/>
                <w:szCs w:val="19"/>
              </w:rPr>
              <w:t>~35</w:t>
            </w:r>
          </w:p>
        </w:tc>
        <w:tc>
          <w:tcPr>
            <w:tcW w:w="2000" w:type="dxa"/>
            <w:shd w:val="clear" w:color="auto" w:fill="DCE6F1"/>
            <w:tcMar>
              <w:top w:w="80" w:type="dxa"/>
              <w:left w:w="120" w:type="dxa"/>
              <w:bottom w:w="80" w:type="dxa"/>
              <w:right w:w="120" w:type="dxa"/>
            </w:tcMar>
            <w:vAlign w:val="center"/>
          </w:tcPr>
          <w:p w14:paraId="26660838" w14:textId="77777777" w:rsidR="00644700" w:rsidRDefault="00304E2C">
            <w:r>
              <w:rPr>
                <w:color w:val="000000"/>
                <w:sz w:val="19"/>
                <w:szCs w:val="19"/>
              </w:rPr>
              <w:t>~18</w:t>
            </w:r>
          </w:p>
        </w:tc>
        <w:tc>
          <w:tcPr>
            <w:tcW w:w="1900" w:type="dxa"/>
            <w:shd w:val="clear" w:color="auto" w:fill="DCE6F1"/>
            <w:tcMar>
              <w:top w:w="80" w:type="dxa"/>
              <w:left w:w="120" w:type="dxa"/>
              <w:bottom w:w="80" w:type="dxa"/>
              <w:right w:w="120" w:type="dxa"/>
            </w:tcMar>
            <w:vAlign w:val="center"/>
          </w:tcPr>
          <w:p w14:paraId="335614BA" w14:textId="77777777" w:rsidR="00644700" w:rsidRDefault="00304E2C">
            <w:r>
              <w:rPr>
                <w:color w:val="000000"/>
                <w:sz w:val="19"/>
                <w:szCs w:val="19"/>
              </w:rPr>
              <w:t>~2</w:t>
            </w:r>
          </w:p>
        </w:tc>
        <w:tc>
          <w:tcPr>
            <w:tcW w:w="2200" w:type="dxa"/>
            <w:shd w:val="clear" w:color="auto" w:fill="DCE6F1"/>
            <w:tcMar>
              <w:top w:w="80" w:type="dxa"/>
              <w:left w:w="120" w:type="dxa"/>
              <w:bottom w:w="80" w:type="dxa"/>
              <w:right w:w="120" w:type="dxa"/>
            </w:tcMar>
            <w:vAlign w:val="center"/>
          </w:tcPr>
          <w:p w14:paraId="0865E8E2" w14:textId="77777777" w:rsidR="00644700" w:rsidRDefault="00304E2C">
            <w:r>
              <w:rPr>
                <w:color w:val="000000"/>
                <w:sz w:val="19"/>
                <w:szCs w:val="19"/>
              </w:rPr>
              <w:t>Stable plateau; steady replenishment</w:t>
            </w:r>
          </w:p>
        </w:tc>
      </w:tr>
      <w:tr w:rsidR="00644700" w14:paraId="2080B2FB" w14:textId="77777777">
        <w:tc>
          <w:tcPr>
            <w:tcW w:w="2000" w:type="dxa"/>
            <w:tcMar>
              <w:top w:w="80" w:type="dxa"/>
              <w:left w:w="120" w:type="dxa"/>
              <w:bottom w:w="80" w:type="dxa"/>
              <w:right w:w="120" w:type="dxa"/>
            </w:tcMar>
            <w:vAlign w:val="center"/>
          </w:tcPr>
          <w:p w14:paraId="50F8B346" w14:textId="77777777" w:rsidR="00644700" w:rsidRDefault="00304E2C">
            <w:r>
              <w:rPr>
                <w:color w:val="000000"/>
                <w:sz w:val="19"/>
                <w:szCs w:val="19"/>
              </w:rPr>
              <w:t>Dry (Jun–Jul)</w:t>
            </w:r>
          </w:p>
        </w:tc>
        <w:tc>
          <w:tcPr>
            <w:tcW w:w="1900" w:type="dxa"/>
            <w:tcMar>
              <w:top w:w="80" w:type="dxa"/>
              <w:left w:w="120" w:type="dxa"/>
              <w:bottom w:w="80" w:type="dxa"/>
              <w:right w:w="120" w:type="dxa"/>
            </w:tcMar>
            <w:vAlign w:val="center"/>
          </w:tcPr>
          <w:p w14:paraId="70025F17" w14:textId="77777777" w:rsidR="00644700" w:rsidRDefault="00304E2C">
            <w:r>
              <w:rPr>
                <w:color w:val="000000"/>
                <w:sz w:val="19"/>
                <w:szCs w:val="19"/>
              </w:rPr>
              <w:t>Low</w:t>
            </w:r>
          </w:p>
        </w:tc>
        <w:tc>
          <w:tcPr>
            <w:tcW w:w="2000" w:type="dxa"/>
            <w:tcMar>
              <w:top w:w="80" w:type="dxa"/>
              <w:left w:w="120" w:type="dxa"/>
              <w:bottom w:w="80" w:type="dxa"/>
              <w:right w:w="120" w:type="dxa"/>
            </w:tcMar>
            <w:vAlign w:val="center"/>
          </w:tcPr>
          <w:p w14:paraId="2606ED51" w14:textId="77777777" w:rsidR="00644700" w:rsidRDefault="00304E2C">
            <w:r>
              <w:rPr>
                <w:color w:val="000000"/>
                <w:sz w:val="19"/>
                <w:szCs w:val="19"/>
              </w:rPr>
              <w:t>Low</w:t>
            </w:r>
          </w:p>
        </w:tc>
        <w:tc>
          <w:tcPr>
            <w:tcW w:w="1900" w:type="dxa"/>
            <w:tcMar>
              <w:top w:w="80" w:type="dxa"/>
              <w:left w:w="120" w:type="dxa"/>
              <w:bottom w:w="80" w:type="dxa"/>
              <w:right w:w="120" w:type="dxa"/>
            </w:tcMar>
            <w:vAlign w:val="center"/>
          </w:tcPr>
          <w:p w14:paraId="72CB0EEB" w14:textId="77777777" w:rsidR="00644700" w:rsidRDefault="00304E2C">
            <w:r>
              <w:rPr>
                <w:color w:val="000000"/>
                <w:sz w:val="19"/>
                <w:szCs w:val="19"/>
              </w:rPr>
              <w:t>~0</w:t>
            </w:r>
          </w:p>
        </w:tc>
        <w:tc>
          <w:tcPr>
            <w:tcW w:w="2200" w:type="dxa"/>
            <w:tcMar>
              <w:top w:w="80" w:type="dxa"/>
              <w:left w:w="120" w:type="dxa"/>
              <w:bottom w:w="80" w:type="dxa"/>
              <w:right w:w="120" w:type="dxa"/>
            </w:tcMar>
            <w:vAlign w:val="center"/>
          </w:tcPr>
          <w:p w14:paraId="73084D0C" w14:textId="77777777" w:rsidR="00644700" w:rsidRDefault="00304E2C">
            <w:r>
              <w:rPr>
                <w:color w:val="000000"/>
                <w:sz w:val="19"/>
                <w:szCs w:val="19"/>
              </w:rPr>
              <w:t>Survival mode; cost discipline</w:t>
            </w:r>
          </w:p>
        </w:tc>
      </w:tr>
    </w:tbl>
    <w:p w14:paraId="045F1723" w14:textId="77777777" w:rsidR="00644700" w:rsidRPr="00EE1EF0" w:rsidRDefault="00304E2C">
      <w:pPr>
        <w:spacing w:before="80" w:after="240"/>
        <w:rPr>
          <w:lang w:val="en-US"/>
        </w:rPr>
      </w:pPr>
      <w:r>
        <w:rPr>
          <w:i/>
          <w:iCs/>
          <w:color w:val="595959"/>
          <w:sz w:val="18"/>
          <w:szCs w:val="18"/>
          <w:lang w:val="en-US"/>
        </w:rPr>
        <w:t>Table 2. Seasonal demand cycle mapped to iComp's daily walk-in traffic and sales conversion.</w:t>
      </w:r>
    </w:p>
    <w:p w14:paraId="4F0745EC" w14:textId="77777777" w:rsidR="00644700" w:rsidRPr="00EE1EF0" w:rsidRDefault="00304E2C">
      <w:pPr>
        <w:spacing w:after="160" w:line="276" w:lineRule="auto"/>
        <w:jc w:val="both"/>
        <w:rPr>
          <w:lang w:val="en-US"/>
        </w:rPr>
      </w:pPr>
      <w:r>
        <w:rPr>
          <w:sz w:val="21"/>
          <w:szCs w:val="21"/>
          <w:lang w:val="en-US"/>
        </w:rPr>
        <w:t>The two “dry” windows — roughly four months of the calendar year combined — represent the single largest structural risk to the business, since fixed rent and payroll obligations do not scale down with demand. This is the core forcing function behind the seasonality-smoothing recommendations in Section 6.</w:t>
      </w:r>
    </w:p>
    <w:p w14:paraId="65124F04" w14:textId="77777777" w:rsidR="00644700" w:rsidRPr="00EE1EF0" w:rsidRDefault="00304E2C">
      <w:pPr>
        <w:pStyle w:val="Heading2"/>
        <w:spacing w:before="320" w:after="160"/>
        <w:rPr>
          <w:lang w:val="en-US"/>
        </w:rPr>
      </w:pPr>
      <w:r>
        <w:rPr>
          <w:b/>
          <w:bCs/>
          <w:color w:val="2E5395"/>
          <w:sz w:val="24"/>
          <w:szCs w:val="24"/>
          <w:lang w:val="en-US"/>
        </w:rPr>
        <w:t>3.4 Emerging Demand Signal: Printers</w:t>
      </w:r>
    </w:p>
    <w:p w14:paraId="0A6E35F5" w14:textId="77777777" w:rsidR="00644700" w:rsidRPr="00EE1EF0" w:rsidRDefault="00304E2C">
      <w:pPr>
        <w:spacing w:after="160" w:line="276" w:lineRule="auto"/>
        <w:jc w:val="both"/>
        <w:rPr>
          <w:lang w:val="en-US"/>
        </w:rPr>
      </w:pPr>
      <w:r>
        <w:rPr>
          <w:sz w:val="21"/>
          <w:szCs w:val="21"/>
          <w:lang w:val="en-US"/>
        </w:rPr>
        <w:t>Ownership has observed a rising, currently under-served demand for printers and consumables — a category with relatively high margin and lower price-sensitivity than laptops, and one that is largely uncorrelated with the academic laptop-buying cycle, making it a natural candidate for counter-seasonal revenue diversification.</w:t>
      </w:r>
    </w:p>
    <w:p w14:paraId="4118A1E4" w14:textId="77777777" w:rsidR="00644700" w:rsidRPr="00EE1EF0" w:rsidRDefault="00304E2C">
      <w:pPr>
        <w:rPr>
          <w:lang w:val="en-US"/>
        </w:rPr>
      </w:pPr>
      <w:r>
        <w:rPr>
          <w:lang w:val="en-US"/>
        </w:rPr>
        <w:lastRenderedPageBreak/>
        <w:br w:type="page"/>
      </w:r>
    </w:p>
    <w:p w14:paraId="69076FE8" w14:textId="77777777" w:rsidR="00644700" w:rsidRPr="00EE1EF0" w:rsidRDefault="00304E2C">
      <w:pPr>
        <w:pStyle w:val="Heading1"/>
        <w:pBdr>
          <w:bottom w:val="single" w:sz="8" w:space="4" w:color="1F3864"/>
        </w:pBdr>
        <w:spacing w:before="480" w:after="240"/>
        <w:rPr>
          <w:lang w:val="en-US"/>
        </w:rPr>
      </w:pPr>
      <w:r>
        <w:rPr>
          <w:b/>
          <w:bCs/>
          <w:color w:val="1F3864"/>
          <w:sz w:val="30"/>
          <w:szCs w:val="30"/>
          <w:lang w:val="en-US"/>
        </w:rPr>
        <w:lastRenderedPageBreak/>
        <w:t>4. Competitive &amp; Brand Positioning Analysis</w:t>
      </w:r>
    </w:p>
    <w:p w14:paraId="5D5D0D71" w14:textId="77777777" w:rsidR="00644700" w:rsidRDefault="00304E2C">
      <w:pPr>
        <w:pStyle w:val="Heading2"/>
        <w:spacing w:before="320" w:after="160"/>
      </w:pPr>
      <w:r>
        <w:rPr>
          <w:b/>
          <w:bCs/>
          <w:color w:val="2E5395"/>
          <w:sz w:val="24"/>
          <w:szCs w:val="24"/>
          <w:lang w:val="en-US"/>
        </w:rPr>
        <w:t xml:space="preserve">4.1 Direct Comparison: iComp vs. </w:t>
      </w:r>
      <w:r>
        <w:rPr>
          <w:b/>
          <w:bCs/>
          <w:color w:val="2E5395"/>
          <w:sz w:val="24"/>
          <w:szCs w:val="24"/>
        </w:rPr>
        <w:t>“Legion”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644700" w14:paraId="2316A37D" w14:textId="77777777">
        <w:trPr>
          <w:tblHeader/>
        </w:trPr>
        <w:tc>
          <w:tcPr>
            <w:tcW w:w="2600" w:type="dxa"/>
            <w:shd w:val="clear" w:color="auto" w:fill="1F3864"/>
            <w:tcMar>
              <w:top w:w="80" w:type="dxa"/>
              <w:left w:w="120" w:type="dxa"/>
              <w:bottom w:w="80" w:type="dxa"/>
              <w:right w:w="120" w:type="dxa"/>
            </w:tcMar>
            <w:vAlign w:val="center"/>
          </w:tcPr>
          <w:p w14:paraId="55D9930C" w14:textId="77777777" w:rsidR="00644700" w:rsidRDefault="00304E2C">
            <w:r>
              <w:rPr>
                <w:b/>
                <w:bCs/>
                <w:color w:val="FFFFFF"/>
                <w:sz w:val="19"/>
                <w:szCs w:val="19"/>
              </w:rPr>
              <w:t>Dimension</w:t>
            </w:r>
          </w:p>
        </w:tc>
        <w:tc>
          <w:tcPr>
            <w:tcW w:w="3700" w:type="dxa"/>
            <w:shd w:val="clear" w:color="auto" w:fill="1F3864"/>
            <w:tcMar>
              <w:top w:w="80" w:type="dxa"/>
              <w:left w:w="120" w:type="dxa"/>
              <w:bottom w:w="80" w:type="dxa"/>
              <w:right w:w="120" w:type="dxa"/>
            </w:tcMar>
            <w:vAlign w:val="center"/>
          </w:tcPr>
          <w:p w14:paraId="16EB1BE3" w14:textId="77777777" w:rsidR="00644700" w:rsidRDefault="00304E2C">
            <w:r>
              <w:rPr>
                <w:b/>
                <w:bCs/>
                <w:color w:val="FFFFFF"/>
                <w:sz w:val="19"/>
                <w:szCs w:val="19"/>
              </w:rPr>
              <w:t>iComp</w:t>
            </w:r>
          </w:p>
        </w:tc>
        <w:tc>
          <w:tcPr>
            <w:tcW w:w="3700" w:type="dxa"/>
            <w:shd w:val="clear" w:color="auto" w:fill="1F3864"/>
            <w:tcMar>
              <w:top w:w="80" w:type="dxa"/>
              <w:left w:w="120" w:type="dxa"/>
              <w:bottom w:w="80" w:type="dxa"/>
              <w:right w:w="120" w:type="dxa"/>
            </w:tcMar>
            <w:vAlign w:val="center"/>
          </w:tcPr>
          <w:p w14:paraId="549995DA" w14:textId="77777777" w:rsidR="00644700" w:rsidRDefault="00304E2C">
            <w:r>
              <w:rPr>
                <w:b/>
                <w:bCs/>
                <w:color w:val="FFFFFF"/>
                <w:sz w:val="19"/>
                <w:szCs w:val="19"/>
              </w:rPr>
              <w:t>“Legion” (Primary Competitor)</w:t>
            </w:r>
          </w:p>
        </w:tc>
      </w:tr>
      <w:tr w:rsidR="00644700" w:rsidRPr="00E57AF8" w14:paraId="1EE2E081" w14:textId="77777777">
        <w:tc>
          <w:tcPr>
            <w:tcW w:w="2600" w:type="dxa"/>
            <w:tcMar>
              <w:top w:w="80" w:type="dxa"/>
              <w:left w:w="120" w:type="dxa"/>
              <w:bottom w:w="80" w:type="dxa"/>
              <w:right w:w="120" w:type="dxa"/>
            </w:tcMar>
            <w:vAlign w:val="center"/>
          </w:tcPr>
          <w:p w14:paraId="368ABD57" w14:textId="77777777" w:rsidR="00644700" w:rsidRDefault="00304E2C">
            <w:r>
              <w:rPr>
                <w:color w:val="000000"/>
                <w:sz w:val="19"/>
                <w:szCs w:val="19"/>
              </w:rPr>
              <w:t>Visual Merchandising</w:t>
            </w:r>
          </w:p>
        </w:tc>
        <w:tc>
          <w:tcPr>
            <w:tcW w:w="3700" w:type="dxa"/>
            <w:tcMar>
              <w:top w:w="80" w:type="dxa"/>
              <w:left w:w="120" w:type="dxa"/>
              <w:bottom w:w="80" w:type="dxa"/>
              <w:right w:w="120" w:type="dxa"/>
            </w:tcMar>
            <w:vAlign w:val="center"/>
          </w:tcPr>
          <w:p w14:paraId="038E7EA9" w14:textId="77777777" w:rsidR="00644700" w:rsidRPr="00EE1EF0" w:rsidRDefault="00304E2C">
            <w:pPr>
              <w:rPr>
                <w:lang w:val="en-US"/>
              </w:rPr>
            </w:pPr>
            <w:r>
              <w:rPr>
                <w:color w:val="000000"/>
                <w:sz w:val="19"/>
                <w:szCs w:val="19"/>
                <w:lang w:val="en-US"/>
              </w:rPr>
              <w:t>Basic, standard-format display of 16 showcase units</w:t>
            </w:r>
          </w:p>
        </w:tc>
        <w:tc>
          <w:tcPr>
            <w:tcW w:w="3700" w:type="dxa"/>
            <w:tcMar>
              <w:top w:w="80" w:type="dxa"/>
              <w:left w:w="120" w:type="dxa"/>
              <w:bottom w:w="80" w:type="dxa"/>
              <w:right w:w="120" w:type="dxa"/>
            </w:tcMar>
            <w:vAlign w:val="center"/>
          </w:tcPr>
          <w:p w14:paraId="0C9DDAE3" w14:textId="77777777" w:rsidR="00644700" w:rsidRPr="00EE1EF0" w:rsidRDefault="00304E2C">
            <w:pPr>
              <w:rPr>
                <w:lang w:val="en-US"/>
              </w:rPr>
            </w:pPr>
            <w:r>
              <w:rPr>
                <w:color w:val="000000"/>
                <w:sz w:val="19"/>
                <w:szCs w:val="19"/>
                <w:lang w:val="en-US"/>
              </w:rPr>
              <w:t>Premium fit-out, dynamic lighting, high-end interior design</w:t>
            </w:r>
          </w:p>
        </w:tc>
      </w:tr>
      <w:tr w:rsidR="00644700" w:rsidRPr="00E57AF8" w14:paraId="2F2B4E76" w14:textId="77777777">
        <w:tc>
          <w:tcPr>
            <w:tcW w:w="2600" w:type="dxa"/>
            <w:shd w:val="clear" w:color="auto" w:fill="DCE6F1"/>
            <w:tcMar>
              <w:top w:w="80" w:type="dxa"/>
              <w:left w:w="120" w:type="dxa"/>
              <w:bottom w:w="80" w:type="dxa"/>
              <w:right w:w="120" w:type="dxa"/>
            </w:tcMar>
            <w:vAlign w:val="center"/>
          </w:tcPr>
          <w:p w14:paraId="00CB6486" w14:textId="77777777" w:rsidR="00644700" w:rsidRDefault="00304E2C">
            <w:r>
              <w:rPr>
                <w:color w:val="000000"/>
                <w:sz w:val="19"/>
                <w:szCs w:val="19"/>
              </w:rPr>
              <w:t>Marketing Strategy</w:t>
            </w:r>
          </w:p>
        </w:tc>
        <w:tc>
          <w:tcPr>
            <w:tcW w:w="3700" w:type="dxa"/>
            <w:shd w:val="clear" w:color="auto" w:fill="DCE6F1"/>
            <w:tcMar>
              <w:top w:w="80" w:type="dxa"/>
              <w:left w:w="120" w:type="dxa"/>
              <w:bottom w:w="80" w:type="dxa"/>
              <w:right w:w="120" w:type="dxa"/>
            </w:tcMar>
            <w:vAlign w:val="center"/>
          </w:tcPr>
          <w:p w14:paraId="15DC09E0" w14:textId="77777777" w:rsidR="00644700" w:rsidRPr="00EE1EF0" w:rsidRDefault="00304E2C">
            <w:pPr>
              <w:rPr>
                <w:lang w:val="en-US"/>
              </w:rPr>
            </w:pPr>
            <w:r>
              <w:rPr>
                <w:color w:val="000000"/>
                <w:sz w:val="19"/>
                <w:szCs w:val="19"/>
                <w:lang w:val="en-US"/>
              </w:rPr>
              <w:t>Passive / zero-marketing; relies on inbound foot traffic and word-of-mouth</w:t>
            </w:r>
          </w:p>
        </w:tc>
        <w:tc>
          <w:tcPr>
            <w:tcW w:w="3700" w:type="dxa"/>
            <w:shd w:val="clear" w:color="auto" w:fill="DCE6F1"/>
            <w:tcMar>
              <w:top w:w="80" w:type="dxa"/>
              <w:left w:w="120" w:type="dxa"/>
              <w:bottom w:w="80" w:type="dxa"/>
              <w:right w:w="120" w:type="dxa"/>
            </w:tcMar>
            <w:vAlign w:val="center"/>
          </w:tcPr>
          <w:p w14:paraId="35739BC3" w14:textId="77777777" w:rsidR="00644700" w:rsidRPr="00EE1EF0" w:rsidRDefault="00304E2C">
            <w:pPr>
              <w:rPr>
                <w:lang w:val="en-US"/>
              </w:rPr>
            </w:pPr>
            <w:r>
              <w:rPr>
                <w:color w:val="000000"/>
                <w:sz w:val="19"/>
                <w:szCs w:val="19"/>
                <w:lang w:val="en-US"/>
              </w:rPr>
              <w:t>Active inbound and outbound digital marketing, visible ad spend</w:t>
            </w:r>
          </w:p>
        </w:tc>
      </w:tr>
      <w:tr w:rsidR="00644700" w:rsidRPr="00E57AF8" w14:paraId="114A6DB6" w14:textId="77777777">
        <w:tc>
          <w:tcPr>
            <w:tcW w:w="2600" w:type="dxa"/>
            <w:tcMar>
              <w:top w:w="80" w:type="dxa"/>
              <w:left w:w="120" w:type="dxa"/>
              <w:bottom w:w="80" w:type="dxa"/>
              <w:right w:w="120" w:type="dxa"/>
            </w:tcMar>
            <w:vAlign w:val="center"/>
          </w:tcPr>
          <w:p w14:paraId="2B6DD318" w14:textId="77777777" w:rsidR="00644700" w:rsidRDefault="00304E2C">
            <w:r>
              <w:rPr>
                <w:color w:val="000000"/>
                <w:sz w:val="19"/>
                <w:szCs w:val="19"/>
              </w:rPr>
              <w:t>Customer Retention (LTV)</w:t>
            </w:r>
          </w:p>
        </w:tc>
        <w:tc>
          <w:tcPr>
            <w:tcW w:w="3700" w:type="dxa"/>
            <w:tcMar>
              <w:top w:w="80" w:type="dxa"/>
              <w:left w:w="120" w:type="dxa"/>
              <w:bottom w:w="80" w:type="dxa"/>
              <w:right w:w="120" w:type="dxa"/>
            </w:tcMar>
            <w:vAlign w:val="center"/>
          </w:tcPr>
          <w:p w14:paraId="2F480B79" w14:textId="4109C42D" w:rsidR="00644700" w:rsidRPr="00EE1EF0" w:rsidRDefault="00304E2C">
            <w:pPr>
              <w:rPr>
                <w:lang w:val="en-US"/>
              </w:rPr>
            </w:pPr>
            <w:r>
              <w:rPr>
                <w:color w:val="000000"/>
                <w:sz w:val="19"/>
                <w:szCs w:val="19"/>
                <w:lang w:val="en-US"/>
              </w:rPr>
              <w:t xml:space="preserve">Extremely high — lifetime post-sale support, 15-year accumulated client base</w:t>
            </w:r>
          </w:p>
        </w:tc>
        <w:tc>
          <w:tcPr>
            <w:tcW w:w="3700" w:type="dxa"/>
            <w:tcMar>
              <w:top w:w="80" w:type="dxa"/>
              <w:left w:w="120" w:type="dxa"/>
              <w:bottom w:w="80" w:type="dxa"/>
              <w:right w:w="120" w:type="dxa"/>
            </w:tcMar>
            <w:vAlign w:val="center"/>
          </w:tcPr>
          <w:p w14:paraId="79ECECEE" w14:textId="77777777" w:rsidR="00644700" w:rsidRPr="00EE1EF0" w:rsidRDefault="00304E2C">
            <w:pPr>
              <w:rPr>
                <w:lang w:val="en-US"/>
              </w:rPr>
            </w:pPr>
            <w:r>
              <w:rPr>
                <w:color w:val="000000"/>
                <w:sz w:val="19"/>
                <w:szCs w:val="19"/>
                <w:lang w:val="en-US"/>
              </w:rPr>
              <w:t>Moderate — oriented toward higher-margin, one-off transactions</w:t>
            </w:r>
          </w:p>
        </w:tc>
      </w:tr>
      <w:tr w:rsidR="00644700" w:rsidRPr="00E57AF8" w14:paraId="39FBEA60" w14:textId="77777777">
        <w:tc>
          <w:tcPr>
            <w:tcW w:w="2600" w:type="dxa"/>
            <w:shd w:val="clear" w:color="auto" w:fill="DCE6F1"/>
            <w:tcMar>
              <w:top w:w="80" w:type="dxa"/>
              <w:left w:w="120" w:type="dxa"/>
              <w:bottom w:w="80" w:type="dxa"/>
              <w:right w:w="120" w:type="dxa"/>
            </w:tcMar>
            <w:vAlign w:val="center"/>
          </w:tcPr>
          <w:p w14:paraId="6F5F8D58" w14:textId="77777777" w:rsidR="00644700" w:rsidRDefault="00304E2C">
            <w:r>
              <w:rPr>
                <w:color w:val="000000"/>
                <w:sz w:val="19"/>
                <w:szCs w:val="19"/>
              </w:rPr>
              <w:t>Core Competitive Edge</w:t>
            </w:r>
          </w:p>
        </w:tc>
        <w:tc>
          <w:tcPr>
            <w:tcW w:w="3700" w:type="dxa"/>
            <w:shd w:val="clear" w:color="auto" w:fill="DCE6F1"/>
            <w:tcMar>
              <w:top w:w="80" w:type="dxa"/>
              <w:left w:w="120" w:type="dxa"/>
              <w:bottom w:w="80" w:type="dxa"/>
              <w:right w:w="120" w:type="dxa"/>
            </w:tcMar>
            <w:vAlign w:val="center"/>
          </w:tcPr>
          <w:p w14:paraId="3FBE6BF2" w14:textId="77777777" w:rsidR="00644700" w:rsidRPr="00EE1EF0" w:rsidRDefault="00304E2C">
            <w:pPr>
              <w:rPr>
                <w:lang w:val="en-US"/>
              </w:rPr>
            </w:pPr>
            <w:r>
              <w:rPr>
                <w:color w:val="000000"/>
                <w:sz w:val="19"/>
                <w:szCs w:val="19"/>
                <w:lang w:val="en-US"/>
              </w:rPr>
              <w:t>Deep technical expertise, personal trust, follow-through service</w:t>
            </w:r>
          </w:p>
        </w:tc>
        <w:tc>
          <w:tcPr>
            <w:tcW w:w="3700" w:type="dxa"/>
            <w:shd w:val="clear" w:color="auto" w:fill="DCE6F1"/>
            <w:tcMar>
              <w:top w:w="80" w:type="dxa"/>
              <w:left w:w="120" w:type="dxa"/>
              <w:bottom w:w="80" w:type="dxa"/>
              <w:right w:w="120" w:type="dxa"/>
            </w:tcMar>
            <w:vAlign w:val="center"/>
          </w:tcPr>
          <w:p w14:paraId="073FE9E0" w14:textId="77777777" w:rsidR="00644700" w:rsidRPr="00EE1EF0" w:rsidRDefault="00304E2C">
            <w:pPr>
              <w:rPr>
                <w:lang w:val="en-US"/>
              </w:rPr>
            </w:pPr>
            <w:r>
              <w:rPr>
                <w:color w:val="000000"/>
                <w:sz w:val="19"/>
                <w:szCs w:val="19"/>
                <w:lang w:val="en-US"/>
              </w:rPr>
              <w:t>Visual brand perception, “premium store” positioning, recognisability</w:t>
            </w:r>
          </w:p>
        </w:tc>
      </w:tr>
    </w:tbl>
    <w:p w14:paraId="105B40F7" w14:textId="77777777" w:rsidR="00644700" w:rsidRPr="00EE1EF0" w:rsidRDefault="00304E2C">
      <w:pPr>
        <w:spacing w:before="80" w:after="240"/>
        <w:rPr>
          <w:lang w:val="en-US"/>
        </w:rPr>
      </w:pPr>
      <w:r>
        <w:rPr>
          <w:i/>
          <w:iCs/>
          <w:color w:val="595959"/>
          <w:sz w:val="18"/>
          <w:szCs w:val="18"/>
          <w:lang w:val="en-US"/>
        </w:rPr>
        <w:t>Table 3. Head-to-head positioning comparison between iComp and its principal 4th-floor competitor.</w:t>
      </w:r>
    </w:p>
    <w:p w14:paraId="17D80046" w14:textId="30C0CD97" w:rsidR="00644700" w:rsidRPr="00EE1EF0" w:rsidRDefault="00304E2C">
      <w:pPr>
        <w:pStyle w:val="Heading2"/>
        <w:spacing w:before="320" w:after="160"/>
        <w:rPr>
          <w:lang w:val="en-US"/>
        </w:rPr>
      </w:pPr>
      <w:r>
        <w:rPr>
          <w:b/>
          <w:bCs/>
          <w:color w:val="2E5395"/>
          <w:sz w:val="24"/>
          <w:szCs w:val="24"/>
          <w:lang w:val="en-US"/>
        </w:rPr>
        <w:t xml:space="preserve">4.2 The “Unbranded 15-Year Veteran” Paradox</w:t>
      </w:r>
    </w:p>
    <w:p w14:paraId="548F4E47" w14:textId="77777777" w:rsidR="00644700" w:rsidRPr="00EE1EF0" w:rsidRDefault="00304E2C">
      <w:pPr>
        <w:spacing w:after="160" w:line="276" w:lineRule="auto"/>
        <w:jc w:val="both"/>
        <w:rPr>
          <w:lang w:val="en-US"/>
        </w:rPr>
      </w:pPr>
      <w:r>
        <w:rPr>
          <w:sz w:val="21"/>
          <w:szCs w:val="21"/>
          <w:lang w:val="en-US"/>
        </w:rPr>
        <w:t>iComp's central positioning paradox is this: it has more operating history and more accumulated customer trust than its competitor, yet it is functionally invisible to first-time walk-in traffic. “Legion” wins the first five seconds of visual attention through interior design and lighting; iComp wins the final decision through service depth — but only for customers who already know, or are guided by someone who already knows, that iComp is worth a second look. New foot traffic with no prior relationship to either shop has no visual or signaled reason to choose iComp over its better-presented neighbour. In effect, iComp is running a high-trust, relationship-driven business model inside a physical storefront that gives no outward signal of that trust existing at all.</w:t>
      </w:r>
    </w:p>
    <w:p w14:paraId="18BAD343" w14:textId="77777777" w:rsidR="00644700" w:rsidRPr="00EE1EF0" w:rsidRDefault="00304E2C">
      <w:pPr>
        <w:pStyle w:val="Heading2"/>
        <w:spacing w:before="320" w:after="160"/>
        <w:rPr>
          <w:lang w:val="en-US"/>
        </w:rPr>
      </w:pPr>
      <w:r>
        <w:rPr>
          <w:b/>
          <w:bCs/>
          <w:color w:val="2E5395"/>
          <w:sz w:val="24"/>
          <w:szCs w:val="24"/>
          <w:lang w:val="en-US"/>
        </w:rPr>
        <w:t>4.3 Strategic Implication</w:t>
      </w:r>
    </w:p>
    <w:p w14:paraId="5247602B" w14:textId="77777777" w:rsidR="00644700" w:rsidRPr="00EE1EF0" w:rsidRDefault="00304E2C">
      <w:pPr>
        <w:spacing w:after="160" w:line="276" w:lineRule="auto"/>
        <w:jc w:val="both"/>
        <w:rPr>
          <w:lang w:val="en-US"/>
        </w:rPr>
      </w:pPr>
      <w:r>
        <w:rPr>
          <w:sz w:val="21"/>
          <w:szCs w:val="21"/>
          <w:lang w:val="en-US"/>
        </w:rPr>
        <w:t>The competitive threat is not that Legion will out-service iComp — the case data suggests it currently does not — but that Legion will out-acquire iComp among the growing pool of shoppers, particularly younger students, who have no inherited relationship with either business and choose based on first impressions alone. Left unaddressed, this risks a slow demographic erosion of iComp's customer base even while its per-customer loyalty metrics remain excellent.</w:t>
      </w:r>
    </w:p>
    <w:p w14:paraId="17413F9E" w14:textId="77777777" w:rsidR="00644700" w:rsidRPr="00EE1EF0" w:rsidRDefault="00304E2C">
      <w:pPr>
        <w:rPr>
          <w:lang w:val="en-US"/>
        </w:rPr>
      </w:pPr>
      <w:r>
        <w:rPr>
          <w:lang w:val="en-US"/>
        </w:rPr>
        <w:br w:type="page"/>
      </w:r>
    </w:p>
    <w:p w14:paraId="3D325CC0" w14:textId="77777777" w:rsidR="00644700" w:rsidRPr="00EE1EF0" w:rsidRDefault="00304E2C">
      <w:pPr>
        <w:pStyle w:val="Heading1"/>
        <w:pBdr>
          <w:bottom w:val="single" w:sz="8" w:space="4" w:color="1F3864"/>
        </w:pBdr>
        <w:spacing w:before="480" w:after="240"/>
        <w:rPr>
          <w:lang w:val="en-US"/>
        </w:rPr>
      </w:pPr>
      <w:r>
        <w:rPr>
          <w:b/>
          <w:bCs/>
          <w:color w:val="1F3864"/>
          <w:sz w:val="30"/>
          <w:szCs w:val="30"/>
          <w:lang w:val="en-US"/>
        </w:rPr>
        <w:lastRenderedPageBreak/>
        <w:t>5. Supply Chain, Global Macro Bottlenecks &amp; Operational Risks</w:t>
      </w:r>
    </w:p>
    <w:p w14:paraId="501D0F1C" w14:textId="77777777" w:rsidR="00644700" w:rsidRPr="00EE1EF0" w:rsidRDefault="00304E2C">
      <w:pPr>
        <w:pStyle w:val="Heading2"/>
        <w:spacing w:before="320" w:after="160"/>
        <w:rPr>
          <w:lang w:val="en-US"/>
        </w:rPr>
      </w:pPr>
      <w:r>
        <w:rPr>
          <w:b/>
          <w:bCs/>
          <w:color w:val="2E5395"/>
          <w:sz w:val="24"/>
          <w:szCs w:val="24"/>
          <w:lang w:val="en-US"/>
        </w:rPr>
        <w:t>5.1 Dubai-Sourced Supply Chain Fragility</w:t>
      </w:r>
    </w:p>
    <w:p w14:paraId="05D98B74" w14:textId="77777777" w:rsidR="00644700" w:rsidRPr="00EE1EF0" w:rsidRDefault="00304E2C">
      <w:pPr>
        <w:spacing w:after="160" w:line="276" w:lineRule="auto"/>
        <w:jc w:val="both"/>
        <w:rPr>
          <w:lang w:val="en-US"/>
        </w:rPr>
      </w:pPr>
      <w:r>
        <w:rPr>
          <w:sz w:val="21"/>
          <w:szCs w:val="21"/>
          <w:lang w:val="en-US"/>
        </w:rPr>
        <w:t>iComp sources its inventory through Dubai. At the time of initial data collection, the business held only 16 showcase laptops with no warehouse buffer — a direct consequence of logistics delays and rising freight costs on the Dubai–Bishkek route. Ownership has since completed a restocking cycle, replenishing both warehouse and showcase inventory. This resolves the immediate stock-depth shortage, but it does not eliminate the underlying structural exposure: because iComp still relies on a single sourcing corridor, any future disruption on that route — or a renewed spike in global component costs (Section 5.2) — would once again compress available stock precisely when seasonal demand recovers (Section 3.3). The recent replenishment is best read as evidence that the risk identified in this case study is real and actionable, not as proof that the underlying vulnerability has been structurally resolved.</w:t>
      </w:r>
    </w:p>
    <w:p w14:paraId="05C7924C" w14:textId="77777777" w:rsidR="00644700" w:rsidRPr="00EE1EF0" w:rsidRDefault="00304E2C">
      <w:pPr>
        <w:pStyle w:val="Heading2"/>
        <w:spacing w:before="320" w:after="160"/>
        <w:rPr>
          <w:lang w:val="en-US"/>
        </w:rPr>
      </w:pPr>
      <w:r>
        <w:rPr>
          <w:b/>
          <w:bCs/>
          <w:color w:val="2E5395"/>
          <w:sz w:val="24"/>
          <w:szCs w:val="24"/>
          <w:lang w:val="en-US"/>
        </w:rPr>
        <w:t>5.2 The Global AI Infrastructure Bottleneck</w:t>
      </w:r>
    </w:p>
    <w:p w14:paraId="54442714" w14:textId="77777777" w:rsidR="00644700" w:rsidRPr="00EE1EF0" w:rsidRDefault="00304E2C">
      <w:pPr>
        <w:spacing w:after="160" w:line="276" w:lineRule="auto"/>
        <w:jc w:val="both"/>
        <w:rPr>
          <w:lang w:val="en-US"/>
        </w:rPr>
      </w:pPr>
      <w:r>
        <w:rPr>
          <w:sz w:val="21"/>
          <w:szCs w:val="21"/>
          <w:lang w:val="en-US"/>
        </w:rPr>
        <w:t>A macro-level factor now shaping the business's cost base is the surge in global demand for DRAM and NAND memory, driven by large technology companies procuring memory and HBM chips at scale for AI data-centre infrastructure. This has tightened consumer-grade memory supply and pushed up component costs industry-wide, compressing the price–performance ratio available to a small importer like iComp and placing additional upward pressure on retail laptop prices at a moment when the business's core customer segment is highly price-sensitive.</w:t>
      </w:r>
    </w:p>
    <w:p w14:paraId="559C1051" w14:textId="77777777" w:rsidR="00644700" w:rsidRPr="00EE1EF0" w:rsidRDefault="00304E2C">
      <w:pPr>
        <w:pStyle w:val="Heading2"/>
        <w:spacing w:before="320" w:after="160"/>
        <w:rPr>
          <w:lang w:val="en-US"/>
        </w:rPr>
      </w:pPr>
      <w:r>
        <w:rPr>
          <w:b/>
          <w:bCs/>
          <w:color w:val="2E5395"/>
          <w:sz w:val="24"/>
          <w:szCs w:val="24"/>
          <w:lang w:val="en-US"/>
        </w:rPr>
        <w:t>5.3 Unpriced Defect Risk</w:t>
      </w:r>
    </w:p>
    <w:p w14:paraId="5F2ADC66" w14:textId="77777777" w:rsidR="00644700" w:rsidRPr="00EE1EF0" w:rsidRDefault="00304E2C">
      <w:pPr>
        <w:spacing w:after="160" w:line="276" w:lineRule="auto"/>
        <w:jc w:val="both"/>
        <w:rPr>
          <w:lang w:val="en-US"/>
        </w:rPr>
      </w:pPr>
      <w:r>
        <w:rPr>
          <w:sz w:val="21"/>
          <w:szCs w:val="21"/>
          <w:lang w:val="en-US"/>
        </w:rPr>
        <w:t>An estimated 3–5% product defect rate is currently absorbed directly out of operating margin rather than being priced into the retail cost structure. In a business already operating on a flat ~$80 per-unit laptop margin, this is a meaningful hidden cost: a single defective unit can offset the margin from several successfully sold units, and the exposure is entirely uninsured against within the current pricing model.</w:t>
      </w:r>
    </w:p>
    <w:p w14:paraId="0A562141" w14:textId="77777777" w:rsidR="00644700" w:rsidRPr="00EE1EF0" w:rsidRDefault="00304E2C">
      <w:pPr>
        <w:pStyle w:val="Heading2"/>
        <w:spacing w:before="320" w:after="160"/>
        <w:rPr>
          <w:lang w:val="en-US"/>
        </w:rPr>
      </w:pPr>
      <w:r>
        <w:rPr>
          <w:b/>
          <w:bCs/>
          <w:color w:val="2E5395"/>
          <w:sz w:val="24"/>
          <w:szCs w:val="24"/>
          <w:lang w:val="en-US"/>
        </w:rPr>
        <w:t>5.4 Financing Bureaucracy as a Structural Barrier</w:t>
      </w:r>
    </w:p>
    <w:p w14:paraId="2546792E" w14:textId="77777777" w:rsidR="00644700" w:rsidRPr="00EE1EF0" w:rsidRDefault="00304E2C">
      <w:pPr>
        <w:spacing w:after="160" w:line="276" w:lineRule="auto"/>
        <w:jc w:val="both"/>
        <w:rPr>
          <w:lang w:val="en-US"/>
        </w:rPr>
      </w:pPr>
      <w:r>
        <w:rPr>
          <w:sz w:val="21"/>
          <w:szCs w:val="21"/>
          <w:lang w:val="en-US"/>
        </w:rPr>
        <w:t>As noted in Section 2.4, the low (20%) adoption of bank-installment financing is less a reflection of customer preference than of process friction on the banking side. This constrains addressable demand precisely among the price-constrained student segment that forms iComp's core customer base.</w:t>
      </w:r>
    </w:p>
    <w:p w14:paraId="1BA3A6E4" w14:textId="77777777" w:rsidR="00644700" w:rsidRDefault="00304E2C">
      <w:pPr>
        <w:pStyle w:val="Heading2"/>
        <w:spacing w:before="320" w:after="160"/>
      </w:pPr>
      <w:r>
        <w:rPr>
          <w:b/>
          <w:bCs/>
          <w:color w:val="2E5395"/>
          <w:sz w:val="24"/>
          <w:szCs w:val="24"/>
        </w:rPr>
        <w:t>5.5 Risk Summary</w:t>
      </w:r>
    </w:p>
    <w:p w14:paraId="70462FBF" w14:textId="77777777" w:rsidR="00644700" w:rsidRPr="00EE1EF0" w:rsidRDefault="00304E2C">
      <w:pPr>
        <w:pStyle w:val="ListParagraph"/>
        <w:numPr>
          <w:ilvl w:val="0"/>
          <w:numId w:val="3"/>
        </w:numPr>
        <w:spacing w:after="80"/>
        <w:rPr>
          <w:lang w:val="en-US"/>
        </w:rPr>
      </w:pPr>
      <w:r>
        <w:rPr>
          <w:sz w:val="21"/>
          <w:szCs w:val="21"/>
          <w:lang w:val="en-US"/>
        </w:rPr>
        <w:t>Inventory risk: recently mitigated through a restocking cycle, but the underlying single-corridor dependency on Dubai remains a structural vulnerability for future cycles.</w:t>
      </w:r>
    </w:p>
    <w:p w14:paraId="4FA2B80F" w14:textId="77777777" w:rsidR="00644700" w:rsidRPr="00EE1EF0" w:rsidRDefault="00304E2C">
      <w:pPr>
        <w:pStyle w:val="ListParagraph"/>
        <w:numPr>
          <w:ilvl w:val="0"/>
          <w:numId w:val="3"/>
        </w:numPr>
        <w:spacing w:after="80"/>
        <w:rPr>
          <w:lang w:val="en-US"/>
        </w:rPr>
      </w:pPr>
      <w:r>
        <w:rPr>
          <w:sz w:val="21"/>
          <w:szCs w:val="21"/>
          <w:lang w:val="en-US"/>
        </w:rPr>
        <w:t>Cost risk: global AI-driven component inflation with no natural hedge for a small importer.</w:t>
      </w:r>
    </w:p>
    <w:p w14:paraId="307BF316" w14:textId="77777777" w:rsidR="00644700" w:rsidRPr="00EE1EF0" w:rsidRDefault="00304E2C">
      <w:pPr>
        <w:pStyle w:val="ListParagraph"/>
        <w:numPr>
          <w:ilvl w:val="0"/>
          <w:numId w:val="3"/>
        </w:numPr>
        <w:spacing w:after="80"/>
        <w:rPr>
          <w:lang w:val="en-US"/>
        </w:rPr>
      </w:pPr>
      <w:r>
        <w:rPr>
          <w:sz w:val="21"/>
          <w:szCs w:val="21"/>
          <w:lang w:val="en-US"/>
        </w:rPr>
        <w:t>Margin risk: unpriced 3–5% defect rate against an already-thin per-unit laptop margin.</w:t>
      </w:r>
    </w:p>
    <w:p w14:paraId="1E297274" w14:textId="77777777" w:rsidR="00644700" w:rsidRPr="00EE1EF0" w:rsidRDefault="00304E2C">
      <w:pPr>
        <w:pStyle w:val="ListParagraph"/>
        <w:numPr>
          <w:ilvl w:val="0"/>
          <w:numId w:val="3"/>
        </w:numPr>
        <w:spacing w:after="80"/>
        <w:rPr>
          <w:lang w:val="en-US"/>
        </w:rPr>
      </w:pPr>
      <w:r>
        <w:rPr>
          <w:sz w:val="21"/>
          <w:szCs w:val="21"/>
          <w:lang w:val="en-US"/>
        </w:rPr>
        <w:t>Demand-conversion risk: financing friction suppressing otherwise-willing purchases.</w:t>
      </w:r>
    </w:p>
    <w:p w14:paraId="37188F5A" w14:textId="77777777" w:rsidR="00644700" w:rsidRPr="00EE1EF0" w:rsidRDefault="00304E2C">
      <w:pPr>
        <w:rPr>
          <w:lang w:val="en-US"/>
        </w:rPr>
      </w:pPr>
      <w:r>
        <w:rPr>
          <w:lang w:val="en-US"/>
        </w:rPr>
        <w:br w:type="page"/>
      </w:r>
    </w:p>
    <w:p w14:paraId="444046E9" w14:textId="77777777" w:rsidR="00644700" w:rsidRPr="00EE1EF0" w:rsidRDefault="00304E2C">
      <w:pPr>
        <w:pStyle w:val="Heading1"/>
        <w:pBdr>
          <w:bottom w:val="single" w:sz="8" w:space="4" w:color="1F3864"/>
        </w:pBdr>
        <w:spacing w:before="480" w:after="240"/>
        <w:rPr>
          <w:lang w:val="en-US"/>
        </w:rPr>
      </w:pPr>
      <w:r>
        <w:rPr>
          <w:b/>
          <w:bCs/>
          <w:color w:val="1F3864"/>
          <w:sz w:val="30"/>
          <w:szCs w:val="30"/>
          <w:lang w:val="en-US"/>
        </w:rPr>
        <w:lastRenderedPageBreak/>
        <w:t>6. Actionable Strategic Recommendations (3-Tiered Roadmap)</w:t>
      </w:r>
    </w:p>
    <w:p w14:paraId="70ED42F7" w14:textId="77777777" w:rsidR="00644700" w:rsidRPr="00EE1EF0" w:rsidRDefault="00304E2C">
      <w:pPr>
        <w:pStyle w:val="Heading2"/>
        <w:spacing w:before="320" w:after="160"/>
        <w:rPr>
          <w:lang w:val="en-US"/>
        </w:rPr>
      </w:pPr>
      <w:r>
        <w:rPr>
          <w:b/>
          <w:bCs/>
          <w:color w:val="2E5395"/>
          <w:sz w:val="24"/>
          <w:szCs w:val="24"/>
          <w:lang w:val="en-US"/>
        </w:rPr>
        <w:t>6.1 Tier 1 — Quick Wins (0–3 months, near-zero budget)</w:t>
      </w:r>
    </w:p>
    <w:p w14:paraId="592EF444" w14:textId="59B8437F" w:rsidR="00644700" w:rsidRPr="00EE1EF0" w:rsidRDefault="00304E2C">
      <w:pPr>
        <w:pStyle w:val="ListParagraph"/>
        <w:numPr>
          <w:ilvl w:val="0"/>
          <w:numId w:val="3"/>
        </w:numPr>
        <w:spacing w:after="80"/>
        <w:rPr>
          <w:lang w:val="en-US"/>
        </w:rPr>
      </w:pPr>
      <w:r>
        <w:rPr>
          <w:sz w:val="21"/>
          <w:szCs w:val="21"/>
          <w:lang w:val="en-US"/>
        </w:rPr>
        <w:t xml:space="preserve">Deploy basic, low-cost signage that visibly communicates the “iComp” name and its 15-year operating history at the point of escalator arrival — directly addressing the “unbranded veteran” paradox identified in Section 4.2.</w:t>
      </w:r>
    </w:p>
    <w:p w14:paraId="795DBC53" w14:textId="77777777" w:rsidR="00644700" w:rsidRPr="00EE1EF0" w:rsidRDefault="00304E2C">
      <w:pPr>
        <w:pStyle w:val="ListParagraph"/>
        <w:numPr>
          <w:ilvl w:val="0"/>
          <w:numId w:val="3"/>
        </w:numPr>
        <w:spacing w:after="80"/>
        <w:rPr>
          <w:lang w:val="en-US"/>
        </w:rPr>
      </w:pPr>
      <w:r>
        <w:rPr>
          <w:sz w:val="21"/>
          <w:szCs w:val="21"/>
          <w:lang w:val="en-US"/>
        </w:rPr>
        <w:t>Activate LalaFo and Instagram as a simple digital catalogue of the 16 in-store showcase models with current pricing, reducing total dependence on physical walk-in traffic and giving the “expert” behavioral actor (Section 3.1) a way to pre-validate the shop online before visiting.</w:t>
      </w:r>
    </w:p>
    <w:p w14:paraId="1C0EC460" w14:textId="77777777" w:rsidR="00644700" w:rsidRPr="00EE1EF0" w:rsidRDefault="00304E2C">
      <w:pPr>
        <w:pStyle w:val="ListParagraph"/>
        <w:numPr>
          <w:ilvl w:val="0"/>
          <w:numId w:val="3"/>
        </w:numPr>
        <w:spacing w:after="80"/>
        <w:rPr>
          <w:lang w:val="en-US"/>
        </w:rPr>
      </w:pPr>
      <w:r>
        <w:rPr>
          <w:sz w:val="21"/>
          <w:szCs w:val="21"/>
          <w:lang w:val="en-US"/>
        </w:rPr>
        <w:t>Begin lightweight, systematic outreach to nearby IT companies and offices to convert the current ~1x/year ad-hoc B2B order into a repeatable, quarterly corporate-procurement relationship.</w:t>
      </w:r>
    </w:p>
    <w:p w14:paraId="7D90530A" w14:textId="77777777" w:rsidR="00644700" w:rsidRDefault="00304E2C">
      <w:pPr>
        <w:pStyle w:val="Heading2"/>
        <w:spacing w:before="320" w:after="160"/>
      </w:pPr>
      <w:r>
        <w:rPr>
          <w:b/>
          <w:bCs/>
          <w:color w:val="2E5395"/>
          <w:sz w:val="24"/>
          <w:szCs w:val="24"/>
        </w:rPr>
        <w:t>6.2 Tier 2 — Medium-Term (3–12 months)</w:t>
      </w:r>
    </w:p>
    <w:p w14:paraId="24CEA15E" w14:textId="77777777" w:rsidR="00644700" w:rsidRPr="00EE1EF0" w:rsidRDefault="00304E2C">
      <w:pPr>
        <w:pStyle w:val="ListParagraph"/>
        <w:numPr>
          <w:ilvl w:val="0"/>
          <w:numId w:val="3"/>
        </w:numPr>
        <w:spacing w:after="80"/>
        <w:rPr>
          <w:lang w:val="en-US"/>
        </w:rPr>
      </w:pPr>
      <w:r>
        <w:rPr>
          <w:sz w:val="21"/>
          <w:szCs w:val="21"/>
          <w:lang w:val="en-US"/>
        </w:rPr>
        <w:t>Formalise a counter-seasonal service push during the Jan–Feb and Jun–Jul dry periods (Section 3.3), actively marketing PC cleaning, upgrades, and repair services — categories that already carry 30–50% margin and require no new inventory investment.</w:t>
      </w:r>
    </w:p>
    <w:p w14:paraId="26115B02" w14:textId="77777777" w:rsidR="00644700" w:rsidRPr="00EE1EF0" w:rsidRDefault="00304E2C">
      <w:pPr>
        <w:pStyle w:val="ListParagraph"/>
        <w:numPr>
          <w:ilvl w:val="0"/>
          <w:numId w:val="3"/>
        </w:numPr>
        <w:spacing w:after="80"/>
        <w:rPr>
          <w:lang w:val="en-US"/>
        </w:rPr>
      </w:pPr>
      <w:r>
        <w:rPr>
          <w:sz w:val="21"/>
          <w:szCs w:val="21"/>
          <w:lang w:val="en-US"/>
        </w:rPr>
        <w:t>Expand the printer and consumables matrix identified as an emerging, under-served demand signal (Section 3.4), positioning it as a genuinely counter-cyclical revenue line.</w:t>
      </w:r>
    </w:p>
    <w:p w14:paraId="02DD16A0" w14:textId="77777777" w:rsidR="00644700" w:rsidRPr="00EE1EF0" w:rsidRDefault="00304E2C">
      <w:pPr>
        <w:pStyle w:val="ListParagraph"/>
        <w:numPr>
          <w:ilvl w:val="0"/>
          <w:numId w:val="3"/>
        </w:numPr>
        <w:spacing w:after="80"/>
        <w:rPr>
          <w:lang w:val="en-US"/>
        </w:rPr>
      </w:pPr>
      <w:r>
        <w:rPr>
          <w:sz w:val="21"/>
          <w:szCs w:val="21"/>
          <w:lang w:val="en-US"/>
        </w:rPr>
        <w:t>Integrate a fast QR-based installment product (e.g., MBANK Pay or equivalent) to reduce financing friction, with a target of raising installment-based purchases from 20% toward 40% of transactions (Section 5.4).</w:t>
      </w:r>
    </w:p>
    <w:p w14:paraId="76B9A2C2" w14:textId="77777777" w:rsidR="00644700" w:rsidRDefault="00304E2C">
      <w:pPr>
        <w:pStyle w:val="Heading2"/>
        <w:spacing w:before="320" w:after="160"/>
      </w:pPr>
      <w:r>
        <w:rPr>
          <w:b/>
          <w:bCs/>
          <w:color w:val="2E5395"/>
          <w:sz w:val="24"/>
          <w:szCs w:val="24"/>
        </w:rPr>
        <w:t>6.3 Tier 3 — Long-Term (12+ months)</w:t>
      </w:r>
    </w:p>
    <w:p w14:paraId="4AA5D3E1" w14:textId="77777777" w:rsidR="00644700" w:rsidRPr="00EE1EF0" w:rsidRDefault="00304E2C">
      <w:pPr>
        <w:pStyle w:val="ListParagraph"/>
        <w:numPr>
          <w:ilvl w:val="0"/>
          <w:numId w:val="3"/>
        </w:numPr>
        <w:spacing w:after="80"/>
        <w:rPr>
          <w:lang w:val="en-US"/>
        </w:rPr>
      </w:pPr>
      <w:r>
        <w:rPr>
          <w:sz w:val="21"/>
          <w:szCs w:val="21"/>
          <w:lang w:val="en-US"/>
        </w:rPr>
        <w:t>Formalise inventory management with a minimum stock-depth threshold and demand-driven reorder points, built on the seasonal pattern in Table 2, so that restocking becomes a systematic process rather than a one-off reactive purchase; in parallel, explore supply-chain diversification beyond a single Dubai corridor, since even partial dual-sourcing would materially reduce the structural exposure described in Section 5.1.</w:t>
      </w:r>
    </w:p>
    <w:p w14:paraId="56BE42C4" w14:textId="77777777" w:rsidR="00644700" w:rsidRPr="00EE1EF0" w:rsidRDefault="00304E2C">
      <w:pPr>
        <w:pStyle w:val="ListParagraph"/>
        <w:numPr>
          <w:ilvl w:val="0"/>
          <w:numId w:val="3"/>
        </w:numPr>
        <w:spacing w:after="80"/>
        <w:rPr>
          <w:lang w:val="en-US"/>
        </w:rPr>
      </w:pPr>
      <w:r>
        <w:rPr>
          <w:sz w:val="21"/>
          <w:szCs w:val="21"/>
          <w:lang w:val="en-US"/>
        </w:rPr>
        <w:t>Formally price the 3–5% defect rate into cost structure or margin planning, rather than absorbing it silently, to protect the already-thin laptop margin identified in Section 2.2.</w:t>
      </w:r>
    </w:p>
    <w:p w14:paraId="5C1445D9" w14:textId="77777777" w:rsidR="00644700" w:rsidRPr="00EE1EF0" w:rsidRDefault="00304E2C">
      <w:pPr>
        <w:pStyle w:val="ListParagraph"/>
        <w:numPr>
          <w:ilvl w:val="0"/>
          <w:numId w:val="3"/>
        </w:numPr>
        <w:spacing w:after="80"/>
        <w:rPr>
          <w:lang w:val="en-US"/>
        </w:rPr>
      </w:pPr>
      <w:r>
        <w:rPr>
          <w:sz w:val="21"/>
          <w:szCs w:val="21"/>
          <w:lang w:val="en-US"/>
        </w:rPr>
        <w:t>Invest any accumulated seasonal cash surplus (Section 3.3, peak-season strategy) into a modest warehouse buffer, reducing exposure to future Dubai-route logistics shocks.</w:t>
      </w:r>
    </w:p>
    <w:p w14:paraId="10C87E36" w14:textId="77777777" w:rsidR="00644700" w:rsidRDefault="00304E2C">
      <w:pPr>
        <w:pStyle w:val="Heading2"/>
        <w:spacing w:before="320" w:after="160"/>
      </w:pPr>
      <w:r>
        <w:rPr>
          <w:b/>
          <w:bCs/>
          <w:color w:val="2E5395"/>
          <w:sz w:val="24"/>
          <w:szCs w:val="24"/>
        </w:rPr>
        <w:t>6.4 Roadmap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200"/>
      </w:tblGrid>
      <w:tr w:rsidR="00644700" w14:paraId="6A4BC393" w14:textId="77777777">
        <w:trPr>
          <w:tblHeader/>
        </w:trPr>
        <w:tc>
          <w:tcPr>
            <w:tcW w:w="2200" w:type="dxa"/>
            <w:shd w:val="clear" w:color="auto" w:fill="1F3864"/>
            <w:tcMar>
              <w:top w:w="80" w:type="dxa"/>
              <w:left w:w="120" w:type="dxa"/>
              <w:bottom w:w="80" w:type="dxa"/>
              <w:right w:w="120" w:type="dxa"/>
            </w:tcMar>
            <w:vAlign w:val="center"/>
          </w:tcPr>
          <w:p w14:paraId="769E9210" w14:textId="77777777" w:rsidR="00644700" w:rsidRDefault="00304E2C">
            <w:r>
              <w:rPr>
                <w:b/>
                <w:bCs/>
                <w:color w:val="FFFFFF"/>
                <w:sz w:val="19"/>
                <w:szCs w:val="19"/>
              </w:rPr>
              <w:t>Horizon</w:t>
            </w:r>
          </w:p>
        </w:tc>
        <w:tc>
          <w:tcPr>
            <w:tcW w:w="3600" w:type="dxa"/>
            <w:shd w:val="clear" w:color="auto" w:fill="1F3864"/>
            <w:tcMar>
              <w:top w:w="80" w:type="dxa"/>
              <w:left w:w="120" w:type="dxa"/>
              <w:bottom w:w="80" w:type="dxa"/>
              <w:right w:w="120" w:type="dxa"/>
            </w:tcMar>
            <w:vAlign w:val="center"/>
          </w:tcPr>
          <w:p w14:paraId="3C5675B6" w14:textId="77777777" w:rsidR="00644700" w:rsidRDefault="00304E2C">
            <w:r>
              <w:rPr>
                <w:b/>
                <w:bCs/>
                <w:color w:val="FFFFFF"/>
                <w:sz w:val="19"/>
                <w:szCs w:val="19"/>
              </w:rPr>
              <w:t>Primary Objective</w:t>
            </w:r>
          </w:p>
        </w:tc>
        <w:tc>
          <w:tcPr>
            <w:tcW w:w="4200" w:type="dxa"/>
            <w:shd w:val="clear" w:color="auto" w:fill="1F3864"/>
            <w:tcMar>
              <w:top w:w="80" w:type="dxa"/>
              <w:left w:w="120" w:type="dxa"/>
              <w:bottom w:w="80" w:type="dxa"/>
              <w:right w:w="120" w:type="dxa"/>
            </w:tcMar>
            <w:vAlign w:val="center"/>
          </w:tcPr>
          <w:p w14:paraId="5BEE915F" w14:textId="77777777" w:rsidR="00644700" w:rsidRDefault="00304E2C">
            <w:r>
              <w:rPr>
                <w:b/>
                <w:bCs/>
                <w:color w:val="FFFFFF"/>
                <w:sz w:val="19"/>
                <w:szCs w:val="19"/>
              </w:rPr>
              <w:t>Key Actions</w:t>
            </w:r>
          </w:p>
        </w:tc>
      </w:tr>
      <w:tr w:rsidR="00644700" w:rsidRPr="00E57AF8" w14:paraId="7FEA8747" w14:textId="77777777">
        <w:tc>
          <w:tcPr>
            <w:tcW w:w="2200" w:type="dxa"/>
            <w:tcMar>
              <w:top w:w="80" w:type="dxa"/>
              <w:left w:w="120" w:type="dxa"/>
              <w:bottom w:w="80" w:type="dxa"/>
              <w:right w:w="120" w:type="dxa"/>
            </w:tcMar>
            <w:vAlign w:val="center"/>
          </w:tcPr>
          <w:p w14:paraId="779AC4FA" w14:textId="77777777" w:rsidR="00644700" w:rsidRDefault="00304E2C">
            <w:r>
              <w:rPr>
                <w:color w:val="000000"/>
                <w:sz w:val="19"/>
                <w:szCs w:val="19"/>
              </w:rPr>
              <w:t>Quick Wins</w:t>
            </w:r>
          </w:p>
        </w:tc>
        <w:tc>
          <w:tcPr>
            <w:tcW w:w="3600" w:type="dxa"/>
            <w:tcMar>
              <w:top w:w="80" w:type="dxa"/>
              <w:left w:w="120" w:type="dxa"/>
              <w:bottom w:w="80" w:type="dxa"/>
              <w:right w:w="120" w:type="dxa"/>
            </w:tcMar>
            <w:vAlign w:val="center"/>
          </w:tcPr>
          <w:p w14:paraId="07839E37" w14:textId="77777777" w:rsidR="00644700" w:rsidRDefault="00304E2C">
            <w:r>
              <w:rPr>
                <w:color w:val="000000"/>
                <w:sz w:val="19"/>
                <w:szCs w:val="19"/>
              </w:rPr>
              <w:t>Make trust visible</w:t>
            </w:r>
          </w:p>
        </w:tc>
        <w:tc>
          <w:tcPr>
            <w:tcW w:w="4200" w:type="dxa"/>
            <w:tcMar>
              <w:top w:w="80" w:type="dxa"/>
              <w:left w:w="120" w:type="dxa"/>
              <w:bottom w:w="80" w:type="dxa"/>
              <w:right w:w="120" w:type="dxa"/>
            </w:tcMar>
            <w:vAlign w:val="center"/>
          </w:tcPr>
          <w:p w14:paraId="5F594CF7" w14:textId="77777777" w:rsidR="00644700" w:rsidRPr="00EE1EF0" w:rsidRDefault="00304E2C">
            <w:pPr>
              <w:rPr>
                <w:lang w:val="en-US"/>
              </w:rPr>
            </w:pPr>
            <w:r>
              <w:rPr>
                <w:color w:val="000000"/>
                <w:sz w:val="19"/>
                <w:szCs w:val="19"/>
                <w:lang w:val="en-US"/>
              </w:rPr>
              <w:t>Signage · digital catalogue · light B2B outreach</w:t>
            </w:r>
          </w:p>
        </w:tc>
      </w:tr>
      <w:tr w:rsidR="00644700" w:rsidRPr="00E57AF8" w14:paraId="3C2BAB50" w14:textId="77777777">
        <w:tc>
          <w:tcPr>
            <w:tcW w:w="2200" w:type="dxa"/>
            <w:shd w:val="clear" w:color="auto" w:fill="DCE6F1"/>
            <w:tcMar>
              <w:top w:w="80" w:type="dxa"/>
              <w:left w:w="120" w:type="dxa"/>
              <w:bottom w:w="80" w:type="dxa"/>
              <w:right w:w="120" w:type="dxa"/>
            </w:tcMar>
            <w:vAlign w:val="center"/>
          </w:tcPr>
          <w:p w14:paraId="6354B00B" w14:textId="77777777" w:rsidR="00644700" w:rsidRDefault="00304E2C">
            <w:r>
              <w:rPr>
                <w:color w:val="000000"/>
                <w:sz w:val="19"/>
                <w:szCs w:val="19"/>
              </w:rPr>
              <w:t>Medium-Term</w:t>
            </w:r>
          </w:p>
        </w:tc>
        <w:tc>
          <w:tcPr>
            <w:tcW w:w="3600" w:type="dxa"/>
            <w:shd w:val="clear" w:color="auto" w:fill="DCE6F1"/>
            <w:tcMar>
              <w:top w:w="80" w:type="dxa"/>
              <w:left w:w="120" w:type="dxa"/>
              <w:bottom w:w="80" w:type="dxa"/>
              <w:right w:w="120" w:type="dxa"/>
            </w:tcMar>
            <w:vAlign w:val="center"/>
          </w:tcPr>
          <w:p w14:paraId="42F27C93" w14:textId="77777777" w:rsidR="00644700" w:rsidRDefault="00304E2C">
            <w:r>
              <w:rPr>
                <w:color w:val="000000"/>
                <w:sz w:val="19"/>
                <w:szCs w:val="19"/>
              </w:rPr>
              <w:t>Smooth seasonality, ease financing</w:t>
            </w:r>
          </w:p>
        </w:tc>
        <w:tc>
          <w:tcPr>
            <w:tcW w:w="4200" w:type="dxa"/>
            <w:shd w:val="clear" w:color="auto" w:fill="DCE6F1"/>
            <w:tcMar>
              <w:top w:w="80" w:type="dxa"/>
              <w:left w:w="120" w:type="dxa"/>
              <w:bottom w:w="80" w:type="dxa"/>
              <w:right w:w="120" w:type="dxa"/>
            </w:tcMar>
            <w:vAlign w:val="center"/>
          </w:tcPr>
          <w:p w14:paraId="6BA1E06D" w14:textId="77777777" w:rsidR="00644700" w:rsidRPr="00EE1EF0" w:rsidRDefault="00304E2C">
            <w:pPr>
              <w:rPr>
                <w:lang w:val="en-US"/>
              </w:rPr>
            </w:pPr>
            <w:r>
              <w:rPr>
                <w:color w:val="000000"/>
                <w:sz w:val="19"/>
                <w:szCs w:val="19"/>
                <w:lang w:val="en-US"/>
              </w:rPr>
              <w:t>Service-revenue push · printer expansion · QR installments</w:t>
            </w:r>
          </w:p>
        </w:tc>
      </w:tr>
      <w:tr w:rsidR="00644700" w:rsidRPr="00E57AF8" w14:paraId="11A57E59" w14:textId="77777777">
        <w:tc>
          <w:tcPr>
            <w:tcW w:w="2200" w:type="dxa"/>
            <w:tcMar>
              <w:top w:w="80" w:type="dxa"/>
              <w:left w:w="120" w:type="dxa"/>
              <w:bottom w:w="80" w:type="dxa"/>
              <w:right w:w="120" w:type="dxa"/>
            </w:tcMar>
            <w:vAlign w:val="center"/>
          </w:tcPr>
          <w:p w14:paraId="7257DD53" w14:textId="77777777" w:rsidR="00644700" w:rsidRDefault="00304E2C">
            <w:r>
              <w:rPr>
                <w:color w:val="000000"/>
                <w:sz w:val="19"/>
                <w:szCs w:val="19"/>
              </w:rPr>
              <w:t>Long-Term</w:t>
            </w:r>
          </w:p>
        </w:tc>
        <w:tc>
          <w:tcPr>
            <w:tcW w:w="3600" w:type="dxa"/>
            <w:tcMar>
              <w:top w:w="80" w:type="dxa"/>
              <w:left w:w="120" w:type="dxa"/>
              <w:bottom w:w="80" w:type="dxa"/>
              <w:right w:w="120" w:type="dxa"/>
            </w:tcMar>
            <w:vAlign w:val="center"/>
          </w:tcPr>
          <w:p w14:paraId="2FD29B03" w14:textId="77777777" w:rsidR="00644700" w:rsidRDefault="00304E2C">
            <w:r>
              <w:rPr>
                <w:color w:val="000000"/>
                <w:sz w:val="19"/>
                <w:szCs w:val="19"/>
              </w:rPr>
              <w:t>De-risk supply &amp; margin</w:t>
            </w:r>
          </w:p>
        </w:tc>
        <w:tc>
          <w:tcPr>
            <w:tcW w:w="4200" w:type="dxa"/>
            <w:tcMar>
              <w:top w:w="80" w:type="dxa"/>
              <w:left w:w="120" w:type="dxa"/>
              <w:bottom w:w="80" w:type="dxa"/>
              <w:right w:w="120" w:type="dxa"/>
            </w:tcMar>
            <w:vAlign w:val="center"/>
          </w:tcPr>
          <w:p w14:paraId="3D917E42" w14:textId="77777777" w:rsidR="00644700" w:rsidRPr="00EE1EF0" w:rsidRDefault="00304E2C">
            <w:pPr>
              <w:rPr>
                <w:lang w:val="en-US"/>
              </w:rPr>
            </w:pPr>
            <w:r>
              <w:rPr>
                <w:color w:val="000000"/>
                <w:sz w:val="19"/>
                <w:szCs w:val="19"/>
                <w:lang w:val="en-US"/>
              </w:rPr>
              <w:t>Supply diversification · defect-cost pricing · inventory buffer</w:t>
            </w:r>
          </w:p>
        </w:tc>
      </w:tr>
    </w:tbl>
    <w:p w14:paraId="14ECE40B" w14:textId="77777777" w:rsidR="00644700" w:rsidRPr="00EE1EF0" w:rsidRDefault="00304E2C">
      <w:pPr>
        <w:spacing w:before="80" w:after="240"/>
        <w:rPr>
          <w:lang w:val="en-US"/>
        </w:rPr>
      </w:pPr>
      <w:r>
        <w:rPr>
          <w:i/>
          <w:iCs/>
          <w:color w:val="595959"/>
          <w:sz w:val="18"/>
          <w:szCs w:val="18"/>
          <w:lang w:val="en-US"/>
        </w:rPr>
        <w:t>Table 4. Consolidated three-tier strategic roadmap for iComp.</w:t>
      </w:r>
    </w:p>
    <w:p w14:paraId="5EF526F4" w14:textId="77777777" w:rsidR="00644700" w:rsidRPr="00EE1EF0" w:rsidRDefault="00304E2C">
      <w:pPr>
        <w:rPr>
          <w:lang w:val="en-US"/>
        </w:rPr>
      </w:pPr>
      <w:r>
        <w:rPr>
          <w:lang w:val="en-US"/>
        </w:rPr>
        <w:br w:type="page"/>
      </w:r>
    </w:p>
    <w:p w14:paraId="7DE437E0" w14:textId="77777777" w:rsidR="00644700" w:rsidRDefault="00304E2C">
      <w:pPr>
        <w:shd w:val="clear" w:color="auto" w:fill="1F3864"/>
        <w:spacing w:after="400"/>
        <w:jc w:val="center"/>
      </w:pPr>
      <w:r>
        <w:rPr>
          <w:b/>
          <w:bCs/>
          <w:color w:val="FFFFFF"/>
          <w:sz w:val="32"/>
          <w:szCs w:val="32"/>
        </w:rPr>
        <w:lastRenderedPageBreak/>
        <w:t>РУССКАЯ ВЕРСИЯ</w:t>
      </w:r>
    </w:p>
    <w:p w14:paraId="234F069B" w14:textId="77777777" w:rsidR="00644700" w:rsidRDefault="00304E2C">
      <w:pPr>
        <w:spacing w:before="240" w:after="120"/>
        <w:jc w:val="center"/>
      </w:pPr>
      <w:r>
        <w:rPr>
          <w:b/>
          <w:bCs/>
          <w:color w:val="1F3864"/>
          <w:sz w:val="22"/>
          <w:szCs w:val="22"/>
        </w:rPr>
        <w:t>Примечание о методологии и доступе к данным</w:t>
      </w:r>
    </w:p>
    <w:p w14:paraId="42899387" w14:textId="77777777" w:rsidR="00644700" w:rsidRDefault="00304E2C">
      <w:pPr>
        <w:spacing w:after="160" w:line="276" w:lineRule="auto"/>
        <w:jc w:val="both"/>
      </w:pPr>
      <w:r>
        <w:rPr>
          <w:color w:val="333333"/>
          <w:sz w:val="21"/>
          <w:szCs w:val="21"/>
        </w:rPr>
        <w:t>Данное исследование основано на первичных полевых данных, собранных в реально действующем розничном бизнесе в ЦУМе («Айчюрек»), 4-й этаж, г. Бишкек. Автор имел привилегированный, прямой доступ к внутренним операционным данным этого бизнеса — включая структуру маржи, расходы на персонал, закономерности пешеходного трафика и отношения с поставщиками — благодаря личной и семейной связи с владельцами предприятия. Этот доступ раскрывается здесь в интересах академической прозрачности, и именно он позволяет выйти за рамки публично наблюдаемого поведения витрины к реальной юнит-экономике, сезонности и внутренним управленческим решениям. Все цифры отражают фактические операционные условия бизнеса в 2025–2026 гг. по данным владельцев; никакие цифры не выдуманы и не экстраполированы на основе вторичных источников, если это прямо не оговорено. Два показателя затрат — ежемесячная аренда (~$3 000) и зарплаты наёмных сотрудников (~40 000 сом каждому) — являются округлёнными, наилучшими из доступных оценками, а не точными контрактными значениями, и должны читаться как ориентировочно верные, а не как аудированные финансовые данные; все расчёты постоянных затрат в Разделе 2 наследуют эту погрешность приближения.</w:t>
      </w:r>
    </w:p>
    <w:p w14:paraId="37409964" w14:textId="77777777" w:rsidR="00644700" w:rsidRDefault="00304E2C">
      <w:pPr>
        <w:pStyle w:val="Heading1"/>
        <w:pBdr>
          <w:bottom w:val="single" w:sz="8" w:space="4" w:color="1F3864"/>
        </w:pBdr>
        <w:spacing w:before="480" w:after="240"/>
      </w:pPr>
      <w:r>
        <w:rPr>
          <w:b/>
          <w:bCs/>
          <w:color w:val="1F3864"/>
          <w:sz w:val="30"/>
          <w:szCs w:val="30"/>
        </w:rPr>
        <w:t>1. Титул и резюме исследования</w:t>
      </w:r>
    </w:p>
    <w:p w14:paraId="44496579" w14:textId="77777777" w:rsidR="00644700" w:rsidRDefault="00304E2C">
      <w:pPr>
        <w:pStyle w:val="Heading2"/>
        <w:spacing w:before="320" w:after="160"/>
      </w:pPr>
      <w:r>
        <w:rPr>
          <w:b/>
          <w:bCs/>
          <w:color w:val="2E5395"/>
          <w:sz w:val="24"/>
          <w:szCs w:val="24"/>
        </w:rPr>
        <w:t>1.1 Название</w:t>
      </w:r>
    </w:p>
    <w:p w14:paraId="4EC6AC1F" w14:textId="3A6DD2CC" w:rsidR="00644700" w:rsidRDefault="00304E2C">
      <w:pPr>
        <w:spacing w:after="160" w:line="276" w:lineRule="auto"/>
        <w:jc w:val="both"/>
      </w:pPr>
      <w:r>
        <w:rPr>
          <w:sz w:val="21"/>
          <w:szCs w:val="21"/>
        </w:rPr>
        <w:t xml:space="preserve">Премиальная локация, невидимый бренд: анализ юнит-экономики и стратегического позиционирования независимого ритейлера электроники с 15-летней историей в г. Бишкек, Кыргызстан.</w:t>
      </w:r>
    </w:p>
    <w:p w14:paraId="36C600F2" w14:textId="77777777" w:rsidR="00644700" w:rsidRDefault="00304E2C">
      <w:pPr>
        <w:pStyle w:val="Heading2"/>
        <w:spacing w:before="320" w:after="160"/>
      </w:pPr>
      <w:r>
        <w:rPr>
          <w:b/>
          <w:bCs/>
          <w:color w:val="2E5395"/>
          <w:sz w:val="24"/>
          <w:szCs w:val="24"/>
        </w:rPr>
        <w:t>1.2 Методология и границы исследования</w:t>
      </w:r>
    </w:p>
    <w:p w14:paraId="651F1C07" w14:textId="7832D905" w:rsidR="00644700" w:rsidRDefault="00304E2C">
      <w:pPr>
        <w:spacing w:after="160" w:line="276" w:lineRule="auto"/>
        <w:jc w:val="both"/>
      </w:pPr>
      <w:r>
        <w:rPr>
          <w:sz w:val="21"/>
          <w:szCs w:val="21"/>
        </w:rPr>
        <w:t>Данное исследование посвящено компании «iComp» — семейному микропредприятию, которое продаёт ноутбуки, комплектующие для ПК, периферию и услуги по ремонту из стационарной торговой точки на 4-м этаже ЦУМа «Айчюрек» — центрального универмага Бишкека. Исследование опирается на структурированные интервью с владельцами, прямое наблюдение за поведением покупателей на точке продаж и внутренние финансовые данные (аренда, ФОТ, структура маржи и сезонные объёмы продаж) за операционный цикл 2025–2026 гг. Аналитическая рамка включает Business Model Canvas, конкурентное позиционирование по Портеру, поведенческую экономику (асимметрия информации при покупках с высокой вовлечённостью) и базовое моделирование юнит-экономики.</w:t>
      </w:r>
    </w:p>
    <w:p w14:paraId="758329C2" w14:textId="77777777" w:rsidR="00644700" w:rsidRDefault="00304E2C">
      <w:pPr>
        <w:pStyle w:val="Heading2"/>
        <w:spacing w:before="320" w:after="160"/>
      </w:pPr>
      <w:r>
        <w:rPr>
          <w:b/>
          <w:bCs/>
          <w:color w:val="2E5395"/>
          <w:sz w:val="24"/>
          <w:szCs w:val="24"/>
        </w:rPr>
        <w:t>1.3 Ключевые выводы</w:t>
      </w:r>
    </w:p>
    <w:p w14:paraId="43E5E2ED" w14:textId="3CC0EE7A" w:rsidR="00644700" w:rsidRDefault="00304E2C">
      <w:pPr>
        <w:pStyle w:val="ListParagraph"/>
        <w:numPr>
          <w:ilvl w:val="0"/>
          <w:numId w:val="3"/>
        </w:numPr>
        <w:spacing w:after="80"/>
      </w:pPr>
      <w:r>
        <w:rPr>
          <w:sz w:val="21"/>
          <w:szCs w:val="21"/>
        </w:rPr>
        <w:t xml:space="preserve">iComp занимает одну из самых ценных торговых мест на рынке электроники Бишкека — непосредственно при выходе с эскалатора на 4-м этаже ЦУМа — однако фактически не имеет визуальной узнаваемости бренда: никакая вывеска не сообщает новому посетителю ни название, ни 15-летнюю историю работы.</w:t>
      </w:r>
    </w:p>
    <w:p w14:paraId="653F63DB" w14:textId="77777777" w:rsidR="00644700" w:rsidRDefault="00304E2C">
      <w:pPr>
        <w:pStyle w:val="ListParagraph"/>
        <w:numPr>
          <w:ilvl w:val="0"/>
          <w:numId w:val="3"/>
        </w:numPr>
        <w:spacing w:after="80"/>
      </w:pPr>
      <w:r>
        <w:rPr>
          <w:sz w:val="21"/>
          <w:szCs w:val="21"/>
        </w:rPr>
        <w:t>Ключевой конкурентный актив — не цена и не визуальный мерчандайзинг, а накопленное доверие определённой поведенческой фигуры — «эксперта», сопровождающего чувствительных к цене и риску покупателей (главным образом студентов и их родителей) для подтверждения выбора.</w:t>
      </w:r>
    </w:p>
    <w:p w14:paraId="4BE6A685" w14:textId="77777777" w:rsidR="00644700" w:rsidRDefault="00304E2C">
      <w:pPr>
        <w:pStyle w:val="ListParagraph"/>
        <w:numPr>
          <w:ilvl w:val="0"/>
          <w:numId w:val="3"/>
        </w:numPr>
        <w:spacing w:after="80"/>
      </w:pPr>
      <w:r>
        <w:rPr>
          <w:sz w:val="21"/>
          <w:szCs w:val="21"/>
        </w:rPr>
        <w:t>Структура юнит-экономики несбалансирована: ноутбуки дают ~30% выручки при тонкой фиксированной марже ~7 000 сом (~$80) за единицу, тогда как аксессуары, сборка ПК и ремонт дают ~70% выручки при наценке ~30% — то есть реальный двигатель прибыли — не ноутбуки, а сервис и периферия.</w:t>
      </w:r>
    </w:p>
    <w:p w14:paraId="6A8F0D9D" w14:textId="59D3C5EE" w:rsidR="00644700" w:rsidRDefault="00304E2C">
      <w:pPr>
        <w:pStyle w:val="ListParagraph"/>
        <w:numPr>
          <w:ilvl w:val="0"/>
          <w:numId w:val="3"/>
        </w:numPr>
        <w:spacing w:after="80"/>
      </w:pPr>
      <w:r>
        <w:rPr>
          <w:sz w:val="21"/>
          <w:szCs w:val="21"/>
        </w:rPr>
        <w:t xml:space="preserve">Спрос резко сезонен (цикл завязан с академическим календарём), что создаёт два продолжительных периода низкого денежного потока в году (январь–февраль и июнь–июль) при фиксированной, не зависящей от сезона аренде в $3 000/мес.</w:t>
      </w:r>
    </w:p>
    <w:p w14:paraId="0D0A1CF3" w14:textId="77777777" w:rsidR="00644700" w:rsidRDefault="00304E2C">
      <w:pPr>
        <w:pStyle w:val="ListParagraph"/>
        <w:numPr>
          <w:ilvl w:val="0"/>
          <w:numId w:val="3"/>
        </w:numPr>
        <w:spacing w:after="80"/>
      </w:pPr>
      <w:r>
        <w:rPr>
          <w:sz w:val="21"/>
          <w:szCs w:val="21"/>
        </w:rPr>
        <w:t>Хорошо капитализированный, агрессивно продвигаемый прямой конкурент («Легион») перехватывает первичное внимание того же пешеходного трафика, создавая долгосрочный риск постепенного вымывания клиентской базы по мере смены поколения «экспертов», знающих iComp.</w:t>
      </w:r>
    </w:p>
    <w:p w14:paraId="580552BE" w14:textId="77777777" w:rsidR="00644700" w:rsidRDefault="00304E2C">
      <w:pPr>
        <w:pStyle w:val="ListParagraph"/>
        <w:numPr>
          <w:ilvl w:val="0"/>
          <w:numId w:val="3"/>
        </w:numPr>
        <w:spacing w:after="80"/>
      </w:pPr>
      <w:r>
        <w:rPr>
          <w:sz w:val="21"/>
          <w:szCs w:val="21"/>
        </w:rPr>
        <w:t>Структурные ограничения — цепочка поставок через Дубай, подверженная глобальному росту цен на DRAM/NAND из-за инфраструктуры ИИ, и низкая доля рассрочки (20%) из-за бюрократии — остаются долгосрочным риском для маржи и стоимости пополнения запасов, хотя недавнее пополнение склада на данный момент сняло острый дефицит запасов, наблюдавшийся на момент первичного сбора данных.</w:t>
      </w:r>
    </w:p>
    <w:p w14:paraId="5F443344" w14:textId="77777777" w:rsidR="00644700" w:rsidRDefault="00304E2C">
      <w:pPr>
        <w:pStyle w:val="Heading2"/>
        <w:spacing w:before="320" w:after="160"/>
      </w:pPr>
      <w:r>
        <w:rPr>
          <w:b/>
          <w:bCs/>
          <w:color w:val="2E5395"/>
          <w:sz w:val="24"/>
          <w:szCs w:val="24"/>
        </w:rPr>
        <w:t>1.4 Центральная стратегическая дилемма</w:t>
      </w:r>
    </w:p>
    <w:p w14:paraId="566F954A" w14:textId="68EFC191" w:rsidR="00644700" w:rsidRDefault="00304E2C">
      <w:pPr>
        <w:spacing w:after="160" w:line="276" w:lineRule="auto"/>
        <w:jc w:val="both"/>
      </w:pPr>
      <w:r>
        <w:rPr>
          <w:sz w:val="21"/>
          <w:szCs w:val="21"/>
        </w:rPr>
        <w:t xml:space="preserve">iComp - наглядный пример парадокса, характерного для долгоживущих розничных предприятий, построенных на доверии: пятнадцать лет стабильного сервиса сформировали устойчивую, высоколояльную клиентскую базу и премиальное месторасположение, но почти никакого передаваемого бренд-капитала для растущей доли покупателей, не имеющих предыдущей связи с бизнесом. Центральный вопрос исследования: </w:t>
        <w:lastRenderedPageBreak/>
        <w:t>как ритейлеру с историей превратить накопленное доверие в видимый, масштабируемый бренд-актив, не располагая бюджетом цифровых конкурентов и не разрушая неформальную, высокодоверительную модель обслуживания, на которой и была построена лояльная клиентская база.</w:t>
      </w:r>
    </w:p>
    <w:p w14:paraId="11BF0CB4" w14:textId="77777777" w:rsidR="00644700" w:rsidRDefault="00304E2C">
      <w:r>
        <w:br w:type="page"/>
      </w:r>
    </w:p>
    <w:p w14:paraId="6957208B" w14:textId="77777777" w:rsidR="00644700" w:rsidRDefault="00304E2C">
      <w:pPr>
        <w:pStyle w:val="Heading1"/>
        <w:pBdr>
          <w:bottom w:val="single" w:sz="8" w:space="4" w:color="1F3864"/>
        </w:pBdr>
        <w:spacing w:before="480" w:after="240"/>
      </w:pPr>
      <w:r>
        <w:rPr>
          <w:b/>
          <w:bCs/>
          <w:color w:val="1F3864"/>
          <w:sz w:val="30"/>
          <w:szCs w:val="30"/>
        </w:rPr>
        <w:lastRenderedPageBreak/>
        <w:t>2. Бизнес-модель и финансовый бенчмаркинг</w:t>
      </w:r>
    </w:p>
    <w:p w14:paraId="4E885574" w14:textId="77777777" w:rsidR="00644700" w:rsidRDefault="00304E2C">
      <w:pPr>
        <w:pStyle w:val="Heading2"/>
        <w:spacing w:before="320" w:after="160"/>
      </w:pPr>
      <w:r>
        <w:rPr>
          <w:b/>
          <w:bCs/>
          <w:color w:val="2E5395"/>
          <w:sz w:val="24"/>
          <w:szCs w:val="24"/>
        </w:rPr>
        <w:t>2.1 Business Model Canvas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4700" w14:paraId="2E3DB68B" w14:textId="77777777">
        <w:trPr>
          <w:tblHeader/>
        </w:trPr>
        <w:tc>
          <w:tcPr>
            <w:tcW w:w="2600" w:type="dxa"/>
            <w:shd w:val="clear" w:color="auto" w:fill="1F3864"/>
            <w:tcMar>
              <w:top w:w="80" w:type="dxa"/>
              <w:left w:w="120" w:type="dxa"/>
              <w:bottom w:w="80" w:type="dxa"/>
              <w:right w:w="120" w:type="dxa"/>
            </w:tcMar>
            <w:vAlign w:val="center"/>
          </w:tcPr>
          <w:p w14:paraId="5F431EA0" w14:textId="77777777" w:rsidR="00644700" w:rsidRDefault="00304E2C">
            <w:r>
              <w:rPr>
                <w:b/>
                <w:bCs/>
                <w:color w:val="FFFFFF"/>
                <w:sz w:val="19"/>
                <w:szCs w:val="19"/>
              </w:rPr>
              <w:t>Компонент</w:t>
            </w:r>
          </w:p>
        </w:tc>
        <w:tc>
          <w:tcPr>
            <w:tcW w:w="7400" w:type="dxa"/>
            <w:shd w:val="clear" w:color="auto" w:fill="1F3864"/>
            <w:tcMar>
              <w:top w:w="80" w:type="dxa"/>
              <w:left w:w="120" w:type="dxa"/>
              <w:bottom w:w="80" w:type="dxa"/>
              <w:right w:w="120" w:type="dxa"/>
            </w:tcMar>
            <w:vAlign w:val="center"/>
          </w:tcPr>
          <w:p w14:paraId="2CFAD803" w14:textId="77777777" w:rsidR="00644700" w:rsidRDefault="00304E2C">
            <w:r>
              <w:rPr>
                <w:b/>
                <w:bCs/>
                <w:color w:val="FFFFFF"/>
                <w:sz w:val="19"/>
                <w:szCs w:val="19"/>
              </w:rPr>
              <w:t>Профиль iComp</w:t>
            </w:r>
          </w:p>
        </w:tc>
      </w:tr>
      <w:tr w:rsidR="00644700" w14:paraId="7E29DD50" w14:textId="77777777">
        <w:tc>
          <w:tcPr>
            <w:tcW w:w="2600" w:type="dxa"/>
            <w:tcMar>
              <w:top w:w="80" w:type="dxa"/>
              <w:left w:w="120" w:type="dxa"/>
              <w:bottom w:w="80" w:type="dxa"/>
              <w:right w:w="120" w:type="dxa"/>
            </w:tcMar>
            <w:vAlign w:val="center"/>
          </w:tcPr>
          <w:p w14:paraId="1090C8F7" w14:textId="77777777" w:rsidR="00644700" w:rsidRDefault="00304E2C">
            <w:r>
              <w:rPr>
                <w:color w:val="000000"/>
                <w:sz w:val="19"/>
                <w:szCs w:val="19"/>
              </w:rPr>
              <w:t>Ценностное предложение</w:t>
            </w:r>
          </w:p>
        </w:tc>
        <w:tc>
          <w:tcPr>
            <w:tcW w:w="7400" w:type="dxa"/>
            <w:tcMar>
              <w:top w:w="80" w:type="dxa"/>
              <w:left w:w="120" w:type="dxa"/>
              <w:bottom w:w="80" w:type="dxa"/>
              <w:right w:w="120" w:type="dxa"/>
            </w:tcMar>
            <w:vAlign w:val="center"/>
          </w:tcPr>
          <w:p w14:paraId="1D7A76BC" w14:textId="441E72D4" w:rsidR="00644700" w:rsidRDefault="00304E2C">
            <w:r>
              <w:rPr>
                <w:color w:val="000000"/>
                <w:sz w:val="19"/>
                <w:szCs w:val="19"/>
              </w:rPr>
              <w:t xml:space="preserve">Экспертный подбор техники, бесплатная предпродажная настройка (ОС/ПО), 15-летняя репутация, постгарантийная поддержка «до конца».</w:t>
            </w:r>
          </w:p>
        </w:tc>
      </w:tr>
      <w:tr w:rsidR="00644700" w14:paraId="07F565B5" w14:textId="77777777">
        <w:tc>
          <w:tcPr>
            <w:tcW w:w="2600" w:type="dxa"/>
            <w:shd w:val="clear" w:color="auto" w:fill="DCE6F1"/>
            <w:tcMar>
              <w:top w:w="80" w:type="dxa"/>
              <w:left w:w="120" w:type="dxa"/>
              <w:bottom w:w="80" w:type="dxa"/>
              <w:right w:w="120" w:type="dxa"/>
            </w:tcMar>
            <w:vAlign w:val="center"/>
          </w:tcPr>
          <w:p w14:paraId="271C5028" w14:textId="77777777" w:rsidR="00644700" w:rsidRDefault="00304E2C">
            <w:r>
              <w:rPr>
                <w:color w:val="000000"/>
                <w:sz w:val="19"/>
                <w:szCs w:val="19"/>
              </w:rPr>
              <w:t>Ключевые клиенты</w:t>
            </w:r>
          </w:p>
        </w:tc>
        <w:tc>
          <w:tcPr>
            <w:tcW w:w="7400" w:type="dxa"/>
            <w:shd w:val="clear" w:color="auto" w:fill="DCE6F1"/>
            <w:tcMar>
              <w:top w:w="80" w:type="dxa"/>
              <w:left w:w="120" w:type="dxa"/>
              <w:bottom w:w="80" w:type="dxa"/>
              <w:right w:w="120" w:type="dxa"/>
            </w:tcMar>
            <w:vAlign w:val="center"/>
          </w:tcPr>
          <w:p w14:paraId="043BDF62" w14:textId="77777777" w:rsidR="00644700" w:rsidRDefault="00304E2C">
            <w:r>
              <w:rPr>
                <w:color w:val="000000"/>
                <w:sz w:val="19"/>
                <w:szCs w:val="19"/>
              </w:rPr>
              <w:t>Студенты IT- и дизайн-направлений и их родители; редкие разовые B2B-заказы (~1 раз/год).</w:t>
            </w:r>
          </w:p>
        </w:tc>
      </w:tr>
      <w:tr w:rsidR="00644700" w14:paraId="37B648FA" w14:textId="77777777">
        <w:tc>
          <w:tcPr>
            <w:tcW w:w="2600" w:type="dxa"/>
            <w:tcMar>
              <w:top w:w="80" w:type="dxa"/>
              <w:left w:w="120" w:type="dxa"/>
              <w:bottom w:w="80" w:type="dxa"/>
              <w:right w:w="120" w:type="dxa"/>
            </w:tcMar>
            <w:vAlign w:val="center"/>
          </w:tcPr>
          <w:p w14:paraId="6C4B7F95" w14:textId="77777777" w:rsidR="00644700" w:rsidRDefault="00304E2C">
            <w:r>
              <w:rPr>
                <w:color w:val="000000"/>
                <w:sz w:val="19"/>
                <w:szCs w:val="19"/>
              </w:rPr>
              <w:t>Каналы продаж</w:t>
            </w:r>
          </w:p>
        </w:tc>
        <w:tc>
          <w:tcPr>
            <w:tcW w:w="7400" w:type="dxa"/>
            <w:tcMar>
              <w:top w:w="80" w:type="dxa"/>
              <w:left w:w="120" w:type="dxa"/>
              <w:bottom w:w="80" w:type="dxa"/>
              <w:right w:w="120" w:type="dxa"/>
            </w:tcMar>
            <w:vAlign w:val="center"/>
          </w:tcPr>
          <w:p w14:paraId="276A6520" w14:textId="77777777" w:rsidR="00644700" w:rsidRDefault="00304E2C">
            <w:r>
              <w:rPr>
                <w:color w:val="000000"/>
                <w:sz w:val="19"/>
                <w:szCs w:val="19"/>
              </w:rPr>
              <w:t>100% оффлайн (пешеходный трафик ЦУМа). Соцсети и LalaFo числятся, но фактически не ведутся.</w:t>
            </w:r>
          </w:p>
        </w:tc>
      </w:tr>
      <w:tr w:rsidR="00644700" w14:paraId="66B67F6D" w14:textId="77777777">
        <w:tc>
          <w:tcPr>
            <w:tcW w:w="2600" w:type="dxa"/>
            <w:shd w:val="clear" w:color="auto" w:fill="DCE6F1"/>
            <w:tcMar>
              <w:top w:w="80" w:type="dxa"/>
              <w:left w:w="120" w:type="dxa"/>
              <w:bottom w:w="80" w:type="dxa"/>
              <w:right w:w="120" w:type="dxa"/>
            </w:tcMar>
            <w:vAlign w:val="center"/>
          </w:tcPr>
          <w:p w14:paraId="671A7C2E" w14:textId="77777777" w:rsidR="00644700" w:rsidRDefault="00304E2C">
            <w:r>
              <w:rPr>
                <w:color w:val="000000"/>
                <w:sz w:val="19"/>
                <w:szCs w:val="19"/>
              </w:rPr>
              <w:t>Структура выручки</w:t>
            </w:r>
          </w:p>
        </w:tc>
        <w:tc>
          <w:tcPr>
            <w:tcW w:w="7400" w:type="dxa"/>
            <w:shd w:val="clear" w:color="auto" w:fill="DCE6F1"/>
            <w:tcMar>
              <w:top w:w="80" w:type="dxa"/>
              <w:left w:w="120" w:type="dxa"/>
              <w:bottom w:w="80" w:type="dxa"/>
              <w:right w:w="120" w:type="dxa"/>
            </w:tcMar>
            <w:vAlign w:val="center"/>
          </w:tcPr>
          <w:p w14:paraId="7E1AD6FC" w14:textId="77777777" w:rsidR="00644700" w:rsidRDefault="00304E2C">
            <w:r>
              <w:rPr>
                <w:color w:val="000000"/>
                <w:sz w:val="19"/>
                <w:szCs w:val="19"/>
              </w:rPr>
              <w:t>~30% ноутбуки (маржа ~7 000 сом / ~$80); ~70% аксессуары, периферия, сборка ПК и ремонт (наценка ~30%).</w:t>
            </w:r>
          </w:p>
        </w:tc>
      </w:tr>
      <w:tr w:rsidR="00644700" w14:paraId="781E0E10" w14:textId="77777777">
        <w:tc>
          <w:tcPr>
            <w:tcW w:w="2600" w:type="dxa"/>
            <w:tcMar>
              <w:top w:w="80" w:type="dxa"/>
              <w:left w:w="120" w:type="dxa"/>
              <w:bottom w:w="80" w:type="dxa"/>
              <w:right w:w="120" w:type="dxa"/>
            </w:tcMar>
            <w:vAlign w:val="center"/>
          </w:tcPr>
          <w:p w14:paraId="0243586F" w14:textId="77777777" w:rsidR="00644700" w:rsidRDefault="00304E2C">
            <w:r>
              <w:rPr>
                <w:color w:val="000000"/>
                <w:sz w:val="19"/>
                <w:szCs w:val="19"/>
              </w:rPr>
              <w:t>Структура расходов</w:t>
            </w:r>
          </w:p>
        </w:tc>
        <w:tc>
          <w:tcPr>
            <w:tcW w:w="7400" w:type="dxa"/>
            <w:tcMar>
              <w:top w:w="80" w:type="dxa"/>
              <w:left w:w="120" w:type="dxa"/>
              <w:bottom w:w="80" w:type="dxa"/>
              <w:right w:w="120" w:type="dxa"/>
            </w:tcMar>
            <w:vAlign w:val="center"/>
          </w:tcPr>
          <w:p w14:paraId="6CA45A03" w14:textId="55776FEA" w:rsidR="00644700" w:rsidRDefault="00304E2C">
            <w:r>
              <w:rPr>
                <w:color w:val="000000"/>
                <w:sz w:val="19"/>
                <w:szCs w:val="19"/>
              </w:rPr>
              <w:t xml:space="preserve">Аренда: $3 000/мес (~260 000 сом), фиксирована и не зависит от сезона. ФОТ: 80 000 сом/мес на 2 наёмных сотрудников (по 40 000 сом); два владельца-оператора фиксированной зарплаты не получают.</w:t>
            </w:r>
          </w:p>
        </w:tc>
      </w:tr>
      <w:tr w:rsidR="00644700" w14:paraId="3CC24B83" w14:textId="77777777">
        <w:tc>
          <w:tcPr>
            <w:tcW w:w="2600" w:type="dxa"/>
            <w:shd w:val="clear" w:color="auto" w:fill="DCE6F1"/>
            <w:tcMar>
              <w:top w:w="80" w:type="dxa"/>
              <w:left w:w="120" w:type="dxa"/>
              <w:bottom w:w="80" w:type="dxa"/>
              <w:right w:w="120" w:type="dxa"/>
            </w:tcMar>
            <w:vAlign w:val="center"/>
          </w:tcPr>
          <w:p w14:paraId="340E7F03" w14:textId="77777777" w:rsidR="00644700" w:rsidRDefault="00304E2C">
            <w:r>
              <w:rPr>
                <w:color w:val="000000"/>
                <w:sz w:val="19"/>
                <w:szCs w:val="19"/>
              </w:rPr>
              <w:t>Ключевое партнёрство</w:t>
            </w:r>
          </w:p>
        </w:tc>
        <w:tc>
          <w:tcPr>
            <w:tcW w:w="7400" w:type="dxa"/>
            <w:shd w:val="clear" w:color="auto" w:fill="DCE6F1"/>
            <w:tcMar>
              <w:top w:w="80" w:type="dxa"/>
              <w:left w:w="120" w:type="dxa"/>
              <w:bottom w:w="80" w:type="dxa"/>
              <w:right w:w="120" w:type="dxa"/>
            </w:tcMar>
            <w:vAlign w:val="center"/>
          </w:tcPr>
          <w:p w14:paraId="2B2B7207" w14:textId="77777777" w:rsidR="00644700" w:rsidRDefault="00304E2C">
            <w:r>
              <w:rPr>
                <w:color w:val="000000"/>
                <w:sz w:val="19"/>
                <w:szCs w:val="19"/>
              </w:rPr>
              <w:t>Неформальный 5-й беззарплатный участник продаёт свои проекторы через точку, платя комиссию 5 000 сом с продажи, и подменяет продавцов на точке.</w:t>
            </w:r>
          </w:p>
        </w:tc>
      </w:tr>
    </w:tbl>
    <w:p w14:paraId="04D7B9AF" w14:textId="77777777" w:rsidR="00644700" w:rsidRDefault="00304E2C">
      <w:pPr>
        <w:spacing w:before="80" w:after="240"/>
      </w:pPr>
      <w:r>
        <w:rPr>
          <w:i/>
          <w:iCs/>
          <w:color w:val="595959"/>
          <w:sz w:val="18"/>
          <w:szCs w:val="18"/>
        </w:rPr>
        <w:t>Таблица 1. Business Model Canvas: логика создания, доставки и захвата ценности iComp.</w:t>
      </w:r>
    </w:p>
    <w:p w14:paraId="62FB20ED" w14:textId="77777777" w:rsidR="00644700" w:rsidRDefault="00304E2C">
      <w:pPr>
        <w:pStyle w:val="Heading2"/>
        <w:spacing w:before="320" w:after="160"/>
      </w:pPr>
      <w:r>
        <w:rPr>
          <w:b/>
          <w:bCs/>
          <w:color w:val="2E5395"/>
          <w:sz w:val="24"/>
          <w:szCs w:val="24"/>
        </w:rPr>
        <w:t>2.2 Юнит-экономика: парадокс маржи на ноутбуках</w:t>
      </w:r>
    </w:p>
    <w:p w14:paraId="572B0055" w14:textId="12C1FB6F" w:rsidR="00644700" w:rsidRDefault="00304E2C">
      <w:pPr>
        <w:spacing w:after="160" w:line="276" w:lineRule="auto"/>
        <w:jc w:val="both"/>
      </w:pPr>
      <w:r>
        <w:rPr>
          <w:sz w:val="21"/>
          <w:szCs w:val="21"/>
        </w:rPr>
        <w:t xml:space="preserve">Определяющая черта финансовой структуры iComp — обратная связь между узнаваемостью категории и её рентабельностью. Ноутбуки — то, чем бизнес известен и за чем приходит большинство клиентов, однако при фиксированной марже ~$80 с единицы и примерно трёх продажах в день даже в пик сезона, ноутбуки фактически выполняют функцию привлечения трафика и формирования доверия, а не основного центра прибыли. Именно наценка ~30% на аксессуары, сборку ПК и ремонт фактически покрывает постоянные расходы, в первую очередь аренду в $3 000/мес.</w:t>
      </w:r>
    </w:p>
    <w:p w14:paraId="27B8ADB9" w14:textId="77777777" w:rsidR="00644700" w:rsidRDefault="00304E2C">
      <w:pPr>
        <w:pStyle w:val="Heading2"/>
        <w:spacing w:before="320" w:after="160"/>
      </w:pPr>
      <w:r>
        <w:rPr>
          <w:b/>
          <w:bCs/>
          <w:color w:val="2E5395"/>
          <w:sz w:val="24"/>
          <w:szCs w:val="24"/>
        </w:rPr>
        <w:t>2.3 Локальный бенчмаркинг затрат</w:t>
      </w:r>
    </w:p>
    <w:p w14:paraId="72ED5ACF" w14:textId="0B960198" w:rsidR="00644700" w:rsidRDefault="00304E2C">
      <w:pPr>
        <w:spacing w:after="160" w:line="276" w:lineRule="auto"/>
        <w:jc w:val="both"/>
      </w:pPr>
      <w:r>
        <w:rPr>
          <w:sz w:val="21"/>
          <w:szCs w:val="21"/>
        </w:rPr>
        <w:t xml:space="preserve">Аренда $3 000/мес за одну торговую точку — существенная постоянная нагрузка по сравнению с типичными ставками аренды для малоформатной розницы в второстепенных торговых центрах Бишкека, отражая премиум за позицию на 4-м этаже у эскалатора. Вместе с формальным ФОТ в 80 000 сом постоянная база расходов составляет примерно 340 000–350 000 сом (~$3 900) до учёта переменной себестоимости — планку, которую нужно преодолевать даже в провальные зимние и летние месяцы (Раздел 3). Стоит отметить, что цифры аренды и зарплат являются округлёнными, приближёнными оценками со слов владельцев, а не точными контрактными значениями; указанную выше базу постоянных расходов следует читать как близкую оценку, а не как аудированную финансовую цифру.</w:t>
      </w:r>
    </w:p>
    <w:p w14:paraId="16C1B7C7" w14:textId="77777777" w:rsidR="00644700" w:rsidRDefault="00304E2C">
      <w:pPr>
        <w:pStyle w:val="Heading2"/>
        <w:spacing w:before="320" w:after="160"/>
      </w:pPr>
      <w:r>
        <w:rPr>
          <w:b/>
          <w:bCs/>
          <w:color w:val="2E5395"/>
          <w:sz w:val="24"/>
          <w:szCs w:val="24"/>
        </w:rPr>
        <w:t>2.4 Барьер рассрочки как потолок выручки</w:t>
      </w:r>
    </w:p>
    <w:p w14:paraId="20B41B72" w14:textId="77777777" w:rsidR="00644700" w:rsidRDefault="00304E2C">
      <w:pPr>
        <w:spacing w:after="160" w:line="276" w:lineRule="auto"/>
        <w:jc w:val="both"/>
      </w:pPr>
      <w:r>
        <w:rPr>
          <w:sz w:val="21"/>
          <w:szCs w:val="21"/>
        </w:rPr>
        <w:t>Только ~20% покупок сейчас идёт через банковскую рассрочку, несмотря на то, что цена ноутбуков (35 000–140 000 сом) действительно высока для одноразовой оплаты наличными для многих студенческих семей. Проблема не столько в нежелании клиентов, сколько в бюрократической сложности оформления через банки-партнёры, которая отталкивает и клиентов, и продавцов от этого варианта как стандартного.</w:t>
      </w:r>
    </w:p>
    <w:p w14:paraId="388DA933" w14:textId="77777777" w:rsidR="00644700" w:rsidRDefault="00304E2C">
      <w:r>
        <w:br w:type="page"/>
      </w:r>
    </w:p>
    <w:p w14:paraId="2DA0D9A1" w14:textId="77777777" w:rsidR="00644700" w:rsidRDefault="00304E2C">
      <w:pPr>
        <w:pStyle w:val="Heading1"/>
        <w:pBdr>
          <w:bottom w:val="single" w:sz="8" w:space="4" w:color="1F3864"/>
        </w:pBdr>
        <w:spacing w:before="480" w:after="240"/>
      </w:pPr>
      <w:r>
        <w:rPr>
          <w:b/>
          <w:bCs/>
          <w:color w:val="1F3864"/>
          <w:sz w:val="30"/>
          <w:szCs w:val="30"/>
        </w:rPr>
        <w:lastRenderedPageBreak/>
        <w:t>3. Рыночная динамика и поведенческая экономика</w:t>
      </w:r>
    </w:p>
    <w:p w14:paraId="0EC9AFA3" w14:textId="77777777" w:rsidR="00644700" w:rsidRDefault="00304E2C">
      <w:pPr>
        <w:pStyle w:val="Heading2"/>
        <w:spacing w:before="320" w:after="160"/>
      </w:pPr>
      <w:r>
        <w:rPr>
          <w:b/>
          <w:bCs/>
          <w:color w:val="2E5395"/>
          <w:sz w:val="24"/>
          <w:szCs w:val="24"/>
        </w:rPr>
        <w:t>3.1 Поведенческая модель «покупка с экспертом»</w:t>
      </w:r>
    </w:p>
    <w:p w14:paraId="6A63B1E4" w14:textId="15D09372" w:rsidR="00644700" w:rsidRDefault="00304E2C">
      <w:pPr>
        <w:spacing w:after="160" w:line="276" w:lineRule="auto"/>
        <w:jc w:val="both"/>
      </w:pPr>
      <w:r>
        <w:rPr>
          <w:sz w:val="21"/>
          <w:szCs w:val="21"/>
        </w:rPr>
        <w:t xml:space="preserve">Покупки электроники в этом сегменте редко являются единоличным решением. Поскольку ноутбук - это покупка с высокой вовлечённостью и воспринимаемым риском для студентов и родителей с ограниченной технической грамотностью, покупатели регулярно приводят с собой доверенного «знающего человека» - друга, старшего брата/сестру или родственника - для подтверждения решения. Отсюда ключевая, недооценённая динамика: реальный разговор продажи часто ведётся с экспертом, а не с конечным покупателем, и предыдущее отношение эксперта к точке или продавцу может решить судьбу сделки вне зависимости от цены или характеристик товара. 15-летняя история iComp естественным образом сформировала именно такую репутацию среди поколения «экспертов-ветеранов» в Бишкеке — ров почти невозможный для быстрого повторения новым конкурентом, но ограниченный во времени, если приток новых «экспертов», знающих точку, не обновляется.</w:t>
      </w:r>
    </w:p>
    <w:p w14:paraId="0DAC6214" w14:textId="77777777" w:rsidR="00644700" w:rsidRDefault="00304E2C">
      <w:pPr>
        <w:pStyle w:val="Heading2"/>
        <w:spacing w:before="320" w:after="160"/>
      </w:pPr>
      <w:r>
        <w:rPr>
          <w:b/>
          <w:bCs/>
          <w:color w:val="2E5395"/>
          <w:sz w:val="24"/>
          <w:szCs w:val="24"/>
        </w:rPr>
        <w:t>3.2 Асимметрия информации и доверие как издержки переключения</w:t>
      </w:r>
    </w:p>
    <w:p w14:paraId="293B6279" w14:textId="77777777" w:rsidR="00644700" w:rsidRDefault="00304E2C">
      <w:pPr>
        <w:spacing w:after="160" w:line="276" w:lineRule="auto"/>
        <w:jc w:val="both"/>
      </w:pPr>
      <w:r>
        <w:rPr>
          <w:sz w:val="21"/>
          <w:szCs w:val="21"/>
        </w:rPr>
        <w:t>Так как большинство покупателей не могут самостоятельно оценить технические характеристики или справедливость цены, доверие фактически выполняет роль издержки переключения: после положительного опыта с iComp воспринимаемый риск обращения к незнакомому конкуренту растёт, даже если тот выглядит привлекательнее. Именно это лежит в основе удержания клиентов iComp и объясняет, почему бизнес исторически конкурирует сервисом и доверием, а не ценой или визуальной подачей.</w:t>
      </w:r>
    </w:p>
    <w:p w14:paraId="663D8130" w14:textId="77777777" w:rsidR="00644700" w:rsidRDefault="00304E2C">
      <w:pPr>
        <w:pStyle w:val="Heading2"/>
        <w:spacing w:before="320" w:after="160"/>
      </w:pPr>
      <w:r>
        <w:rPr>
          <w:b/>
          <w:bCs/>
          <w:color w:val="2E5395"/>
          <w:sz w:val="24"/>
          <w:szCs w:val="24"/>
        </w:rPr>
        <w:t>3.3 Сезонность и академический цикл спроса</w:t>
      </w:r>
    </w:p>
    <w:p w14:paraId="60920858" w14:textId="77777777" w:rsidR="00644700" w:rsidRDefault="00304E2C">
      <w:pPr>
        <w:spacing w:after="160" w:line="276" w:lineRule="auto"/>
        <w:jc w:val="both"/>
      </w:pPr>
      <w:r>
        <w:rPr>
          <w:sz w:val="21"/>
          <w:szCs w:val="21"/>
        </w:rPr>
        <w:t>Спрос тесно следует за академическим календарём Кыргызстана, формируя предсказуемый, но волатильный годовой цикл:</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2200"/>
        <w:gridCol w:w="1900"/>
        <w:gridCol w:w="2200"/>
      </w:tblGrid>
      <w:tr w:rsidR="00644700" w14:paraId="2E60B4CA" w14:textId="77777777">
        <w:trPr>
          <w:tblHeader/>
        </w:trPr>
        <w:tc>
          <w:tcPr>
            <w:tcW w:w="1900" w:type="dxa"/>
            <w:shd w:val="clear" w:color="auto" w:fill="1F3864"/>
            <w:tcMar>
              <w:top w:w="80" w:type="dxa"/>
              <w:left w:w="120" w:type="dxa"/>
              <w:bottom w:w="80" w:type="dxa"/>
              <w:right w:w="120" w:type="dxa"/>
            </w:tcMar>
            <w:vAlign w:val="center"/>
          </w:tcPr>
          <w:p w14:paraId="5D57061D" w14:textId="77777777" w:rsidR="00644700" w:rsidRDefault="00304E2C">
            <w:r>
              <w:rPr>
                <w:b/>
                <w:bCs/>
                <w:color w:val="FFFFFF"/>
                <w:sz w:val="19"/>
                <w:szCs w:val="19"/>
              </w:rPr>
              <w:t>Сезон</w:t>
            </w:r>
          </w:p>
        </w:tc>
        <w:tc>
          <w:tcPr>
            <w:tcW w:w="1800" w:type="dxa"/>
            <w:shd w:val="clear" w:color="auto" w:fill="1F3864"/>
            <w:tcMar>
              <w:top w:w="80" w:type="dxa"/>
              <w:left w:w="120" w:type="dxa"/>
              <w:bottom w:w="80" w:type="dxa"/>
              <w:right w:w="120" w:type="dxa"/>
            </w:tcMar>
            <w:vAlign w:val="center"/>
          </w:tcPr>
          <w:p w14:paraId="6E9260D2" w14:textId="77777777" w:rsidR="00644700" w:rsidRDefault="00304E2C">
            <w:r>
              <w:rPr>
                <w:b/>
                <w:bCs/>
                <w:color w:val="FFFFFF"/>
                <w:sz w:val="19"/>
                <w:szCs w:val="19"/>
              </w:rPr>
              <w:t>Трафик в день</w:t>
            </w:r>
          </w:p>
        </w:tc>
        <w:tc>
          <w:tcPr>
            <w:tcW w:w="2200" w:type="dxa"/>
            <w:shd w:val="clear" w:color="auto" w:fill="1F3864"/>
            <w:tcMar>
              <w:top w:w="80" w:type="dxa"/>
              <w:left w:w="120" w:type="dxa"/>
              <w:bottom w:w="80" w:type="dxa"/>
              <w:right w:w="120" w:type="dxa"/>
            </w:tcMar>
            <w:vAlign w:val="center"/>
          </w:tcPr>
          <w:p w14:paraId="009953C6" w14:textId="77777777" w:rsidR="00644700" w:rsidRDefault="00304E2C">
            <w:r>
              <w:rPr>
                <w:b/>
                <w:bCs/>
                <w:color w:val="FFFFFF"/>
                <w:sz w:val="19"/>
                <w:szCs w:val="19"/>
              </w:rPr>
              <w:t>Продажи аксессуаров/день</w:t>
            </w:r>
          </w:p>
        </w:tc>
        <w:tc>
          <w:tcPr>
            <w:tcW w:w="1900" w:type="dxa"/>
            <w:shd w:val="clear" w:color="auto" w:fill="1F3864"/>
            <w:tcMar>
              <w:top w:w="80" w:type="dxa"/>
              <w:left w:w="120" w:type="dxa"/>
              <w:bottom w:w="80" w:type="dxa"/>
              <w:right w:w="120" w:type="dxa"/>
            </w:tcMar>
            <w:vAlign w:val="center"/>
          </w:tcPr>
          <w:p w14:paraId="152F9399" w14:textId="77777777" w:rsidR="00644700" w:rsidRDefault="00304E2C">
            <w:r>
              <w:rPr>
                <w:b/>
                <w:bCs/>
                <w:color w:val="FFFFFF"/>
                <w:sz w:val="19"/>
                <w:szCs w:val="19"/>
              </w:rPr>
              <w:t>Продажи ноутбуков/день</w:t>
            </w:r>
          </w:p>
        </w:tc>
        <w:tc>
          <w:tcPr>
            <w:tcW w:w="2200" w:type="dxa"/>
            <w:shd w:val="clear" w:color="auto" w:fill="1F3864"/>
            <w:tcMar>
              <w:top w:w="80" w:type="dxa"/>
              <w:left w:w="120" w:type="dxa"/>
              <w:bottom w:w="80" w:type="dxa"/>
              <w:right w:w="120" w:type="dxa"/>
            </w:tcMar>
            <w:vAlign w:val="center"/>
          </w:tcPr>
          <w:p w14:paraId="5D3DFEB1" w14:textId="77777777" w:rsidR="00644700" w:rsidRDefault="00304E2C">
            <w:r>
              <w:rPr>
                <w:b/>
                <w:bCs/>
                <w:color w:val="FFFFFF"/>
                <w:sz w:val="19"/>
                <w:szCs w:val="19"/>
              </w:rPr>
              <w:t>Стратегический статус</w:t>
            </w:r>
          </w:p>
        </w:tc>
      </w:tr>
      <w:tr w:rsidR="00644700" w14:paraId="3A0D3531" w14:textId="77777777">
        <w:tc>
          <w:tcPr>
            <w:tcW w:w="1900" w:type="dxa"/>
            <w:tcMar>
              <w:top w:w="80" w:type="dxa"/>
              <w:left w:w="120" w:type="dxa"/>
              <w:bottom w:w="80" w:type="dxa"/>
              <w:right w:w="120" w:type="dxa"/>
            </w:tcMar>
            <w:vAlign w:val="center"/>
          </w:tcPr>
          <w:p w14:paraId="4F047B81" w14:textId="77777777" w:rsidR="00644700" w:rsidRDefault="00304E2C">
            <w:r>
              <w:rPr>
                <w:color w:val="000000"/>
                <w:sz w:val="19"/>
                <w:szCs w:val="19"/>
              </w:rPr>
              <w:t>Пик (Авг–Окт)</w:t>
            </w:r>
          </w:p>
        </w:tc>
        <w:tc>
          <w:tcPr>
            <w:tcW w:w="1800" w:type="dxa"/>
            <w:tcMar>
              <w:top w:w="80" w:type="dxa"/>
              <w:left w:w="120" w:type="dxa"/>
              <w:bottom w:w="80" w:type="dxa"/>
              <w:right w:w="120" w:type="dxa"/>
            </w:tcMar>
            <w:vAlign w:val="center"/>
          </w:tcPr>
          <w:p w14:paraId="7A02E0B2" w14:textId="77777777" w:rsidR="00644700" w:rsidRDefault="00304E2C">
            <w:r>
              <w:rPr>
                <w:color w:val="000000"/>
                <w:sz w:val="19"/>
                <w:szCs w:val="19"/>
              </w:rPr>
              <w:t>~70</w:t>
            </w:r>
          </w:p>
        </w:tc>
        <w:tc>
          <w:tcPr>
            <w:tcW w:w="2200" w:type="dxa"/>
            <w:tcMar>
              <w:top w:w="80" w:type="dxa"/>
              <w:left w:w="120" w:type="dxa"/>
              <w:bottom w:w="80" w:type="dxa"/>
              <w:right w:w="120" w:type="dxa"/>
            </w:tcMar>
            <w:vAlign w:val="center"/>
          </w:tcPr>
          <w:p w14:paraId="5B730EE3" w14:textId="77777777" w:rsidR="00644700" w:rsidRDefault="00304E2C">
            <w:r>
              <w:rPr>
                <w:color w:val="000000"/>
                <w:sz w:val="19"/>
                <w:szCs w:val="19"/>
              </w:rPr>
              <w:t>~35</w:t>
            </w:r>
          </w:p>
        </w:tc>
        <w:tc>
          <w:tcPr>
            <w:tcW w:w="1900" w:type="dxa"/>
            <w:tcMar>
              <w:top w:w="80" w:type="dxa"/>
              <w:left w:w="120" w:type="dxa"/>
              <w:bottom w:w="80" w:type="dxa"/>
              <w:right w:w="120" w:type="dxa"/>
            </w:tcMar>
            <w:vAlign w:val="center"/>
          </w:tcPr>
          <w:p w14:paraId="680F0EFA" w14:textId="77777777" w:rsidR="00644700" w:rsidRDefault="00304E2C">
            <w:r>
              <w:rPr>
                <w:color w:val="000000"/>
                <w:sz w:val="19"/>
                <w:szCs w:val="19"/>
              </w:rPr>
              <w:t>~3</w:t>
            </w:r>
          </w:p>
        </w:tc>
        <w:tc>
          <w:tcPr>
            <w:tcW w:w="2200" w:type="dxa"/>
            <w:tcMar>
              <w:top w:w="80" w:type="dxa"/>
              <w:left w:w="120" w:type="dxa"/>
              <w:bottom w:w="80" w:type="dxa"/>
              <w:right w:w="120" w:type="dxa"/>
            </w:tcMar>
            <w:vAlign w:val="center"/>
          </w:tcPr>
          <w:p w14:paraId="24BE77F8" w14:textId="77777777" w:rsidR="00644700" w:rsidRDefault="00304E2C">
            <w:r>
              <w:rPr>
                <w:color w:val="000000"/>
                <w:sz w:val="19"/>
                <w:szCs w:val="19"/>
              </w:rPr>
              <w:t>Максимизация маржи; накопление финансовой подушки</w:t>
            </w:r>
          </w:p>
        </w:tc>
      </w:tr>
      <w:tr w:rsidR="00644700" w14:paraId="3FE1C982" w14:textId="77777777">
        <w:tc>
          <w:tcPr>
            <w:tcW w:w="1900" w:type="dxa"/>
            <w:shd w:val="clear" w:color="auto" w:fill="DCE6F1"/>
            <w:tcMar>
              <w:top w:w="80" w:type="dxa"/>
              <w:left w:w="120" w:type="dxa"/>
              <w:bottom w:w="80" w:type="dxa"/>
              <w:right w:w="120" w:type="dxa"/>
            </w:tcMar>
            <w:vAlign w:val="center"/>
          </w:tcPr>
          <w:p w14:paraId="27BE794F" w14:textId="77777777" w:rsidR="00644700" w:rsidRDefault="00304E2C">
            <w:r>
              <w:rPr>
                <w:color w:val="000000"/>
                <w:sz w:val="19"/>
                <w:szCs w:val="19"/>
              </w:rPr>
              <w:t>Зима (Ноя–Дек)</w:t>
            </w:r>
          </w:p>
        </w:tc>
        <w:tc>
          <w:tcPr>
            <w:tcW w:w="1800" w:type="dxa"/>
            <w:shd w:val="clear" w:color="auto" w:fill="DCE6F1"/>
            <w:tcMar>
              <w:top w:w="80" w:type="dxa"/>
              <w:left w:w="120" w:type="dxa"/>
              <w:bottom w:w="80" w:type="dxa"/>
              <w:right w:w="120" w:type="dxa"/>
            </w:tcMar>
            <w:vAlign w:val="center"/>
          </w:tcPr>
          <w:p w14:paraId="5140A3BD" w14:textId="77777777" w:rsidR="00644700" w:rsidRDefault="00304E2C">
            <w:r>
              <w:rPr>
                <w:color w:val="000000"/>
                <w:sz w:val="19"/>
                <w:szCs w:val="19"/>
              </w:rPr>
              <w:t>~45</w:t>
            </w:r>
          </w:p>
        </w:tc>
        <w:tc>
          <w:tcPr>
            <w:tcW w:w="2200" w:type="dxa"/>
            <w:shd w:val="clear" w:color="auto" w:fill="DCE6F1"/>
            <w:tcMar>
              <w:top w:w="80" w:type="dxa"/>
              <w:left w:w="120" w:type="dxa"/>
              <w:bottom w:w="80" w:type="dxa"/>
              <w:right w:w="120" w:type="dxa"/>
            </w:tcMar>
            <w:vAlign w:val="center"/>
          </w:tcPr>
          <w:p w14:paraId="37D673E9" w14:textId="77777777" w:rsidR="00644700" w:rsidRDefault="00304E2C">
            <w:r>
              <w:rPr>
                <w:color w:val="000000"/>
                <w:sz w:val="19"/>
                <w:szCs w:val="19"/>
              </w:rPr>
              <w:t>~22</w:t>
            </w:r>
          </w:p>
        </w:tc>
        <w:tc>
          <w:tcPr>
            <w:tcW w:w="1900" w:type="dxa"/>
            <w:shd w:val="clear" w:color="auto" w:fill="DCE6F1"/>
            <w:tcMar>
              <w:top w:w="80" w:type="dxa"/>
              <w:left w:w="120" w:type="dxa"/>
              <w:bottom w:w="80" w:type="dxa"/>
              <w:right w:w="120" w:type="dxa"/>
            </w:tcMar>
            <w:vAlign w:val="center"/>
          </w:tcPr>
          <w:p w14:paraId="39297ADA" w14:textId="77777777" w:rsidR="00644700" w:rsidRDefault="00304E2C">
            <w:r>
              <w:rPr>
                <w:color w:val="000000"/>
                <w:sz w:val="19"/>
                <w:szCs w:val="19"/>
              </w:rPr>
              <w:t>&lt;1 (предновогодний всплеск)</w:t>
            </w:r>
          </w:p>
        </w:tc>
        <w:tc>
          <w:tcPr>
            <w:tcW w:w="2200" w:type="dxa"/>
            <w:shd w:val="clear" w:color="auto" w:fill="DCE6F1"/>
            <w:tcMar>
              <w:top w:w="80" w:type="dxa"/>
              <w:left w:w="120" w:type="dxa"/>
              <w:bottom w:w="80" w:type="dxa"/>
              <w:right w:w="120" w:type="dxa"/>
            </w:tcMar>
            <w:vAlign w:val="center"/>
          </w:tcPr>
          <w:p w14:paraId="075AC26F" w14:textId="77777777" w:rsidR="00644700" w:rsidRDefault="00304E2C">
            <w:r>
              <w:rPr>
                <w:color w:val="000000"/>
                <w:sz w:val="19"/>
                <w:szCs w:val="19"/>
              </w:rPr>
              <w:t>Фокус на аксессуары и сервис</w:t>
            </w:r>
          </w:p>
        </w:tc>
      </w:tr>
      <w:tr w:rsidR="00644700" w14:paraId="5068D64A" w14:textId="77777777">
        <w:tc>
          <w:tcPr>
            <w:tcW w:w="1900" w:type="dxa"/>
            <w:tcMar>
              <w:top w:w="80" w:type="dxa"/>
              <w:left w:w="120" w:type="dxa"/>
              <w:bottom w:w="80" w:type="dxa"/>
              <w:right w:w="120" w:type="dxa"/>
            </w:tcMar>
            <w:vAlign w:val="center"/>
          </w:tcPr>
          <w:p w14:paraId="53FC4802" w14:textId="77777777" w:rsidR="00644700" w:rsidRDefault="00304E2C">
            <w:r>
              <w:rPr>
                <w:color w:val="000000"/>
                <w:sz w:val="19"/>
                <w:szCs w:val="19"/>
              </w:rPr>
              <w:t>Провал (Янв–Фев)</w:t>
            </w:r>
          </w:p>
        </w:tc>
        <w:tc>
          <w:tcPr>
            <w:tcW w:w="1800" w:type="dxa"/>
            <w:tcMar>
              <w:top w:w="80" w:type="dxa"/>
              <w:left w:w="120" w:type="dxa"/>
              <w:bottom w:w="80" w:type="dxa"/>
              <w:right w:w="120" w:type="dxa"/>
            </w:tcMar>
            <w:vAlign w:val="center"/>
          </w:tcPr>
          <w:p w14:paraId="10634F05" w14:textId="77777777" w:rsidR="00644700" w:rsidRDefault="00304E2C">
            <w:r>
              <w:rPr>
                <w:color w:val="000000"/>
                <w:sz w:val="19"/>
                <w:szCs w:val="19"/>
              </w:rPr>
              <w:t>Низкий</w:t>
            </w:r>
          </w:p>
        </w:tc>
        <w:tc>
          <w:tcPr>
            <w:tcW w:w="2200" w:type="dxa"/>
            <w:tcMar>
              <w:top w:w="80" w:type="dxa"/>
              <w:left w:w="120" w:type="dxa"/>
              <w:bottom w:w="80" w:type="dxa"/>
              <w:right w:w="120" w:type="dxa"/>
            </w:tcMar>
            <w:vAlign w:val="center"/>
          </w:tcPr>
          <w:p w14:paraId="4CDB2192" w14:textId="77777777" w:rsidR="00644700" w:rsidRDefault="00304E2C">
            <w:r>
              <w:rPr>
                <w:color w:val="000000"/>
                <w:sz w:val="19"/>
                <w:szCs w:val="19"/>
              </w:rPr>
              <w:t>Низкий</w:t>
            </w:r>
          </w:p>
        </w:tc>
        <w:tc>
          <w:tcPr>
            <w:tcW w:w="1900" w:type="dxa"/>
            <w:tcMar>
              <w:top w:w="80" w:type="dxa"/>
              <w:left w:w="120" w:type="dxa"/>
              <w:bottom w:w="80" w:type="dxa"/>
              <w:right w:w="120" w:type="dxa"/>
            </w:tcMar>
            <w:vAlign w:val="center"/>
          </w:tcPr>
          <w:p w14:paraId="0DA3C512" w14:textId="77777777" w:rsidR="00644700" w:rsidRDefault="00304E2C">
            <w:r>
              <w:rPr>
                <w:color w:val="000000"/>
                <w:sz w:val="19"/>
                <w:szCs w:val="19"/>
              </w:rPr>
              <w:t>~0</w:t>
            </w:r>
          </w:p>
        </w:tc>
        <w:tc>
          <w:tcPr>
            <w:tcW w:w="2200" w:type="dxa"/>
            <w:tcMar>
              <w:top w:w="80" w:type="dxa"/>
              <w:left w:w="120" w:type="dxa"/>
              <w:bottom w:w="80" w:type="dxa"/>
              <w:right w:w="120" w:type="dxa"/>
            </w:tcMar>
            <w:vAlign w:val="center"/>
          </w:tcPr>
          <w:p w14:paraId="5ECBEDA6" w14:textId="77777777" w:rsidR="00644700" w:rsidRDefault="00304E2C">
            <w:r>
              <w:rPr>
                <w:color w:val="000000"/>
                <w:sz w:val="19"/>
                <w:szCs w:val="19"/>
              </w:rPr>
              <w:t>Режим выживания; дисциплина затрат</w:t>
            </w:r>
          </w:p>
        </w:tc>
      </w:tr>
      <w:tr w:rsidR="00644700" w14:paraId="113E3D59" w14:textId="77777777">
        <w:tc>
          <w:tcPr>
            <w:tcW w:w="1900" w:type="dxa"/>
            <w:shd w:val="clear" w:color="auto" w:fill="DCE6F1"/>
            <w:tcMar>
              <w:top w:w="80" w:type="dxa"/>
              <w:left w:w="120" w:type="dxa"/>
              <w:bottom w:w="80" w:type="dxa"/>
              <w:right w:w="120" w:type="dxa"/>
            </w:tcMar>
            <w:vAlign w:val="center"/>
          </w:tcPr>
          <w:p w14:paraId="60F1BEAE" w14:textId="77777777" w:rsidR="00644700" w:rsidRDefault="00304E2C">
            <w:r>
              <w:rPr>
                <w:color w:val="000000"/>
                <w:sz w:val="19"/>
                <w:szCs w:val="19"/>
              </w:rPr>
              <w:t>Весна (Мар–Май)</w:t>
            </w:r>
          </w:p>
        </w:tc>
        <w:tc>
          <w:tcPr>
            <w:tcW w:w="1800" w:type="dxa"/>
            <w:shd w:val="clear" w:color="auto" w:fill="DCE6F1"/>
            <w:tcMar>
              <w:top w:w="80" w:type="dxa"/>
              <w:left w:w="120" w:type="dxa"/>
              <w:bottom w:w="80" w:type="dxa"/>
              <w:right w:w="120" w:type="dxa"/>
            </w:tcMar>
            <w:vAlign w:val="center"/>
          </w:tcPr>
          <w:p w14:paraId="352D0555" w14:textId="77777777" w:rsidR="00644700" w:rsidRDefault="00304E2C">
            <w:r>
              <w:rPr>
                <w:color w:val="000000"/>
                <w:sz w:val="19"/>
                <w:szCs w:val="19"/>
              </w:rPr>
              <w:t>~35</w:t>
            </w:r>
          </w:p>
        </w:tc>
        <w:tc>
          <w:tcPr>
            <w:tcW w:w="2200" w:type="dxa"/>
            <w:shd w:val="clear" w:color="auto" w:fill="DCE6F1"/>
            <w:tcMar>
              <w:top w:w="80" w:type="dxa"/>
              <w:left w:w="120" w:type="dxa"/>
              <w:bottom w:w="80" w:type="dxa"/>
              <w:right w:w="120" w:type="dxa"/>
            </w:tcMar>
            <w:vAlign w:val="center"/>
          </w:tcPr>
          <w:p w14:paraId="1B326BD7" w14:textId="77777777" w:rsidR="00644700" w:rsidRDefault="00304E2C">
            <w:r>
              <w:rPr>
                <w:color w:val="000000"/>
                <w:sz w:val="19"/>
                <w:szCs w:val="19"/>
              </w:rPr>
              <w:t>~18</w:t>
            </w:r>
          </w:p>
        </w:tc>
        <w:tc>
          <w:tcPr>
            <w:tcW w:w="1900" w:type="dxa"/>
            <w:shd w:val="clear" w:color="auto" w:fill="DCE6F1"/>
            <w:tcMar>
              <w:top w:w="80" w:type="dxa"/>
              <w:left w:w="120" w:type="dxa"/>
              <w:bottom w:w="80" w:type="dxa"/>
              <w:right w:w="120" w:type="dxa"/>
            </w:tcMar>
            <w:vAlign w:val="center"/>
          </w:tcPr>
          <w:p w14:paraId="785FE866" w14:textId="77777777" w:rsidR="00644700" w:rsidRDefault="00304E2C">
            <w:r>
              <w:rPr>
                <w:color w:val="000000"/>
                <w:sz w:val="19"/>
                <w:szCs w:val="19"/>
              </w:rPr>
              <w:t>~2</w:t>
            </w:r>
          </w:p>
        </w:tc>
        <w:tc>
          <w:tcPr>
            <w:tcW w:w="2200" w:type="dxa"/>
            <w:shd w:val="clear" w:color="auto" w:fill="DCE6F1"/>
            <w:tcMar>
              <w:top w:w="80" w:type="dxa"/>
              <w:left w:w="120" w:type="dxa"/>
              <w:bottom w:w="80" w:type="dxa"/>
              <w:right w:w="120" w:type="dxa"/>
            </w:tcMar>
            <w:vAlign w:val="center"/>
          </w:tcPr>
          <w:p w14:paraId="12639455" w14:textId="77777777" w:rsidR="00644700" w:rsidRDefault="00304E2C">
            <w:r>
              <w:rPr>
                <w:color w:val="000000"/>
                <w:sz w:val="19"/>
                <w:szCs w:val="19"/>
              </w:rPr>
              <w:t>Стабильное плато; ровное пополнение</w:t>
            </w:r>
          </w:p>
        </w:tc>
      </w:tr>
      <w:tr w:rsidR="00644700" w14:paraId="4E7127AB" w14:textId="77777777">
        <w:tc>
          <w:tcPr>
            <w:tcW w:w="1900" w:type="dxa"/>
            <w:tcMar>
              <w:top w:w="80" w:type="dxa"/>
              <w:left w:w="120" w:type="dxa"/>
              <w:bottom w:w="80" w:type="dxa"/>
              <w:right w:w="120" w:type="dxa"/>
            </w:tcMar>
            <w:vAlign w:val="center"/>
          </w:tcPr>
          <w:p w14:paraId="1BC44937" w14:textId="77777777" w:rsidR="00644700" w:rsidRDefault="00304E2C">
            <w:r>
              <w:rPr>
                <w:color w:val="000000"/>
                <w:sz w:val="19"/>
                <w:szCs w:val="19"/>
              </w:rPr>
              <w:t>Провал (Июн–Июл)</w:t>
            </w:r>
          </w:p>
        </w:tc>
        <w:tc>
          <w:tcPr>
            <w:tcW w:w="1800" w:type="dxa"/>
            <w:tcMar>
              <w:top w:w="80" w:type="dxa"/>
              <w:left w:w="120" w:type="dxa"/>
              <w:bottom w:w="80" w:type="dxa"/>
              <w:right w:w="120" w:type="dxa"/>
            </w:tcMar>
            <w:vAlign w:val="center"/>
          </w:tcPr>
          <w:p w14:paraId="54397A34" w14:textId="77777777" w:rsidR="00644700" w:rsidRDefault="00304E2C">
            <w:r>
              <w:rPr>
                <w:color w:val="000000"/>
                <w:sz w:val="19"/>
                <w:szCs w:val="19"/>
              </w:rPr>
              <w:t>Низкий</w:t>
            </w:r>
          </w:p>
        </w:tc>
        <w:tc>
          <w:tcPr>
            <w:tcW w:w="2200" w:type="dxa"/>
            <w:tcMar>
              <w:top w:w="80" w:type="dxa"/>
              <w:left w:w="120" w:type="dxa"/>
              <w:bottom w:w="80" w:type="dxa"/>
              <w:right w:w="120" w:type="dxa"/>
            </w:tcMar>
            <w:vAlign w:val="center"/>
          </w:tcPr>
          <w:p w14:paraId="3C11F1B6" w14:textId="77777777" w:rsidR="00644700" w:rsidRDefault="00304E2C">
            <w:r>
              <w:rPr>
                <w:color w:val="000000"/>
                <w:sz w:val="19"/>
                <w:szCs w:val="19"/>
              </w:rPr>
              <w:t>Низкий</w:t>
            </w:r>
          </w:p>
        </w:tc>
        <w:tc>
          <w:tcPr>
            <w:tcW w:w="1900" w:type="dxa"/>
            <w:tcMar>
              <w:top w:w="80" w:type="dxa"/>
              <w:left w:w="120" w:type="dxa"/>
              <w:bottom w:w="80" w:type="dxa"/>
              <w:right w:w="120" w:type="dxa"/>
            </w:tcMar>
            <w:vAlign w:val="center"/>
          </w:tcPr>
          <w:p w14:paraId="17729E46" w14:textId="77777777" w:rsidR="00644700" w:rsidRDefault="00304E2C">
            <w:r>
              <w:rPr>
                <w:color w:val="000000"/>
                <w:sz w:val="19"/>
                <w:szCs w:val="19"/>
              </w:rPr>
              <w:t>~0</w:t>
            </w:r>
          </w:p>
        </w:tc>
        <w:tc>
          <w:tcPr>
            <w:tcW w:w="2200" w:type="dxa"/>
            <w:tcMar>
              <w:top w:w="80" w:type="dxa"/>
              <w:left w:w="120" w:type="dxa"/>
              <w:bottom w:w="80" w:type="dxa"/>
              <w:right w:w="120" w:type="dxa"/>
            </w:tcMar>
            <w:vAlign w:val="center"/>
          </w:tcPr>
          <w:p w14:paraId="232E9E07" w14:textId="77777777" w:rsidR="00644700" w:rsidRDefault="00304E2C">
            <w:r>
              <w:rPr>
                <w:color w:val="000000"/>
                <w:sz w:val="19"/>
                <w:szCs w:val="19"/>
              </w:rPr>
              <w:t>Режим выживания; дисциплина затрат</w:t>
            </w:r>
          </w:p>
        </w:tc>
      </w:tr>
    </w:tbl>
    <w:p w14:paraId="660B9CA4" w14:textId="77777777" w:rsidR="00644700" w:rsidRDefault="00304E2C">
      <w:pPr>
        <w:spacing w:before="80" w:after="240"/>
      </w:pPr>
      <w:r>
        <w:rPr>
          <w:i/>
          <w:iCs/>
          <w:color w:val="595959"/>
          <w:sz w:val="18"/>
          <w:szCs w:val="18"/>
        </w:rPr>
        <w:t>Таблица 2. Сезонный цикл спроса в соотношении с трафиком и конверсией iComp.</w:t>
      </w:r>
    </w:p>
    <w:p w14:paraId="66853164" w14:textId="77777777" w:rsidR="00644700" w:rsidRDefault="00304E2C">
      <w:pPr>
        <w:spacing w:after="160" w:line="276" w:lineRule="auto"/>
        <w:jc w:val="both"/>
      </w:pPr>
      <w:r>
        <w:rPr>
          <w:sz w:val="21"/>
          <w:szCs w:val="21"/>
        </w:rPr>
        <w:t>Два «провальных» окна — в сумме около четырёх месяцев в году — представляют собой главный структурный риск для бизнеса, так как фиксированные обязательства по аренде и ФОТ не снижаются вместе со спросом. Именно это является основным двигателем рекомендаций по сглаживанию сезонности в Разделе 6.</w:t>
      </w:r>
    </w:p>
    <w:p w14:paraId="1EC4C629" w14:textId="77777777" w:rsidR="00644700" w:rsidRDefault="00304E2C">
      <w:pPr>
        <w:pStyle w:val="Heading2"/>
        <w:spacing w:before="320" w:after="160"/>
      </w:pPr>
      <w:r>
        <w:rPr>
          <w:b/>
          <w:bCs/>
          <w:color w:val="2E5395"/>
          <w:sz w:val="24"/>
          <w:szCs w:val="24"/>
        </w:rPr>
        <w:lastRenderedPageBreak/>
        <w:t>3.4 Новый сигнал спроса: принтеры</w:t>
      </w:r>
    </w:p>
    <w:p w14:paraId="7DF2DDE5" w14:textId="2E22E786" w:rsidR="00644700" w:rsidRDefault="00304E2C">
      <w:pPr>
        <w:spacing w:after="160" w:line="276" w:lineRule="auto"/>
        <w:jc w:val="both"/>
      </w:pPr>
      <w:r>
        <w:rPr>
          <w:sz w:val="21"/>
          <w:szCs w:val="21"/>
        </w:rPr>
        <w:t xml:space="preserve">Владельцы отмечают растущий, пока недостаточно удовлетворённый спрос на принтеры и расходные материалы - категорию с относительно высокой маржой и меньшей чувствительностью к цене, чем ноутбуки, и практически не связанную с академическим циклом покупки ноутбуков - что делает её естественным кандидатом для диверсификации выручки вне сезона.</w:t>
      </w:r>
    </w:p>
    <w:p w14:paraId="69379393" w14:textId="77777777" w:rsidR="00644700" w:rsidRDefault="00304E2C">
      <w:r>
        <w:br w:type="page"/>
      </w:r>
    </w:p>
    <w:p w14:paraId="14255223" w14:textId="77777777" w:rsidR="00644700" w:rsidRDefault="00304E2C">
      <w:pPr>
        <w:pStyle w:val="Heading1"/>
        <w:pBdr>
          <w:bottom w:val="single" w:sz="8" w:space="4" w:color="1F3864"/>
        </w:pBdr>
        <w:spacing w:before="480" w:after="240"/>
      </w:pPr>
      <w:r>
        <w:rPr>
          <w:b/>
          <w:bCs/>
          <w:color w:val="1F3864"/>
          <w:sz w:val="30"/>
          <w:szCs w:val="30"/>
        </w:rPr>
        <w:lastRenderedPageBreak/>
        <w:t>4. Анализ конкурентного и бренд-позиционирования</w:t>
      </w:r>
    </w:p>
    <w:p w14:paraId="76CCB31F" w14:textId="77777777" w:rsidR="00644700" w:rsidRDefault="00304E2C">
      <w:pPr>
        <w:pStyle w:val="Heading2"/>
        <w:spacing w:before="320" w:after="160"/>
      </w:pPr>
      <w:r>
        <w:rPr>
          <w:b/>
          <w:bCs/>
          <w:color w:val="2E5395"/>
          <w:sz w:val="24"/>
          <w:szCs w:val="24"/>
        </w:rPr>
        <w:t>4.1 Прямое сравнение: iComp против «Легион»</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644700" w14:paraId="001247F3" w14:textId="77777777">
        <w:trPr>
          <w:tblHeader/>
        </w:trPr>
        <w:tc>
          <w:tcPr>
            <w:tcW w:w="2600" w:type="dxa"/>
            <w:shd w:val="clear" w:color="auto" w:fill="1F3864"/>
            <w:tcMar>
              <w:top w:w="80" w:type="dxa"/>
              <w:left w:w="120" w:type="dxa"/>
              <w:bottom w:w="80" w:type="dxa"/>
              <w:right w:w="120" w:type="dxa"/>
            </w:tcMar>
            <w:vAlign w:val="center"/>
          </w:tcPr>
          <w:p w14:paraId="2600A51F" w14:textId="77777777" w:rsidR="00644700" w:rsidRDefault="00304E2C">
            <w:r>
              <w:rPr>
                <w:b/>
                <w:bCs/>
                <w:color w:val="FFFFFF"/>
                <w:sz w:val="19"/>
                <w:szCs w:val="19"/>
              </w:rPr>
              <w:t>Параметр</w:t>
            </w:r>
          </w:p>
        </w:tc>
        <w:tc>
          <w:tcPr>
            <w:tcW w:w="3700" w:type="dxa"/>
            <w:shd w:val="clear" w:color="auto" w:fill="1F3864"/>
            <w:tcMar>
              <w:top w:w="80" w:type="dxa"/>
              <w:left w:w="120" w:type="dxa"/>
              <w:bottom w:w="80" w:type="dxa"/>
              <w:right w:w="120" w:type="dxa"/>
            </w:tcMar>
            <w:vAlign w:val="center"/>
          </w:tcPr>
          <w:p w14:paraId="01CB6FA8" w14:textId="77777777" w:rsidR="00644700" w:rsidRDefault="00304E2C">
            <w:r>
              <w:rPr>
                <w:b/>
                <w:bCs/>
                <w:color w:val="FFFFFF"/>
                <w:sz w:val="19"/>
                <w:szCs w:val="19"/>
              </w:rPr>
              <w:t>iComp</w:t>
            </w:r>
          </w:p>
        </w:tc>
        <w:tc>
          <w:tcPr>
            <w:tcW w:w="3700" w:type="dxa"/>
            <w:shd w:val="clear" w:color="auto" w:fill="1F3864"/>
            <w:tcMar>
              <w:top w:w="80" w:type="dxa"/>
              <w:left w:w="120" w:type="dxa"/>
              <w:bottom w:w="80" w:type="dxa"/>
              <w:right w:w="120" w:type="dxa"/>
            </w:tcMar>
            <w:vAlign w:val="center"/>
          </w:tcPr>
          <w:p w14:paraId="748727E4" w14:textId="77777777" w:rsidR="00644700" w:rsidRDefault="00304E2C">
            <w:r>
              <w:rPr>
                <w:b/>
                <w:bCs/>
                <w:color w:val="FFFFFF"/>
                <w:sz w:val="19"/>
                <w:szCs w:val="19"/>
              </w:rPr>
              <w:t>«Легион» (основной конкурент)</w:t>
            </w:r>
          </w:p>
        </w:tc>
      </w:tr>
      <w:tr w:rsidR="00644700" w14:paraId="2D5AF092" w14:textId="77777777">
        <w:tc>
          <w:tcPr>
            <w:tcW w:w="2600" w:type="dxa"/>
            <w:tcMar>
              <w:top w:w="80" w:type="dxa"/>
              <w:left w:w="120" w:type="dxa"/>
              <w:bottom w:w="80" w:type="dxa"/>
              <w:right w:w="120" w:type="dxa"/>
            </w:tcMar>
            <w:vAlign w:val="center"/>
          </w:tcPr>
          <w:p w14:paraId="585EF1E5" w14:textId="77777777" w:rsidR="00644700" w:rsidRDefault="00304E2C">
            <w:r>
              <w:rPr>
                <w:color w:val="000000"/>
                <w:sz w:val="19"/>
                <w:szCs w:val="19"/>
              </w:rPr>
              <w:t>Визуальный мерчандайзинг</w:t>
            </w:r>
          </w:p>
        </w:tc>
        <w:tc>
          <w:tcPr>
            <w:tcW w:w="3700" w:type="dxa"/>
            <w:tcMar>
              <w:top w:w="80" w:type="dxa"/>
              <w:left w:w="120" w:type="dxa"/>
              <w:bottom w:w="80" w:type="dxa"/>
              <w:right w:w="120" w:type="dxa"/>
            </w:tcMar>
            <w:vAlign w:val="center"/>
          </w:tcPr>
          <w:p w14:paraId="4D72B602" w14:textId="77777777" w:rsidR="00644700" w:rsidRDefault="00304E2C">
            <w:r>
              <w:rPr>
                <w:color w:val="000000"/>
                <w:sz w:val="19"/>
                <w:szCs w:val="19"/>
              </w:rPr>
              <w:t>Базовая, стандартная выкладка на 16 витринных образцов</w:t>
            </w:r>
          </w:p>
        </w:tc>
        <w:tc>
          <w:tcPr>
            <w:tcW w:w="3700" w:type="dxa"/>
            <w:tcMar>
              <w:top w:w="80" w:type="dxa"/>
              <w:left w:w="120" w:type="dxa"/>
              <w:bottom w:w="80" w:type="dxa"/>
              <w:right w:w="120" w:type="dxa"/>
            </w:tcMar>
            <w:vAlign w:val="center"/>
          </w:tcPr>
          <w:p w14:paraId="44BD4DB5" w14:textId="77777777" w:rsidR="00644700" w:rsidRDefault="00304E2C">
            <w:r>
              <w:rPr>
                <w:color w:val="000000"/>
                <w:sz w:val="19"/>
                <w:szCs w:val="19"/>
              </w:rPr>
              <w:t>Премиальный отдел, дорогой интерьер, динамическое освещение</w:t>
            </w:r>
          </w:p>
        </w:tc>
      </w:tr>
      <w:tr w:rsidR="00644700" w14:paraId="6B38CDE7" w14:textId="77777777">
        <w:tc>
          <w:tcPr>
            <w:tcW w:w="2600" w:type="dxa"/>
            <w:shd w:val="clear" w:color="auto" w:fill="DCE6F1"/>
            <w:tcMar>
              <w:top w:w="80" w:type="dxa"/>
              <w:left w:w="120" w:type="dxa"/>
              <w:bottom w:w="80" w:type="dxa"/>
              <w:right w:w="120" w:type="dxa"/>
            </w:tcMar>
            <w:vAlign w:val="center"/>
          </w:tcPr>
          <w:p w14:paraId="14CBE663" w14:textId="77777777" w:rsidR="00644700" w:rsidRDefault="00304E2C">
            <w:r>
              <w:rPr>
                <w:color w:val="000000"/>
                <w:sz w:val="19"/>
                <w:szCs w:val="19"/>
              </w:rPr>
              <w:t>Маркетинговая стратегия</w:t>
            </w:r>
          </w:p>
        </w:tc>
        <w:tc>
          <w:tcPr>
            <w:tcW w:w="3700" w:type="dxa"/>
            <w:shd w:val="clear" w:color="auto" w:fill="DCE6F1"/>
            <w:tcMar>
              <w:top w:w="80" w:type="dxa"/>
              <w:left w:w="120" w:type="dxa"/>
              <w:bottom w:w="80" w:type="dxa"/>
              <w:right w:w="120" w:type="dxa"/>
            </w:tcMar>
            <w:vAlign w:val="center"/>
          </w:tcPr>
          <w:p w14:paraId="6D52132B" w14:textId="77777777" w:rsidR="00644700" w:rsidRDefault="00304E2C">
            <w:r>
              <w:rPr>
                <w:color w:val="000000"/>
                <w:sz w:val="19"/>
                <w:szCs w:val="19"/>
              </w:rPr>
              <w:t>Пассивная (Zero Marketing): работа «от входящего потока» и сарафанного радио</w:t>
            </w:r>
          </w:p>
        </w:tc>
        <w:tc>
          <w:tcPr>
            <w:tcW w:w="3700" w:type="dxa"/>
            <w:shd w:val="clear" w:color="auto" w:fill="DCE6F1"/>
            <w:tcMar>
              <w:top w:w="80" w:type="dxa"/>
              <w:left w:w="120" w:type="dxa"/>
              <w:bottom w:w="80" w:type="dxa"/>
              <w:right w:w="120" w:type="dxa"/>
            </w:tcMar>
            <w:vAlign w:val="center"/>
          </w:tcPr>
          <w:p w14:paraId="00B64319" w14:textId="77777777" w:rsidR="00644700" w:rsidRDefault="00304E2C">
            <w:r>
              <w:rPr>
                <w:color w:val="000000"/>
                <w:sz w:val="19"/>
                <w:szCs w:val="19"/>
              </w:rPr>
              <w:t>Агрессивная (Inbound &amp; Outbound): активное ведение SMM, рекламные бюджеты</w:t>
            </w:r>
          </w:p>
        </w:tc>
      </w:tr>
      <w:tr w:rsidR="00644700" w14:paraId="3AF8C3E1" w14:textId="77777777">
        <w:tc>
          <w:tcPr>
            <w:tcW w:w="2600" w:type="dxa"/>
            <w:tcMar>
              <w:top w:w="80" w:type="dxa"/>
              <w:left w:w="120" w:type="dxa"/>
              <w:bottom w:w="80" w:type="dxa"/>
              <w:right w:w="120" w:type="dxa"/>
            </w:tcMar>
            <w:vAlign w:val="center"/>
          </w:tcPr>
          <w:p w14:paraId="7D3FFD1E" w14:textId="77777777" w:rsidR="00644700" w:rsidRDefault="00304E2C">
            <w:r>
              <w:rPr>
                <w:color w:val="000000"/>
                <w:sz w:val="19"/>
                <w:szCs w:val="19"/>
              </w:rPr>
              <w:t>Удержание клиентов (LTV)</w:t>
            </w:r>
          </w:p>
        </w:tc>
        <w:tc>
          <w:tcPr>
            <w:tcW w:w="3700" w:type="dxa"/>
            <w:tcMar>
              <w:top w:w="80" w:type="dxa"/>
              <w:left w:w="120" w:type="dxa"/>
              <w:bottom w:w="80" w:type="dxa"/>
              <w:right w:w="120" w:type="dxa"/>
            </w:tcMar>
            <w:vAlign w:val="center"/>
          </w:tcPr>
          <w:p w14:paraId="1ADE6A5A" w14:textId="21E9BEA5" w:rsidR="00644700" w:rsidRDefault="00304E2C">
            <w:r>
              <w:rPr>
                <w:color w:val="000000"/>
                <w:sz w:val="19"/>
                <w:szCs w:val="19"/>
              </w:rPr>
              <w:t xml:space="preserve">Экстремально высокое: пожизненное сопровождение, клиентская база с 15-летним стажем</w:t>
            </w:r>
          </w:p>
        </w:tc>
        <w:tc>
          <w:tcPr>
            <w:tcW w:w="3700" w:type="dxa"/>
            <w:tcMar>
              <w:top w:w="80" w:type="dxa"/>
              <w:left w:w="120" w:type="dxa"/>
              <w:bottom w:w="80" w:type="dxa"/>
              <w:right w:w="120" w:type="dxa"/>
            </w:tcMar>
            <w:vAlign w:val="center"/>
          </w:tcPr>
          <w:p w14:paraId="61A2BB50" w14:textId="77777777" w:rsidR="00644700" w:rsidRDefault="00304E2C">
            <w:r>
              <w:rPr>
                <w:color w:val="000000"/>
                <w:sz w:val="19"/>
                <w:szCs w:val="19"/>
              </w:rPr>
              <w:t>Среднее / ориентация на разовые сделки с высокой маржой</w:t>
            </w:r>
          </w:p>
        </w:tc>
      </w:tr>
      <w:tr w:rsidR="00644700" w14:paraId="027CDA12" w14:textId="77777777">
        <w:tc>
          <w:tcPr>
            <w:tcW w:w="2600" w:type="dxa"/>
            <w:shd w:val="clear" w:color="auto" w:fill="DCE6F1"/>
            <w:tcMar>
              <w:top w:w="80" w:type="dxa"/>
              <w:left w:w="120" w:type="dxa"/>
              <w:bottom w:w="80" w:type="dxa"/>
              <w:right w:w="120" w:type="dxa"/>
            </w:tcMar>
            <w:vAlign w:val="center"/>
          </w:tcPr>
          <w:p w14:paraId="747F6414" w14:textId="77777777" w:rsidR="00644700" w:rsidRDefault="00304E2C">
            <w:r>
              <w:rPr>
                <w:color w:val="000000"/>
                <w:sz w:val="19"/>
                <w:szCs w:val="19"/>
              </w:rPr>
              <w:t>Конкурентное преимущество</w:t>
            </w:r>
          </w:p>
        </w:tc>
        <w:tc>
          <w:tcPr>
            <w:tcW w:w="3700" w:type="dxa"/>
            <w:shd w:val="clear" w:color="auto" w:fill="DCE6F1"/>
            <w:tcMar>
              <w:top w:w="80" w:type="dxa"/>
              <w:left w:w="120" w:type="dxa"/>
              <w:bottom w:w="80" w:type="dxa"/>
              <w:right w:w="120" w:type="dxa"/>
            </w:tcMar>
            <w:vAlign w:val="center"/>
          </w:tcPr>
          <w:p w14:paraId="562F4F32" w14:textId="77777777" w:rsidR="00644700" w:rsidRDefault="00304E2C">
            <w:r>
              <w:rPr>
                <w:color w:val="000000"/>
                <w:sz w:val="19"/>
                <w:szCs w:val="19"/>
              </w:rPr>
              <w:t>Высокая экспертиза, личное доверие, доведение клиента «до конца»</w:t>
            </w:r>
          </w:p>
        </w:tc>
        <w:tc>
          <w:tcPr>
            <w:tcW w:w="3700" w:type="dxa"/>
            <w:shd w:val="clear" w:color="auto" w:fill="DCE6F1"/>
            <w:tcMar>
              <w:top w:w="80" w:type="dxa"/>
              <w:left w:w="120" w:type="dxa"/>
              <w:bottom w:w="80" w:type="dxa"/>
              <w:right w:w="120" w:type="dxa"/>
            </w:tcMar>
            <w:vAlign w:val="center"/>
          </w:tcPr>
          <w:p w14:paraId="6FFE1BC9" w14:textId="77777777" w:rsidR="00644700" w:rsidRDefault="00304E2C">
            <w:r>
              <w:rPr>
                <w:color w:val="000000"/>
                <w:sz w:val="19"/>
                <w:szCs w:val="19"/>
              </w:rPr>
              <w:t>Визуальное восприятие бренда, позиционирование «дорогого магазина», узнаваемость</w:t>
            </w:r>
          </w:p>
        </w:tc>
      </w:tr>
    </w:tbl>
    <w:p w14:paraId="0AC69552" w14:textId="77777777" w:rsidR="00644700" w:rsidRDefault="00304E2C">
      <w:pPr>
        <w:spacing w:before="80" w:after="240"/>
      </w:pPr>
      <w:r>
        <w:rPr>
          <w:i/>
          <w:iCs/>
          <w:color w:val="595959"/>
          <w:sz w:val="18"/>
          <w:szCs w:val="18"/>
        </w:rPr>
        <w:t>Таблица 3. Прямое сопоставление позиционирования iComp и его главного конкурента на 4-м этаже.</w:t>
      </w:r>
    </w:p>
    <w:p w14:paraId="7F5B27C8" w14:textId="6624CC33" w:rsidR="00644700" w:rsidRDefault="00304E2C">
      <w:pPr>
        <w:pStyle w:val="Heading2"/>
        <w:spacing w:before="320" w:after="160"/>
      </w:pPr>
      <w:r>
        <w:rPr>
          <w:b/>
          <w:bCs/>
          <w:color w:val="2E5395"/>
          <w:sz w:val="24"/>
          <w:szCs w:val="24"/>
        </w:rPr>
        <w:t xml:space="preserve">4.2 Парадокс «небрендированного ветерана </w:t>
      </w:r>
      <w:r>
        <w:rPr>
          <w:b/>
          <w:bCs/>
          <w:color w:val="2E5395"/>
          <w:sz w:val="24"/>
          <w:szCs w:val="24"/>
          <w:lang w:val="en-US"/>
        </w:rPr>
        <w:t>15</w:t>
      </w:r>
      <w:r>
        <w:rPr>
          <w:b/>
          <w:bCs/>
          <w:color w:val="2E5395"/>
          <w:sz w:val="24"/>
          <w:szCs w:val="24"/>
        </w:rPr>
        <w:t xml:space="preserve"> лет»</w:t>
      </w:r>
    </w:p>
    <w:p w14:paraId="67120EF1" w14:textId="7EF0E504" w:rsidR="00644700" w:rsidRDefault="00304E2C">
      <w:pPr>
        <w:spacing w:after="160" w:line="276" w:lineRule="auto"/>
        <w:jc w:val="both"/>
      </w:pPr>
      <w:r>
        <w:rPr>
          <w:sz w:val="21"/>
          <w:szCs w:val="21"/>
        </w:rPr>
        <w:t xml:space="preserve">Центральный парадокс позиционирования iComp заключается в следующем: у компании больше истории работы и накопленного доверия клиентов, чем у конкурента, однако она фактически невидима для первичного пешеходного трафика. «Легион» выигрывает первые пять секунд визуального внимания благодаря дизайну и освещению; iComp выигрывает финальное решение благодаря глубине сервиса - но только для тех, кто уже знает о нём или кого ведёт туда знающий человек. Новый трафик без предыдущей связи с любым из двух магазинов не имеет никакого визуального сигнала выбрать iComp вместо более эффектно поданного соседа. Фактически iComp ведёт высокодоверительную, основанную на отношениях бизнес-модель внутри физической точки, которая внешне никак не сигнализирует о существовании этого доверия.</w:t>
      </w:r>
    </w:p>
    <w:p w14:paraId="3AD428D0" w14:textId="77777777" w:rsidR="00644700" w:rsidRDefault="00304E2C">
      <w:pPr>
        <w:pStyle w:val="Heading2"/>
        <w:spacing w:before="320" w:after="160"/>
      </w:pPr>
      <w:r>
        <w:rPr>
          <w:b/>
          <w:bCs/>
          <w:color w:val="2E5395"/>
          <w:sz w:val="24"/>
          <w:szCs w:val="24"/>
        </w:rPr>
        <w:t>4.3 Стратегическое значение</w:t>
      </w:r>
    </w:p>
    <w:p w14:paraId="782E97AA" w14:textId="28BB097A" w:rsidR="00644700" w:rsidRDefault="00304E2C">
      <w:pPr>
        <w:spacing w:after="160" w:line="276" w:lineRule="auto"/>
        <w:jc w:val="both"/>
      </w:pPr>
      <w:r>
        <w:rPr>
          <w:sz w:val="21"/>
          <w:szCs w:val="21"/>
        </w:rPr>
        <w:t xml:space="preserve">Конкурентная угроза состоит не в том, что «Легион» превзойдёт iComp по сервису  -  данные кейса показывают, что это не так,  -  а в том, что он опередит iComp в привлечении растущего пула покупателей, особенно молодых студентов без унаследованной связи с любым из двух магазинов, которые выбирают исключительно по первому впечатлению. Без вмешательства это грозит медленной демографической эрозией клиентской базы iComp даже при отличных показателях лояльности существующих клиентов.</w:t>
      </w:r>
    </w:p>
    <w:p w14:paraId="2E7D4860" w14:textId="77777777" w:rsidR="00644700" w:rsidRDefault="00304E2C">
      <w:r>
        <w:br w:type="page"/>
      </w:r>
    </w:p>
    <w:p w14:paraId="174E48D8" w14:textId="77777777" w:rsidR="00644700" w:rsidRDefault="00304E2C">
      <w:pPr>
        <w:pStyle w:val="Heading1"/>
        <w:pBdr>
          <w:bottom w:val="single" w:sz="8" w:space="4" w:color="1F3864"/>
        </w:pBdr>
        <w:spacing w:before="480" w:after="240"/>
      </w:pPr>
      <w:r>
        <w:rPr>
          <w:b/>
          <w:bCs/>
          <w:color w:val="1F3864"/>
          <w:sz w:val="30"/>
          <w:szCs w:val="30"/>
        </w:rPr>
        <w:lastRenderedPageBreak/>
        <w:t>5. Цепочка поставок, глобальные макрориски и операционные угрозы</w:t>
      </w:r>
    </w:p>
    <w:p w14:paraId="314D4243" w14:textId="77777777" w:rsidR="00644700" w:rsidRDefault="00304E2C">
      <w:pPr>
        <w:pStyle w:val="Heading2"/>
        <w:spacing w:before="320" w:after="160"/>
      </w:pPr>
      <w:r>
        <w:rPr>
          <w:b/>
          <w:bCs/>
          <w:color w:val="2E5395"/>
          <w:sz w:val="24"/>
          <w:szCs w:val="24"/>
        </w:rPr>
        <w:t>5.1 Уязвимость цепочки поставок через Дубай</w:t>
      </w:r>
    </w:p>
    <w:p w14:paraId="7BF3DC3A" w14:textId="614E6F6D" w:rsidR="00644700" w:rsidRDefault="00304E2C">
      <w:pPr>
        <w:spacing w:after="160" w:line="276" w:lineRule="auto"/>
        <w:jc w:val="both"/>
      </w:pPr>
      <w:r>
        <w:rPr>
          <w:sz w:val="21"/>
          <w:szCs w:val="21"/>
        </w:rPr>
        <w:t xml:space="preserve">Товар iComp закупается через Дубай. На момент первичного сбора данных в наличии было только 16 витринных ноутбуков без складского буфера — прямое следствие логистических задержек и роста стоимости перевозок на маршруте Дубай—Бишкек; с тех пор владельцы провели цикл пополнения, восполнив запасы как на складе, так и в витрине. Это снимает непосредственный дефицит запасов, но не устраняет лежащую в основе структурную уязвимость: поскольку iComp по-прежнему зависит от единственного канала поставок, любой будущий сбой на этом маршруте  -  или новый всплеск стоимости комплектующих (Раздел 5.2)  -  вновь сожмёт доступные запасы именно тогда, когда восстанавливается сезонный спрос (Раздел 3.3). Недавнее пополнение стоит рассматривать как подтверждение того, что риск, выявленный в этом исследовании, реален и поддаётся управлению, а не как доказательство того, что структурная уязвимость устранена полностью.</w:t>
      </w:r>
    </w:p>
    <w:p w14:paraId="55549FBF" w14:textId="77777777" w:rsidR="00644700" w:rsidRDefault="00304E2C">
      <w:pPr>
        <w:pStyle w:val="Heading2"/>
        <w:spacing w:before="320" w:after="160"/>
      </w:pPr>
      <w:r>
        <w:rPr>
          <w:b/>
          <w:bCs/>
          <w:color w:val="2E5395"/>
          <w:sz w:val="24"/>
          <w:szCs w:val="24"/>
        </w:rPr>
        <w:t>5.2 Глобальный дефицит из-за инфраструктуры ИИ</w:t>
      </w:r>
    </w:p>
    <w:p w14:paraId="2A8133D6" w14:textId="2987DB5E" w:rsidR="00644700" w:rsidRDefault="00304E2C">
      <w:pPr>
        <w:spacing w:after="160" w:line="276" w:lineRule="auto"/>
        <w:jc w:val="both"/>
      </w:pPr>
      <w:r>
        <w:rPr>
          <w:sz w:val="21"/>
          <w:szCs w:val="21"/>
        </w:rPr>
        <w:t xml:space="preserve">Макроэкономический фактор, влияющий сейчас на себестоимость,  -  резкий рост мирового спроса на DRAM и NAND-память, вызванный тем, что крупнейшие технологические компании закупают память и HBM-чипы в огромных объёмах для инфраструктуры ИИ-дата-центров. Это сузило предложение потребительской памяти и повысило стоимость комплектующих по всей отрасли, сжимая соотношение «цена/качество», доступное небольшому импортёру, такому как iComp, и дополнительно давя на розничные цены на ноутбуки именно тогда, когда основной сегмент клиентов крайне чувствителен к цене.</w:t>
      </w:r>
    </w:p>
    <w:p w14:paraId="39AE5D3A" w14:textId="77777777" w:rsidR="00644700" w:rsidRDefault="00304E2C">
      <w:pPr>
        <w:pStyle w:val="Heading2"/>
        <w:spacing w:before="320" w:after="160"/>
      </w:pPr>
      <w:r>
        <w:rPr>
          <w:b/>
          <w:bCs/>
          <w:color w:val="2E5395"/>
          <w:sz w:val="24"/>
          <w:szCs w:val="24"/>
        </w:rPr>
        <w:t>5.3 Незаложенный в цену риск брака</w:t>
      </w:r>
    </w:p>
    <w:p w14:paraId="713B54A8" w14:textId="77777777" w:rsidR="00644700" w:rsidRDefault="00304E2C">
      <w:pPr>
        <w:spacing w:after="160" w:line="276" w:lineRule="auto"/>
        <w:jc w:val="both"/>
      </w:pPr>
      <w:r>
        <w:rPr>
          <w:sz w:val="21"/>
          <w:szCs w:val="21"/>
        </w:rPr>
        <w:t>Примерно 3–5% брака сейчас покрывается напрямую из операционной прибыли, а не закладывается в розничную стоимость. При уже тонкой марже ~$80 с ноутбука это существенный скрытый расход: один бракованный экземпляр может свести на нет маржу с нескольких успешно проданных единиц, а текущая модель ценообразования никак не страхует этот риск.</w:t>
      </w:r>
    </w:p>
    <w:p w14:paraId="0C2BA207" w14:textId="77777777" w:rsidR="00644700" w:rsidRDefault="00304E2C">
      <w:pPr>
        <w:pStyle w:val="Heading2"/>
        <w:spacing w:before="320" w:after="160"/>
      </w:pPr>
      <w:r>
        <w:rPr>
          <w:b/>
          <w:bCs/>
          <w:color w:val="2E5395"/>
          <w:sz w:val="24"/>
          <w:szCs w:val="24"/>
        </w:rPr>
        <w:t>5.4 Бюрократия рассрочки как структурный барьер</w:t>
      </w:r>
    </w:p>
    <w:p w14:paraId="00F396BA" w14:textId="77777777" w:rsidR="00644700" w:rsidRDefault="00304E2C">
      <w:pPr>
        <w:spacing w:after="160" w:line="276" w:lineRule="auto"/>
        <w:jc w:val="both"/>
      </w:pPr>
      <w:r>
        <w:rPr>
          <w:sz w:val="21"/>
          <w:szCs w:val="21"/>
        </w:rPr>
        <w:t>Как отмечено в Разделе 2.4, низкая доля (20%) использования банковской рассрочки скорее отражает не предпочтения клиентов, а процессные трудности со стороны банков. Это ограничивает потенциальный спрос именно в том чувствительном к цене студенческом сегменте, который составляет основу клиентской базы iComp.</w:t>
      </w:r>
    </w:p>
    <w:p w14:paraId="1BEA092E" w14:textId="77777777" w:rsidR="00644700" w:rsidRDefault="00304E2C">
      <w:pPr>
        <w:pStyle w:val="Heading2"/>
        <w:spacing w:before="320" w:after="160"/>
      </w:pPr>
      <w:r>
        <w:rPr>
          <w:b/>
          <w:bCs/>
          <w:color w:val="2E5395"/>
          <w:sz w:val="24"/>
          <w:szCs w:val="24"/>
        </w:rPr>
        <w:t>5.5 Сводка рисков</w:t>
      </w:r>
    </w:p>
    <w:p w14:paraId="7C6EF89C" w14:textId="77777777" w:rsidR="00644700" w:rsidRDefault="00304E2C">
      <w:pPr>
        <w:pStyle w:val="ListParagraph"/>
        <w:numPr>
          <w:ilvl w:val="0"/>
          <w:numId w:val="3"/>
        </w:numPr>
        <w:spacing w:after="80"/>
      </w:pPr>
      <w:r>
        <w:rPr>
          <w:sz w:val="21"/>
          <w:szCs w:val="21"/>
        </w:rPr>
        <w:t>Риск запасов: недавно снижен благодаря циклу пополнения, но структурная зависимость от единственного канала поставок (Дубай) остаётся уязвимостью для будущих циклов.</w:t>
      </w:r>
    </w:p>
    <w:p w14:paraId="48446847" w14:textId="77777777" w:rsidR="00644700" w:rsidRDefault="00304E2C">
      <w:pPr>
        <w:pStyle w:val="ListParagraph"/>
        <w:numPr>
          <w:ilvl w:val="0"/>
          <w:numId w:val="3"/>
        </w:numPr>
        <w:spacing w:after="80"/>
      </w:pPr>
      <w:r>
        <w:rPr>
          <w:sz w:val="21"/>
          <w:szCs w:val="21"/>
        </w:rPr>
        <w:t>Риск себестоимости: глобальная инфляция комплектующих из-за ИИ без естественного хеджа для малого импортёра.</w:t>
      </w:r>
    </w:p>
    <w:p w14:paraId="036147BC" w14:textId="77777777" w:rsidR="00644700" w:rsidRDefault="00304E2C">
      <w:pPr>
        <w:pStyle w:val="ListParagraph"/>
        <w:numPr>
          <w:ilvl w:val="0"/>
          <w:numId w:val="3"/>
        </w:numPr>
        <w:spacing w:after="80"/>
      </w:pPr>
      <w:r>
        <w:rPr>
          <w:sz w:val="21"/>
          <w:szCs w:val="21"/>
        </w:rPr>
        <w:t>Риск маржи: незаложенный в цену брак 3–5% при уже тонкой марже на ноутбуках.</w:t>
      </w:r>
    </w:p>
    <w:p w14:paraId="4609A5E7" w14:textId="77777777" w:rsidR="00644700" w:rsidRDefault="00304E2C">
      <w:pPr>
        <w:pStyle w:val="ListParagraph"/>
        <w:numPr>
          <w:ilvl w:val="0"/>
          <w:numId w:val="3"/>
        </w:numPr>
        <w:spacing w:after="80"/>
      </w:pPr>
      <w:r>
        <w:rPr>
          <w:sz w:val="21"/>
          <w:szCs w:val="21"/>
        </w:rPr>
        <w:t>Риск конверсии спроса: бюрократическое трение рассрочки подавляет готовый спрос.</w:t>
      </w:r>
    </w:p>
    <w:p w14:paraId="7B2E6801" w14:textId="77777777" w:rsidR="00644700" w:rsidRDefault="00304E2C">
      <w:r>
        <w:br w:type="page"/>
      </w:r>
    </w:p>
    <w:p w14:paraId="3E58ED71" w14:textId="77777777" w:rsidR="00644700" w:rsidRDefault="00304E2C">
      <w:pPr>
        <w:pStyle w:val="Heading1"/>
        <w:pBdr>
          <w:bottom w:val="single" w:sz="8" w:space="4" w:color="1F3864"/>
        </w:pBdr>
        <w:spacing w:before="480" w:after="240"/>
      </w:pPr>
      <w:r>
        <w:rPr>
          <w:b/>
          <w:bCs/>
          <w:color w:val="1F3864"/>
          <w:sz w:val="30"/>
          <w:szCs w:val="30"/>
        </w:rPr>
        <w:lastRenderedPageBreak/>
        <w:t>6. Стратегические рекомендации (3-этапная дорожная карта)</w:t>
      </w:r>
    </w:p>
    <w:p w14:paraId="7499E449" w14:textId="77777777" w:rsidR="00644700" w:rsidRDefault="00304E2C">
      <w:pPr>
        <w:pStyle w:val="Heading2"/>
        <w:spacing w:before="320" w:after="160"/>
      </w:pPr>
      <w:r>
        <w:rPr>
          <w:b/>
          <w:bCs/>
          <w:color w:val="2E5395"/>
          <w:sz w:val="24"/>
          <w:szCs w:val="24"/>
        </w:rPr>
        <w:t>6.1 Этап 1 — Быстрые победы (0–3 месяца, почти без бюджета)</w:t>
      </w:r>
    </w:p>
    <w:p w14:paraId="4ED7B55C" w14:textId="6B89677E" w:rsidR="00644700" w:rsidRDefault="00304E2C">
      <w:pPr>
        <w:pStyle w:val="ListParagraph"/>
        <w:numPr>
          <w:ilvl w:val="0"/>
          <w:numId w:val="3"/>
        </w:numPr>
        <w:spacing w:after="80"/>
      </w:pPr>
      <w:r>
        <w:rPr>
          <w:sz w:val="21"/>
          <w:szCs w:val="21"/>
        </w:rPr>
        <w:t xml:space="preserve">Установить простую, недорогую вывеску, наглядно сообщающую название «iComp» и 15-летнюю историю работы при выходе с эскалатора  -  прямое решение парадокса «небрендированного ветерана» из Раздела 4.2.</w:t>
      </w:r>
    </w:p>
    <w:p w14:paraId="4455798A" w14:textId="500A7C04" w:rsidR="00644700" w:rsidRDefault="00304E2C">
      <w:pPr>
        <w:pStyle w:val="ListParagraph"/>
        <w:numPr>
          <w:ilvl w:val="0"/>
          <w:numId w:val="3"/>
        </w:numPr>
        <w:spacing w:after="80"/>
      </w:pPr>
      <w:r>
        <w:rPr>
          <w:sz w:val="21"/>
          <w:szCs w:val="21"/>
        </w:rPr>
        <w:t xml:space="preserve">Запустить LalaFo и Instagram как простой цифровой каталог 16 витринных моделей с актуальными ценами, снижая зависимость от физического трафика и давая «эксперту» (Раздел 3.1) возможность предварительно оценить магазин онлайн.</w:t>
      </w:r>
    </w:p>
    <w:p w14:paraId="1E248B49" w14:textId="77777777" w:rsidR="00644700" w:rsidRDefault="00304E2C">
      <w:pPr>
        <w:pStyle w:val="ListParagraph"/>
        <w:numPr>
          <w:ilvl w:val="0"/>
          <w:numId w:val="3"/>
        </w:numPr>
        <w:spacing w:after="80"/>
      </w:pPr>
      <w:r>
        <w:rPr>
          <w:sz w:val="21"/>
          <w:szCs w:val="21"/>
        </w:rPr>
        <w:t>Начать лёгкую, системную работу с близлежащими IT-компаниями и офисами, превращая текущий ~1 раз/год точечный B2B-заказ в повторяемое, квартальное корпоративное сотрудничество.</w:t>
      </w:r>
    </w:p>
    <w:p w14:paraId="7B00356D" w14:textId="77777777" w:rsidR="00644700" w:rsidRDefault="00304E2C">
      <w:pPr>
        <w:pStyle w:val="Heading2"/>
        <w:spacing w:before="320" w:after="160"/>
      </w:pPr>
      <w:r>
        <w:rPr>
          <w:b/>
          <w:bCs/>
          <w:color w:val="2E5395"/>
          <w:sz w:val="24"/>
          <w:szCs w:val="24"/>
        </w:rPr>
        <w:t>6.2 Этап 2 — Среднесрочный горизонт (3–12 месяцев)</w:t>
      </w:r>
    </w:p>
    <w:p w14:paraId="520E827E" w14:textId="77777777" w:rsidR="00644700" w:rsidRDefault="00304E2C">
      <w:pPr>
        <w:pStyle w:val="ListParagraph"/>
        <w:numPr>
          <w:ilvl w:val="0"/>
          <w:numId w:val="3"/>
        </w:numPr>
        <w:spacing w:after="80"/>
      </w:pPr>
      <w:r>
        <w:rPr>
          <w:sz w:val="21"/>
          <w:szCs w:val="21"/>
        </w:rPr>
        <w:t>Формализовать контрциклический сервисный толчок на периоды Янв–Фев и Июн–Июл (Раздел 3.3), активно продвигая чистку, апгрейд и ремонт ПК — категории с наценкой 30–50% и без новых инвестиций в товарный запас.</w:t>
      </w:r>
    </w:p>
    <w:p w14:paraId="11B10B32" w14:textId="77777777" w:rsidR="00644700" w:rsidRDefault="00304E2C">
      <w:pPr>
        <w:pStyle w:val="ListParagraph"/>
        <w:numPr>
          <w:ilvl w:val="0"/>
          <w:numId w:val="3"/>
        </w:numPr>
        <w:spacing w:after="80"/>
      </w:pPr>
      <w:r>
        <w:rPr>
          <w:sz w:val="21"/>
          <w:szCs w:val="21"/>
        </w:rPr>
        <w:t>Расширить матрицу принтеров и расходных материалов, отмеченных как новый и недоосвоенный спрос (Раздел 3.4), позиционируя его как действительно контрциклическую статью выручки.</w:t>
      </w:r>
    </w:p>
    <w:p w14:paraId="39735A1C" w14:textId="77777777" w:rsidR="00644700" w:rsidRDefault="00304E2C">
      <w:pPr>
        <w:pStyle w:val="ListParagraph"/>
        <w:numPr>
          <w:ilvl w:val="0"/>
          <w:numId w:val="3"/>
        </w:numPr>
        <w:spacing w:after="80"/>
      </w:pPr>
      <w:r>
        <w:rPr>
          <w:sz w:val="21"/>
          <w:szCs w:val="21"/>
        </w:rPr>
        <w:t>Внедрить быстрый продукт рассрочки на основе QR-кода (например, MBANK Pay или аналог) для снижения барьера финансирования, с целью повысить долю покупок в рассрочку с 20% до 40% транзакций (Раздел 5.4).</w:t>
      </w:r>
    </w:p>
    <w:p w14:paraId="3F746EA8" w14:textId="77777777" w:rsidR="00644700" w:rsidRDefault="00304E2C">
      <w:pPr>
        <w:pStyle w:val="Heading2"/>
        <w:spacing w:before="320" w:after="160"/>
      </w:pPr>
      <w:r>
        <w:rPr>
          <w:b/>
          <w:bCs/>
          <w:color w:val="2E5395"/>
          <w:sz w:val="24"/>
          <w:szCs w:val="24"/>
        </w:rPr>
        <w:t>6.3 Этап 3 — Долгосрочный горизонт (от 12 месяцев)</w:t>
      </w:r>
    </w:p>
    <w:p w14:paraId="70C5EA10" w14:textId="77777777" w:rsidR="00644700" w:rsidRDefault="00304E2C">
      <w:pPr>
        <w:pStyle w:val="ListParagraph"/>
        <w:numPr>
          <w:ilvl w:val="0"/>
          <w:numId w:val="3"/>
        </w:numPr>
        <w:spacing w:after="80"/>
      </w:pPr>
      <w:r>
        <w:rPr>
          <w:sz w:val="21"/>
          <w:szCs w:val="21"/>
        </w:rPr>
        <w:t>Формализовать управление запасами: ввести минимальный порог складского буфера и точки повторного заказа на основе сезонного паттерна спроса (Таблица 2), чтобы пополнение запасов стало системным процессом, а не разовой реактивной закупкой; параллельно изучить диверсификацию цепочки поставок за пределами одного коридора через Дубай, поскольку даже частичное двойное снабжение снизит структурную уязвимость, описанную в Разделе 5.1.</w:t>
      </w:r>
    </w:p>
    <w:p w14:paraId="73B14924" w14:textId="06864900" w:rsidR="00644700" w:rsidRDefault="00304E2C">
      <w:pPr>
        <w:pStyle w:val="ListParagraph"/>
        <w:numPr>
          <w:ilvl w:val="0"/>
          <w:numId w:val="3"/>
        </w:numPr>
        <w:spacing w:after="80"/>
      </w:pPr>
      <w:r>
        <w:rPr>
          <w:sz w:val="21"/>
          <w:szCs w:val="21"/>
        </w:rPr>
        <w:t>Формально заложить 3–5% брака в структуру затрат или планирования маржи, а не покрывать его за свой счет, чтобы защитить уже тонкую маржу на ноутбуках из Раздела 2.2.</w:t>
      </w:r>
    </w:p>
    <w:p w14:paraId="734FE87B" w14:textId="77777777" w:rsidR="00644700" w:rsidRDefault="00304E2C">
      <w:pPr>
        <w:pStyle w:val="ListParagraph"/>
        <w:numPr>
          <w:ilvl w:val="0"/>
          <w:numId w:val="3"/>
        </w:numPr>
        <w:spacing w:after="80"/>
      </w:pPr>
      <w:r>
        <w:rPr>
          <w:sz w:val="21"/>
          <w:szCs w:val="21"/>
        </w:rPr>
        <w:t>Инвестировать накопленный сезонный денежный излишок (Раздел 3.3, стратегия пикового сезона) в небольшой складской буфер, снижая уязвимость к будущим логистическим шокам на маршруте через Дубай.</w:t>
      </w:r>
    </w:p>
    <w:p w14:paraId="5B96A101" w14:textId="77777777" w:rsidR="00644700" w:rsidRDefault="00304E2C">
      <w:pPr>
        <w:pStyle w:val="Heading2"/>
        <w:spacing w:before="320" w:after="160"/>
      </w:pPr>
      <w:r>
        <w:rPr>
          <w:b/>
          <w:bCs/>
          <w:color w:val="2E5395"/>
          <w:sz w:val="24"/>
          <w:szCs w:val="24"/>
        </w:rPr>
        <w:t>6.4 Сводная дорожная карта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200"/>
      </w:tblGrid>
      <w:tr w:rsidR="00644700" w14:paraId="13AB9B7B" w14:textId="77777777">
        <w:trPr>
          <w:tblHeader/>
        </w:trPr>
        <w:tc>
          <w:tcPr>
            <w:tcW w:w="2200" w:type="dxa"/>
            <w:shd w:val="clear" w:color="auto" w:fill="1F3864"/>
            <w:tcMar>
              <w:top w:w="80" w:type="dxa"/>
              <w:left w:w="120" w:type="dxa"/>
              <w:bottom w:w="80" w:type="dxa"/>
              <w:right w:w="120" w:type="dxa"/>
            </w:tcMar>
            <w:vAlign w:val="center"/>
          </w:tcPr>
          <w:p w14:paraId="3CAB99FA" w14:textId="77777777" w:rsidR="00644700" w:rsidRDefault="00304E2C">
            <w:r>
              <w:rPr>
                <w:b/>
                <w:bCs/>
                <w:color w:val="FFFFFF"/>
                <w:sz w:val="19"/>
                <w:szCs w:val="19"/>
              </w:rPr>
              <w:t>Горизонт</w:t>
            </w:r>
          </w:p>
        </w:tc>
        <w:tc>
          <w:tcPr>
            <w:tcW w:w="3600" w:type="dxa"/>
            <w:shd w:val="clear" w:color="auto" w:fill="1F3864"/>
            <w:tcMar>
              <w:top w:w="80" w:type="dxa"/>
              <w:left w:w="120" w:type="dxa"/>
              <w:bottom w:w="80" w:type="dxa"/>
              <w:right w:w="120" w:type="dxa"/>
            </w:tcMar>
            <w:vAlign w:val="center"/>
          </w:tcPr>
          <w:p w14:paraId="1E3ED3E7" w14:textId="77777777" w:rsidR="00644700" w:rsidRDefault="00304E2C">
            <w:r>
              <w:rPr>
                <w:b/>
                <w:bCs/>
                <w:color w:val="FFFFFF"/>
                <w:sz w:val="19"/>
                <w:szCs w:val="19"/>
              </w:rPr>
              <w:t>Основная цель</w:t>
            </w:r>
          </w:p>
        </w:tc>
        <w:tc>
          <w:tcPr>
            <w:tcW w:w="4200" w:type="dxa"/>
            <w:shd w:val="clear" w:color="auto" w:fill="1F3864"/>
            <w:tcMar>
              <w:top w:w="80" w:type="dxa"/>
              <w:left w:w="120" w:type="dxa"/>
              <w:bottom w:w="80" w:type="dxa"/>
              <w:right w:w="120" w:type="dxa"/>
            </w:tcMar>
            <w:vAlign w:val="center"/>
          </w:tcPr>
          <w:p w14:paraId="6B5414B7" w14:textId="77777777" w:rsidR="00644700" w:rsidRDefault="00304E2C">
            <w:r>
              <w:rPr>
                <w:b/>
                <w:bCs/>
                <w:color w:val="FFFFFF"/>
                <w:sz w:val="19"/>
                <w:szCs w:val="19"/>
              </w:rPr>
              <w:t>Ключевые действия</w:t>
            </w:r>
          </w:p>
        </w:tc>
      </w:tr>
      <w:tr w:rsidR="00644700" w14:paraId="4527E125" w14:textId="77777777">
        <w:tc>
          <w:tcPr>
            <w:tcW w:w="2200" w:type="dxa"/>
            <w:tcMar>
              <w:top w:w="80" w:type="dxa"/>
              <w:left w:w="120" w:type="dxa"/>
              <w:bottom w:w="80" w:type="dxa"/>
              <w:right w:w="120" w:type="dxa"/>
            </w:tcMar>
            <w:vAlign w:val="center"/>
          </w:tcPr>
          <w:p w14:paraId="39787FD9" w14:textId="77777777" w:rsidR="00644700" w:rsidRDefault="00304E2C">
            <w:r>
              <w:rPr>
                <w:color w:val="000000"/>
                <w:sz w:val="19"/>
                <w:szCs w:val="19"/>
              </w:rPr>
              <w:t>Быстрые победы</w:t>
            </w:r>
          </w:p>
        </w:tc>
        <w:tc>
          <w:tcPr>
            <w:tcW w:w="3600" w:type="dxa"/>
            <w:tcMar>
              <w:top w:w="80" w:type="dxa"/>
              <w:left w:w="120" w:type="dxa"/>
              <w:bottom w:w="80" w:type="dxa"/>
              <w:right w:w="120" w:type="dxa"/>
            </w:tcMar>
            <w:vAlign w:val="center"/>
          </w:tcPr>
          <w:p w14:paraId="5ECD6A38" w14:textId="77777777" w:rsidR="00644700" w:rsidRDefault="00304E2C">
            <w:r>
              <w:rPr>
                <w:color w:val="000000"/>
                <w:sz w:val="19"/>
                <w:szCs w:val="19"/>
              </w:rPr>
              <w:t>Сделать доверие видимым</w:t>
            </w:r>
          </w:p>
        </w:tc>
        <w:tc>
          <w:tcPr>
            <w:tcW w:w="4200" w:type="dxa"/>
            <w:tcMar>
              <w:top w:w="80" w:type="dxa"/>
              <w:left w:w="120" w:type="dxa"/>
              <w:bottom w:w="80" w:type="dxa"/>
              <w:right w:w="120" w:type="dxa"/>
            </w:tcMar>
            <w:vAlign w:val="center"/>
          </w:tcPr>
          <w:p w14:paraId="0970BDA4" w14:textId="77777777" w:rsidR="00644700" w:rsidRDefault="00304E2C">
            <w:r>
              <w:rPr>
                <w:color w:val="000000"/>
                <w:sz w:val="19"/>
                <w:szCs w:val="19"/>
              </w:rPr>
              <w:t>Вывеска · цифровой каталог · лёгкий B2B-охват</w:t>
            </w:r>
          </w:p>
        </w:tc>
      </w:tr>
      <w:tr w:rsidR="00644700" w14:paraId="593D81B2" w14:textId="77777777">
        <w:tc>
          <w:tcPr>
            <w:tcW w:w="2200" w:type="dxa"/>
            <w:shd w:val="clear" w:color="auto" w:fill="DCE6F1"/>
            <w:tcMar>
              <w:top w:w="80" w:type="dxa"/>
              <w:left w:w="120" w:type="dxa"/>
              <w:bottom w:w="80" w:type="dxa"/>
              <w:right w:w="120" w:type="dxa"/>
            </w:tcMar>
            <w:vAlign w:val="center"/>
          </w:tcPr>
          <w:p w14:paraId="25F5147F" w14:textId="77777777" w:rsidR="00644700" w:rsidRDefault="00304E2C">
            <w:r>
              <w:rPr>
                <w:color w:val="000000"/>
                <w:sz w:val="19"/>
                <w:szCs w:val="19"/>
              </w:rPr>
              <w:t>Среднесрочный</w:t>
            </w:r>
          </w:p>
        </w:tc>
        <w:tc>
          <w:tcPr>
            <w:tcW w:w="3600" w:type="dxa"/>
            <w:shd w:val="clear" w:color="auto" w:fill="DCE6F1"/>
            <w:tcMar>
              <w:top w:w="80" w:type="dxa"/>
              <w:left w:w="120" w:type="dxa"/>
              <w:bottom w:w="80" w:type="dxa"/>
              <w:right w:w="120" w:type="dxa"/>
            </w:tcMar>
            <w:vAlign w:val="center"/>
          </w:tcPr>
          <w:p w14:paraId="46200DA0" w14:textId="77777777" w:rsidR="00644700" w:rsidRDefault="00304E2C">
            <w:r>
              <w:rPr>
                <w:color w:val="000000"/>
                <w:sz w:val="19"/>
                <w:szCs w:val="19"/>
              </w:rPr>
              <w:t>Сгладить сезонность, облегчить рассрочку</w:t>
            </w:r>
          </w:p>
        </w:tc>
        <w:tc>
          <w:tcPr>
            <w:tcW w:w="4200" w:type="dxa"/>
            <w:shd w:val="clear" w:color="auto" w:fill="DCE6F1"/>
            <w:tcMar>
              <w:top w:w="80" w:type="dxa"/>
              <w:left w:w="120" w:type="dxa"/>
              <w:bottom w:w="80" w:type="dxa"/>
              <w:right w:w="120" w:type="dxa"/>
            </w:tcMar>
            <w:vAlign w:val="center"/>
          </w:tcPr>
          <w:p w14:paraId="56B78386" w14:textId="77777777" w:rsidR="00644700" w:rsidRDefault="00304E2C">
            <w:r>
              <w:rPr>
                <w:color w:val="000000"/>
                <w:sz w:val="19"/>
                <w:szCs w:val="19"/>
              </w:rPr>
              <w:t>Сервисная выручка · расширение принтеров · QR-рассрочка</w:t>
            </w:r>
          </w:p>
        </w:tc>
      </w:tr>
      <w:tr w:rsidR="00644700" w14:paraId="555BEB76" w14:textId="77777777">
        <w:tc>
          <w:tcPr>
            <w:tcW w:w="2200" w:type="dxa"/>
            <w:tcMar>
              <w:top w:w="80" w:type="dxa"/>
              <w:left w:w="120" w:type="dxa"/>
              <w:bottom w:w="80" w:type="dxa"/>
              <w:right w:w="120" w:type="dxa"/>
            </w:tcMar>
            <w:vAlign w:val="center"/>
          </w:tcPr>
          <w:p w14:paraId="27A57796" w14:textId="77777777" w:rsidR="00644700" w:rsidRDefault="00304E2C">
            <w:r>
              <w:rPr>
                <w:color w:val="000000"/>
                <w:sz w:val="19"/>
                <w:szCs w:val="19"/>
              </w:rPr>
              <w:t>Долгосрочный</w:t>
            </w:r>
          </w:p>
        </w:tc>
        <w:tc>
          <w:tcPr>
            <w:tcW w:w="3600" w:type="dxa"/>
            <w:tcMar>
              <w:top w:w="80" w:type="dxa"/>
              <w:left w:w="120" w:type="dxa"/>
              <w:bottom w:w="80" w:type="dxa"/>
              <w:right w:w="120" w:type="dxa"/>
            </w:tcMar>
            <w:vAlign w:val="center"/>
          </w:tcPr>
          <w:p w14:paraId="11E97AE1" w14:textId="77777777" w:rsidR="00644700" w:rsidRDefault="00304E2C">
            <w:r>
              <w:rPr>
                <w:color w:val="000000"/>
                <w:sz w:val="19"/>
                <w:szCs w:val="19"/>
              </w:rPr>
              <w:t>Снизить риски поставок и маржи</w:t>
            </w:r>
          </w:p>
        </w:tc>
        <w:tc>
          <w:tcPr>
            <w:tcW w:w="4200" w:type="dxa"/>
            <w:tcMar>
              <w:top w:w="80" w:type="dxa"/>
              <w:left w:w="120" w:type="dxa"/>
              <w:bottom w:w="80" w:type="dxa"/>
              <w:right w:w="120" w:type="dxa"/>
            </w:tcMar>
            <w:vAlign w:val="center"/>
          </w:tcPr>
          <w:p w14:paraId="451BC4DB" w14:textId="77777777" w:rsidR="00644700" w:rsidRDefault="00304E2C">
            <w:r>
              <w:rPr>
                <w:color w:val="000000"/>
                <w:sz w:val="19"/>
                <w:szCs w:val="19"/>
              </w:rPr>
              <w:t>Диверсификация поставок · ценообразование брака · складской буфер</w:t>
            </w:r>
          </w:p>
        </w:tc>
      </w:tr>
    </w:tbl>
    <w:p w14:paraId="4264E8E8" w14:textId="77777777" w:rsidR="00644700" w:rsidRDefault="00304E2C">
      <w:pPr>
        <w:spacing w:before="80" w:after="240"/>
      </w:pPr>
      <w:r>
        <w:rPr>
          <w:i/>
          <w:iCs/>
          <w:color w:val="595959"/>
          <w:sz w:val="18"/>
          <w:szCs w:val="18"/>
        </w:rPr>
        <w:t>Таблица 4. Сводная трёхэтапная стратегическая дорожная карта для iComp.</w:t>
      </w:r>
    </w:p>
    <w:sectPr w:rsidR="00644700">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F07BE"/>
    <w:multiLevelType w:val="hybridMultilevel"/>
    <w:tmpl w:val="5814802E"/>
    <w:lvl w:ilvl="0" w:tplc="07DCDE2E">
      <w:start w:val="1"/>
      <w:numFmt w:val="decimal"/>
      <w:lvlText w:val="%1."/>
      <w:lvlJc w:val="left"/>
      <w:pPr>
        <w:ind w:left="504" w:hanging="360"/>
      </w:pPr>
    </w:lvl>
    <w:lvl w:ilvl="1" w:tplc="272C4D96">
      <w:numFmt w:val="decimal"/>
      <w:lvlText w:val=""/>
      <w:lvlJc w:val="left"/>
    </w:lvl>
    <w:lvl w:ilvl="2" w:tplc="CDC48F78">
      <w:numFmt w:val="decimal"/>
      <w:lvlText w:val=""/>
      <w:lvlJc w:val="left"/>
    </w:lvl>
    <w:lvl w:ilvl="3" w:tplc="82961A2C">
      <w:numFmt w:val="decimal"/>
      <w:lvlText w:val=""/>
      <w:lvlJc w:val="left"/>
    </w:lvl>
    <w:lvl w:ilvl="4" w:tplc="4C0A8DC2">
      <w:numFmt w:val="decimal"/>
      <w:lvlText w:val=""/>
      <w:lvlJc w:val="left"/>
    </w:lvl>
    <w:lvl w:ilvl="5" w:tplc="C3EA5B5E">
      <w:numFmt w:val="decimal"/>
      <w:lvlText w:val=""/>
      <w:lvlJc w:val="left"/>
    </w:lvl>
    <w:lvl w:ilvl="6" w:tplc="A2DE8C2C">
      <w:numFmt w:val="decimal"/>
      <w:lvlText w:val=""/>
      <w:lvlJc w:val="left"/>
    </w:lvl>
    <w:lvl w:ilvl="7" w:tplc="FA041C9A">
      <w:numFmt w:val="decimal"/>
      <w:lvlText w:val=""/>
      <w:lvlJc w:val="left"/>
    </w:lvl>
    <w:lvl w:ilvl="8" w:tplc="B4500D02">
      <w:numFmt w:val="decimal"/>
      <w:lvlText w:val=""/>
      <w:lvlJc w:val="left"/>
    </w:lvl>
  </w:abstractNum>
  <w:abstractNum w:abstractNumId="1" w15:restartNumberingAfterBreak="0">
    <w:nsid w:val="183F66B0"/>
    <w:multiLevelType w:val="hybridMultilevel"/>
    <w:tmpl w:val="85EADF18"/>
    <w:lvl w:ilvl="0" w:tplc="57B8CA24">
      <w:start w:val="1"/>
      <w:numFmt w:val="bullet"/>
      <w:lvlText w:val="●"/>
      <w:lvlJc w:val="left"/>
      <w:pPr>
        <w:ind w:left="720" w:hanging="360"/>
      </w:pPr>
    </w:lvl>
    <w:lvl w:ilvl="1" w:tplc="81EEEE06">
      <w:start w:val="1"/>
      <w:numFmt w:val="bullet"/>
      <w:lvlText w:val="○"/>
      <w:lvlJc w:val="left"/>
      <w:pPr>
        <w:ind w:left="1440" w:hanging="360"/>
      </w:pPr>
    </w:lvl>
    <w:lvl w:ilvl="2" w:tplc="1B3C374C">
      <w:start w:val="1"/>
      <w:numFmt w:val="bullet"/>
      <w:lvlText w:val="■"/>
      <w:lvlJc w:val="left"/>
      <w:pPr>
        <w:ind w:left="2160" w:hanging="360"/>
      </w:pPr>
    </w:lvl>
    <w:lvl w:ilvl="3" w:tplc="D6D2AF84">
      <w:start w:val="1"/>
      <w:numFmt w:val="bullet"/>
      <w:lvlText w:val="●"/>
      <w:lvlJc w:val="left"/>
      <w:pPr>
        <w:ind w:left="2880" w:hanging="360"/>
      </w:pPr>
    </w:lvl>
    <w:lvl w:ilvl="4" w:tplc="F9083F9E">
      <w:start w:val="1"/>
      <w:numFmt w:val="bullet"/>
      <w:lvlText w:val="○"/>
      <w:lvlJc w:val="left"/>
      <w:pPr>
        <w:ind w:left="3600" w:hanging="360"/>
      </w:pPr>
    </w:lvl>
    <w:lvl w:ilvl="5" w:tplc="E4D42CB8">
      <w:start w:val="1"/>
      <w:numFmt w:val="bullet"/>
      <w:lvlText w:val="■"/>
      <w:lvlJc w:val="left"/>
      <w:pPr>
        <w:ind w:left="4320" w:hanging="360"/>
      </w:pPr>
    </w:lvl>
    <w:lvl w:ilvl="6" w:tplc="D3C60FAA">
      <w:start w:val="1"/>
      <w:numFmt w:val="bullet"/>
      <w:lvlText w:val="●"/>
      <w:lvlJc w:val="left"/>
      <w:pPr>
        <w:ind w:left="5040" w:hanging="360"/>
      </w:pPr>
    </w:lvl>
    <w:lvl w:ilvl="7" w:tplc="2DFEBED4">
      <w:start w:val="1"/>
      <w:numFmt w:val="bullet"/>
      <w:lvlText w:val="●"/>
      <w:lvlJc w:val="left"/>
      <w:pPr>
        <w:ind w:left="5760" w:hanging="360"/>
      </w:pPr>
    </w:lvl>
    <w:lvl w:ilvl="8" w:tplc="7CC62F28">
      <w:start w:val="1"/>
      <w:numFmt w:val="bullet"/>
      <w:lvlText w:val="●"/>
      <w:lvlJc w:val="left"/>
      <w:pPr>
        <w:ind w:left="6480" w:hanging="360"/>
      </w:pPr>
    </w:lvl>
  </w:abstractNum>
  <w:abstractNum w:abstractNumId="2" w15:restartNumberingAfterBreak="0">
    <w:nsid w:val="4DC677B8"/>
    <w:multiLevelType w:val="hybridMultilevel"/>
    <w:tmpl w:val="19DC4DB8"/>
    <w:lvl w:ilvl="0" w:tplc="ED56B886">
      <w:start w:val="1"/>
      <w:numFmt w:val="bullet"/>
      <w:lvlText w:val="•"/>
      <w:lvlJc w:val="left"/>
      <w:pPr>
        <w:ind w:left="504" w:hanging="288"/>
      </w:pPr>
    </w:lvl>
    <w:lvl w:ilvl="1" w:tplc="72AC9456">
      <w:start w:val="1"/>
      <w:numFmt w:val="bullet"/>
      <w:lvlText w:val="◦"/>
      <w:lvlJc w:val="left"/>
      <w:pPr>
        <w:ind w:left="936" w:hanging="288"/>
      </w:pPr>
    </w:lvl>
    <w:lvl w:ilvl="2" w:tplc="1B249D82">
      <w:numFmt w:val="decimal"/>
      <w:lvlText w:val=""/>
      <w:lvlJc w:val="left"/>
    </w:lvl>
    <w:lvl w:ilvl="3" w:tplc="FA669E6E">
      <w:numFmt w:val="decimal"/>
      <w:lvlText w:val=""/>
      <w:lvlJc w:val="left"/>
    </w:lvl>
    <w:lvl w:ilvl="4" w:tplc="50985216">
      <w:numFmt w:val="decimal"/>
      <w:lvlText w:val=""/>
      <w:lvlJc w:val="left"/>
    </w:lvl>
    <w:lvl w:ilvl="5" w:tplc="AD0AF600">
      <w:numFmt w:val="decimal"/>
      <w:lvlText w:val=""/>
      <w:lvlJc w:val="left"/>
    </w:lvl>
    <w:lvl w:ilvl="6" w:tplc="13C00252">
      <w:numFmt w:val="decimal"/>
      <w:lvlText w:val=""/>
      <w:lvlJc w:val="left"/>
    </w:lvl>
    <w:lvl w:ilvl="7" w:tplc="7C740874">
      <w:numFmt w:val="decimal"/>
      <w:lvlText w:val=""/>
      <w:lvlJc w:val="left"/>
    </w:lvl>
    <w:lvl w:ilvl="8" w:tplc="CD38536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700"/>
    <w:rsid w:val="000B0D13"/>
    <w:rsid w:val="002E05C1"/>
    <w:rsid w:val="00304E2C"/>
    <w:rsid w:val="00350D17"/>
    <w:rsid w:val="004F2DCD"/>
    <w:rsid w:val="00644700"/>
    <w:rsid w:val="00E57AF8"/>
    <w:rsid w:val="00EE1E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B93D"/>
  <w15:docId w15:val="{437AD49B-27F6-4AC9-A9BD-81F6C652E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5388</Words>
  <Characters>30714</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Амир Кайыпов</cp:lastModifiedBy>
  <cp:revision>5</cp:revision>
  <dcterms:created xsi:type="dcterms:W3CDTF">2026-09-21T11:42:00Z</dcterms:created>
  <dcterms:modified xsi:type="dcterms:W3CDTF">2026-10-28T08:35:00Z</dcterms:modified>
</cp:coreProperties>
</file>