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 w:line="27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InvestigateIQ Compact Presenter Guide</w:t>
      </w:r>
    </w:p>
    <w:p>
      <w:pPr>
        <w:spacing w:after="300" w:before="0" w:line="270"/>
      </w:pPr>
      <w:r>
        <w:rPr>
          <w:rFonts w:ascii="Arial" w:cs="Arial" w:eastAsia="Arial" w:hAnsi="Arial"/>
          <w:b w:val="false"/>
          <w:bCs w:val="false"/>
          <w:color w:val="63738D"/>
          <w:sz w:val="22"/>
          <w:szCs w:val="22"/>
        </w:rPr>
        <w:t xml:space="preserve">15-minute evaluation session: 5:35 core deck + approximately 5-minute live demo + questions handled within the same session</w:t>
      </w:r>
    </w:p>
    <w:p>
      <w:pPr>
        <w:pStyle w:val="Heading1"/>
        <w:spacing w:after="120" w:before="0" w:line="27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Presentation rule</w:t>
      </w:r>
    </w:p>
    <w:p>
      <w:pPr>
        <w:spacing w:after="120" w:before="0" w:line="270"/>
      </w:pPr>
      <w:r>
        <w:rPr>
          <w:rFonts w:ascii="Arial" w:cs="Arial" w:eastAsia="Arial" w:hAnsi="Arial"/>
          <w:b w:val="false"/>
          <w:bCs w:val="false"/>
          <w:color w:val="12233F"/>
          <w:sz w:val="20"/>
          <w:szCs w:val="20"/>
        </w:rPr>
        <w:t xml:space="preserve">Soumya is the presenter and Laxman is the backup. Only one person presents at a time. Questions, demo, and slides share the same 15-minute window; do not promise a separate Q&amp;A block. Call every case, record, source, and chart fictional.</w:t>
      </w:r>
    </w:p>
    <w:p>
      <w:pPr>
        <w:pStyle w:val="Heading1"/>
        <w:spacing w:after="120" w:before="200" w:line="27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Slide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950"/>
        <w:gridCol w:w="5790"/>
      </w:tblGrid>
      <w:tr>
        <w:tc>
          <w:tcPr>
            <w:tcW w:type="dxa" w:w="52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Slide</w:t>
            </w:r>
          </w:p>
        </w:tc>
        <w:tc>
          <w:tcPr>
            <w:tcW w:type="dxa" w:w="95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579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Presenter says / does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Opening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0:25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State the fictional-product boundary and the 15-minute flexible format.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Program statement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0:35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State the selected track, success measures, non-goals, and presenter/backup.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Product flow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0:30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Show the alert-to-human-action path.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Responsible AI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0:40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Define evidence confidence and its boundary.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OKF, chunks, RAG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0:55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Explain lexical retrieval and source traceability.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Architecture, AI, guardrails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0:55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Explain the specialist workflow, optional model draft, validator, and human audit boundary.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Live demo plan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0:45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Explain the two-case, read-only demonstration guardrails.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ROI and roadmap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0:50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Present the measurable planning framework and roadmap.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Thank you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0:15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Show after the demo; open the FAQ appendix only if asked.</w:t>
            </w:r>
          </w:p>
        </w:tc>
      </w:tr>
      <w:tr>
        <w:tc>
          <w:tcPr>
            <w:tcW w:type="dxa" w:w="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10–12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FAQ appendix</w:t>
            </w:r>
          </w:p>
        </w:tc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On demand</w:t>
            </w:r>
          </w:p>
        </w:tc>
        <w:tc>
          <w:tcPr>
            <w:tcW w:type="dxa" w:w="579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Data/relevance; AI/hallucination; access/audit/value.</w:t>
            </w:r>
          </w:p>
        </w:tc>
      </w:tr>
    </w:tbl>
    <w:p>
      <w:pPr>
        <w:pStyle w:val="Heading1"/>
        <w:spacing w:after="120" w:before="240" w:line="27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Live demo flow — approximately 5 minutes</w:t>
      </w:r>
    </w:p>
    <w:p>
      <w:pPr>
        <w:spacing w:after="120" w:before="0" w:line="270"/>
      </w:pPr>
      <w:r>
        <w:rPr>
          <w:rFonts w:ascii="Arial" w:cs="Arial" w:eastAsia="Arial" w:hAnsi="Arial"/>
          <w:b w:val="false"/>
          <w:bCs w:val="false"/>
          <w:color w:val="12233F"/>
          <w:sz w:val="20"/>
          <w:szCs w:val="20"/>
        </w:rPr>
        <w:t xml:space="preserve">Use two fictional cases: first a documented closed case to show evidence access; then the default open/escalated case for the review. Navigate, filter, open tabs, expand accordions, and ask one prepared bounded question. Do not submit an investigator decision, Compliance action, or fictional intake record; do not reset or close a case; do not reveal or enter an Admin passcode.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50"/>
        <w:gridCol w:w="6060"/>
      </w:tblGrid>
      <w:tr>
        <w:tc>
          <w:tcPr>
            <w:tcW w:type="dxa" w:w="145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85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6060"/>
            <w:shd w:fill="0B1F3A" w:color="0B1F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and narration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0:00–0:35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Case A — documented closure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Open Evidence only; show documented support without changing the closed case.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0:35–1:15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Case B — open/escalated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Open the default case; distinguish Status, Rule(s), and Action.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1:15–2:05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Workspace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Run saved/calculated review; show validator and confidence limitations.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2:05–2:55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Evidence &amp; RAG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Open source/chunks; explain lexical FTS5/BM25 retrieval, not vectors. Admin view only if already unlocked; never show the code.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2:55–3:40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Ask InvestigateIQ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Ask one bounded question; point to citations and limits.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3:40–4:50</w:t>
            </w:r>
          </w:p>
        </w:tc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Human decision / audit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 w:before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2233F"/>
                <w:sz w:val="17"/>
                <w:szCs w:val="17"/>
              </w:rPr>
              <w:t xml:space="preserve">Show the three choices and rationale requirement; do not submit, close, or reset any case.</w:t>
            </w:r>
          </w:p>
        </w:tc>
      </w:tr>
    </w:tbl>
    <w:p>
      <w:pPr>
        <w:pStyle w:val="Heading1"/>
        <w:spacing w:after="120" w:before="240" w:line="27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FAQ appendix and question preparation</w:t>
      </w:r>
    </w:p>
    <w:p>
      <w:pPr>
        <w:spacing w:after="120" w:before="0" w:line="270"/>
      </w:pPr>
      <w:r>
        <w:rPr>
          <w:rFonts w:ascii="Arial" w:cs="Arial" w:eastAsia="Arial" w:hAnsi="Arial"/>
          <w:b w:val="false"/>
          <w:bCs w:val="false"/>
          <w:color w:val="12233F"/>
          <w:sz w:val="20"/>
          <w:szCs w:val="20"/>
        </w:rPr>
        <w:t xml:space="preserve">Use FAQ slides 10–12 only if asked. Soumya answers live questions; Laxman can present only if Soumya is unavailable. Technical preparation contacts: Rahul Chainani—application/deployment; Pankaj Bharsakale—AI/RAG; Lakshmi Dudgikar—requirements and case mapping; Rahul Sharma—testing and edge cases; Sweta Singh—program scope and ROI. Never claim real-data performance, a verified financial ROI, legal conclusions, role-based production security, or autonomous workflow decisions.</w:t>
      </w:r>
    </w:p>
    <w:p>
      <w:pPr>
        <w:pStyle w:val="Heading1"/>
        <w:spacing w:after="120" w:before="240" w:line="270"/>
      </w:pPr>
      <w:r>
        <w:rPr>
          <w:rFonts w:ascii="Arial" w:cs="Arial" w:eastAsia="Arial" w:hAnsi="Arial"/>
          <w:b/>
          <w:bCs/>
          <w:color w:val="0B1F3A"/>
          <w:sz w:val="28"/>
          <w:szCs w:val="28"/>
        </w:rPr>
        <w:t xml:space="preserve">Demo narration cues</w:t>
      </w:r>
    </w:p>
    <w:p>
      <w:pPr>
        <w:spacing w:after="120" w:before="0" w:line="270"/>
      </w:pPr>
      <w:r>
        <w:rPr>
          <w:rFonts w:ascii="Arial" w:cs="Arial" w:eastAsia="Arial" w:hAnsi="Arial"/>
          <w:b w:val="false"/>
          <w:bCs w:val="false"/>
          <w:color w:val="12233F"/>
          <w:sz w:val="20"/>
          <w:szCs w:val="20"/>
        </w:rPr>
        <w:t xml:space="preserve">Case Queue: ‘Status shows workflow position; Action opens context.’  Workspace: ‘This report is advisory; the validator and confidence card expose its limits.’  Evidence &amp; RAG: ‘This citation points to stored text; it is not proof.’  Copilot: ‘It summarizes available fictional material but cannot submit an action.’  Decision: ‘Only a named person with a rationale can create an audit event.’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InvestigateIQ Compact Presenter Guide</dc:title>
  <dc:creator>Capstone Group 7</dc:creator>
  <cp:lastModifiedBy>Un-named</cp:lastModifiedBy>
  <cp:revision>1</cp:revision>
  <dcterms:created xsi:type="dcterms:W3CDTF">2026-10-10T13:07:28.729Z</dcterms:created>
  <dcterms:modified xsi:type="dcterms:W3CDTF">2026-10-10T13:07:28.729Z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