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 w:before="1200"/>
        <w:jc w:val="center"/>
      </w:pPr>
      <w:r>
        <w:rPr>
          <w:rFonts w:ascii="Aptos" w:cs="Aptos" w:eastAsia="Aptos" w:hAnsi="Aptos"/>
          <w:b/>
          <w:bCs/>
          <w:i w:val="false"/>
          <w:iCs w:val="false"/>
          <w:color w:val="2E65C5"/>
          <w:sz w:val="34"/>
          <w:szCs w:val="34"/>
        </w:rPr>
        <w:t xml:space="preserve">INVESTIGATEIQ</w:t>
      </w:r>
    </w:p>
    <w:p>
      <w:pPr>
        <w:spacing w:after="180"/>
        <w:jc w:val="center"/>
      </w:pPr>
      <w:r>
        <w:rPr>
          <w:rFonts w:ascii="Aptos" w:cs="Aptos" w:eastAsia="Aptos" w:hAnsi="Aptos"/>
          <w:b/>
          <w:bCs/>
          <w:i w:val="false"/>
          <w:iCs w:val="false"/>
          <w:color w:val="16335D"/>
          <w:sz w:val="54"/>
          <w:szCs w:val="54"/>
        </w:rPr>
        <w:t xml:space="preserve">Product Blueprint</w:t>
      </w:r>
    </w:p>
    <w:p>
      <w:pPr>
        <w:spacing w:after="560"/>
        <w:jc w:val="center"/>
      </w:pPr>
      <w:r>
        <w:rPr>
          <w:rFonts w:ascii="Aptos" w:cs="Aptos" w:eastAsia="Aptos" w:hAnsi="Aptos"/>
          <w:b w:val="false"/>
          <w:bCs w:val="false"/>
          <w:i w:val="false"/>
          <w:iCs w:val="false"/>
          <w:color w:val="63738D"/>
          <w:sz w:val="25"/>
          <w:szCs w:val="25"/>
        </w:rPr>
        <w:t xml:space="preserve">Evidence-to-decision workflow for fictional AML investigations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CBEA" w:sz="6"/>
              <w:left w:val="single" w:color="2E65C5" w:sz="6"/>
              <w:bottom w:val="single" w:color="B7CBEA" w:sz="6"/>
              <w:right w:val="single" w:color="2E65C5" w:sz="6"/>
            </w:tcBorders>
            <w:shd w:fill="F4F8FF" w:color="F4F8FF" w:val="clear"/>
            <w:tcMar>
              <w:top w:type="dxa" w:w="130"/>
              <w:left w:type="dxa" w:w="180"/>
              <w:bottom w:type="dxa" w:w="130"/>
              <w:right w:type="dxa" w:w="180"/>
            </w:tcMar>
          </w:tcPr>
          <w:p>
            <w:pPr>
              <w:spacing w:after="45" w:before="0" w:line="276"/>
            </w:pPr>
            <w:r>
              <w:rPr>
                <w:rFonts w:ascii="Aptos" w:cs="Aptos" w:eastAsia="Aptos" w:hAnsi="Aptos"/>
                <w:b/>
                <w:bCs/>
                <w:i w:val="false"/>
                <w:iCs w:val="false"/>
                <w:color w:val="2E65C5"/>
                <w:sz w:val="20"/>
                <w:szCs w:val="20"/>
              </w:rPr>
              <w:t xml:space="preserve">Blueprint purpose</w:t>
            </w:r>
          </w:p>
          <w:p>
            <w:pPr>
              <w:spacing w:after="0" w:before="0" w:line="254"/>
            </w:pPr>
            <w:r>
              <w:rPr>
                <w:rFonts w:ascii="Aptos" w:cs="Aptos" w:eastAsia="Aptos" w:hAnsi="Aptos"/>
                <w:b w:val="false"/>
                <w:bCs w:val="false"/>
                <w:i w:val="false"/>
                <w:iCs w:val="false"/>
                <w:color w:val="16335D"/>
                <w:sz w:val="19"/>
                <w:szCs w:val="19"/>
              </w:rPr>
              <w:t xml:space="preserve">This document explains what InvestigateIQ does, how a user moves through the product, how evidence and retrieval are represented, and where human accountability remains required. It is a product and technical blueprint for a fictional teaching environment—not a deployment or regulatory filing design.</w:t>
            </w:r>
          </w:p>
        </w:tc>
      </w:tr>
    </w:tbl>
    <w:p>
      <w:pPr>
        <w:spacing w:after="70" w:before="460"/>
        <w:jc w:val="center"/>
      </w:pPr>
      <w:r>
        <w:rPr>
          <w:rFonts w:ascii="Aptos" w:cs="Aptos" w:eastAsia="Aptos" w:hAnsi="Aptos"/>
          <w:b w:val="false"/>
          <w:bCs w:val="false"/>
          <w:i w:val="false"/>
          <w:iCs w:val="false"/>
          <w:color w:val="63738D"/>
          <w:sz w:val="19"/>
          <w:szCs w:val="19"/>
        </w:rPr>
        <w:t xml:space="preserve">Prepared for Capstone Group 7 · Leadership with AI, IIT Bombay</w:t>
      </w:r>
    </w:p>
    <w:p>
      <w:pPr>
        <w:jc w:val="center"/>
      </w:pPr>
      <w:r>
        <w:rPr>
          <w:rFonts w:ascii="Aptos" w:cs="Aptos" w:eastAsia="Aptos" w:hAnsi="Aptos"/>
          <w:b w:val="false"/>
          <w:bCs w:val="false"/>
          <w:i w:val="false"/>
          <w:iCs w:val="false"/>
          <w:color w:val="63738D"/>
          <w:sz w:val="18"/>
          <w:szCs w:val="18"/>
        </w:rPr>
        <w:t xml:space="preserve">Version 1.2 · 10 October 2026</w:t>
      </w:r>
    </w:p>
    <w:p>
      <w:r>
        <w:br w:type="page"/>
      </w:r>
    </w:p>
    <w:p>
      <w:pPr>
        <w:pStyle w:val="Heading1"/>
        <w:spacing w:after="130" w:before="300"/>
      </w:pPr>
      <w:r>
        <w:t xml:space="preserve">Document guide</w:t>
      </w:r>
    </w:p>
    <w:p>
      <w:pPr>
        <w:spacing w:after="140" w:before="0" w:line="276"/>
      </w:pPr>
      <w:r>
        <w:rPr>
          <w:rFonts w:ascii="Aptos" w:cs="Aptos" w:eastAsia="Aptos" w:hAnsi="Aptos"/>
          <w:b w:val="false"/>
          <w:bCs w:val="false"/>
          <w:i w:val="false"/>
          <w:iCs w:val="false"/>
          <w:color w:val="16335D"/>
          <w:sz w:val="21"/>
          <w:szCs w:val="21"/>
        </w:rPr>
        <w:t xml:space="preserve">The blueprint is organized for a reviewer who wants both the product story and the implementation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B7CBEA" w:sz="6"/>
              <w:left w:val="single" w:color="B7CBEA" w:sz="6"/>
              <w:bottom w:val="single" w:color="B7CBEA" w:sz="6"/>
              <w:right w:val="single" w:color="B7CBEA" w:sz="6"/>
            </w:tcBorders>
            <w:shd w:fill="16335D" w:color="16335D" w:val="clear"/>
            <w:tcMar>
              <w:top w:type="dxa" w:w="90"/>
              <w:left w:type="dxa" w:w="110"/>
              <w:bottom w:type="dxa" w:w="90"/>
              <w:right w:type="dxa" w:w="110"/>
            </w:tcMar>
          </w:tcPr>
          <w:p>
            <w:pPr>
              <w:spacing w:after="0" w:before="0" w:line="230"/>
            </w:pPr>
            <w:r>
              <w:rPr>
                <w:rFonts w:ascii="Aptos" w:cs="Aptos" w:eastAsia="Aptos" w:hAnsi="Aptos"/>
                <w:b/>
                <w:bCs/>
                <w:i w:val="false"/>
                <w:iCs w:val="false"/>
                <w:color w:val="FFFFFF"/>
                <w:sz w:val="18"/>
                <w:szCs w:val="18"/>
              </w:rPr>
              <w:t xml:space="preserve">Section</w:t>
            </w:r>
          </w:p>
        </w:tc>
        <w:tc>
          <w:tcPr>
            <w:tcW w:type="dxa" w:w="7060"/>
            <w:tcBorders>
              <w:top w:val="single" w:color="B7CBEA" w:sz="6"/>
              <w:left w:val="single" w:color="B7CBEA" w:sz="6"/>
              <w:bottom w:val="single" w:color="B7CBEA" w:sz="6"/>
              <w:right w:val="single" w:color="B7CBEA" w:sz="6"/>
            </w:tcBorders>
            <w:shd w:fill="16335D" w:color="16335D" w:val="clear"/>
            <w:tcMar>
              <w:top w:type="dxa" w:w="90"/>
              <w:left w:type="dxa" w:w="110"/>
              <w:bottom w:type="dxa" w:w="90"/>
              <w:right w:type="dxa" w:w="110"/>
            </w:tcMar>
          </w:tcPr>
          <w:p>
            <w:pPr>
              <w:spacing w:after="0" w:before="0" w:line="230"/>
            </w:pPr>
            <w:r>
              <w:rPr>
                <w:rFonts w:ascii="Aptos" w:cs="Aptos" w:eastAsia="Aptos" w:hAnsi="Aptos"/>
                <w:b/>
                <w:bCs/>
                <w:i w:val="false"/>
                <w:iCs w:val="false"/>
                <w:color w:val="FFFFFF"/>
                <w:sz w:val="18"/>
                <w:szCs w:val="18"/>
              </w:rPr>
              <w:t xml:space="preserve">What it answers</w:t>
            </w:r>
          </w:p>
        </w:tc>
      </w:tr>
      <w:tr>
        <w:tc>
          <w:tcPr>
            <w:tcW w:type="dxa" w:w="2300"/>
            <w:tcBorders>
              <w:top w:val="single" w:color="B7CBEA" w:sz="6"/>
              <w:left w:val="single" w:color="B7CBEA" w:sz="6"/>
              <w:bottom w:val="single" w:color="B7CBEA" w:sz="6"/>
              <w:right w:val="single" w:color="B7CBEA" w:sz="6"/>
            </w:tcBorders>
            <w:tcMar>
              <w:top w:type="dxa" w:w="90"/>
              <w:left w:type="dxa" w:w="110"/>
              <w:bottom w:type="dxa" w:w="90"/>
              <w:right w:type="dxa" w:w="110"/>
            </w:tcMar>
          </w:tcPr>
          <w:p>
            <w:pPr>
              <w:spacing w:after="0" w:before="0" w:line="230"/>
            </w:pPr>
            <w:r>
              <w:rPr>
                <w:rFonts w:ascii="Aptos" w:cs="Aptos" w:eastAsia="Aptos" w:hAnsi="Aptos"/>
                <w:b w:val="false"/>
                <w:bCs w:val="false"/>
                <w:i w:val="false"/>
                <w:iCs w:val="false"/>
                <w:color w:val="16335D"/>
                <w:sz w:val="18"/>
                <w:szCs w:val="18"/>
              </w:rPr>
              <w:t xml:space="preserve">1. Product intent</w:t>
            </w:r>
          </w:p>
        </w:tc>
        <w:tc>
          <w:tcPr>
            <w:tcW w:type="dxa" w:w="7060"/>
            <w:tcBorders>
              <w:top w:val="single" w:color="B7CBEA" w:sz="6"/>
              <w:left w:val="single" w:color="B7CBEA" w:sz="6"/>
              <w:bottom w:val="single" w:color="B7CBEA" w:sz="6"/>
              <w:right w:val="single" w:color="B7CBEA" w:sz="6"/>
            </w:tcBorders>
            <w:tcMar>
              <w:top w:type="dxa" w:w="90"/>
              <w:left w:type="dxa" w:w="110"/>
              <w:bottom w:type="dxa" w:w="90"/>
              <w:right w:type="dxa" w:w="110"/>
            </w:tcMar>
          </w:tcPr>
          <w:p>
            <w:pPr>
              <w:spacing w:after="0" w:before="0" w:line="230"/>
            </w:pPr>
            <w:r>
              <w:rPr>
                <w:rFonts w:ascii="Aptos" w:cs="Aptos" w:eastAsia="Aptos" w:hAnsi="Aptos"/>
                <w:b w:val="false"/>
                <w:bCs w:val="false"/>
                <w:i w:val="false"/>
                <w:iCs w:val="false"/>
                <w:color w:val="16335D"/>
                <w:sz w:val="18"/>
                <w:szCs w:val="18"/>
              </w:rPr>
              <w:t xml:space="preserve">What problem the product demonstrates and what it deliberately does not claim.</w:t>
            </w:r>
          </w:p>
        </w:tc>
      </w:tr>
      <w:tr>
        <w:tc>
          <w:tcPr>
            <w:tcW w:type="dxa" w:w="2300"/>
            <w:tcBorders>
              <w:top w:val="single" w:color="B7CBEA" w:sz="6"/>
              <w:left w:val="single" w:color="B7CBEA" w:sz="6"/>
              <w:bottom w:val="single" w:color="B7CBEA" w:sz="6"/>
              <w:right w:val="single" w:color="B7CBEA" w:sz="6"/>
            </w:tcBorders>
            <w:tcMar>
              <w:top w:type="dxa" w:w="90"/>
              <w:left w:type="dxa" w:w="110"/>
              <w:bottom w:type="dxa" w:w="90"/>
              <w:right w:type="dxa" w:w="110"/>
            </w:tcMar>
          </w:tcPr>
          <w:p>
            <w:pPr>
              <w:spacing w:after="0" w:before="0" w:line="230"/>
            </w:pPr>
            <w:r>
              <w:rPr>
                <w:rFonts w:ascii="Aptos" w:cs="Aptos" w:eastAsia="Aptos" w:hAnsi="Aptos"/>
                <w:b w:val="false"/>
                <w:bCs w:val="false"/>
                <w:i w:val="false"/>
                <w:iCs w:val="false"/>
                <w:color w:val="16335D"/>
                <w:sz w:val="18"/>
                <w:szCs w:val="18"/>
              </w:rPr>
              <w:t xml:space="preserve">2. User journey</w:t>
            </w:r>
          </w:p>
        </w:tc>
        <w:tc>
          <w:tcPr>
            <w:tcW w:type="dxa" w:w="7060"/>
            <w:tcBorders>
              <w:top w:val="single" w:color="B7CBEA" w:sz="6"/>
              <w:left w:val="single" w:color="B7CBEA" w:sz="6"/>
              <w:bottom w:val="single" w:color="B7CBEA" w:sz="6"/>
              <w:right w:val="single" w:color="B7CBEA" w:sz="6"/>
            </w:tcBorders>
            <w:tcMar>
              <w:top w:type="dxa" w:w="90"/>
              <w:left w:type="dxa" w:w="110"/>
              <w:bottom w:type="dxa" w:w="90"/>
              <w:right w:type="dxa" w:w="110"/>
            </w:tcMar>
          </w:tcPr>
          <w:p>
            <w:pPr>
              <w:spacing w:after="0" w:before="0" w:line="230"/>
            </w:pPr>
            <w:r>
              <w:rPr>
                <w:rFonts w:ascii="Aptos" w:cs="Aptos" w:eastAsia="Aptos" w:hAnsi="Aptos"/>
                <w:b w:val="false"/>
                <w:bCs w:val="false"/>
                <w:i w:val="false"/>
                <w:iCs w:val="false"/>
                <w:color w:val="16335D"/>
                <w:sz w:val="18"/>
                <w:szCs w:val="18"/>
              </w:rPr>
              <w:t xml:space="preserve">How one fictional case moves from the queue to a human decision and, if needed, Compliance.</w:t>
            </w:r>
          </w:p>
        </w:tc>
      </w:tr>
      <w:tr>
        <w:tc>
          <w:tcPr>
            <w:tcW w:type="dxa" w:w="2300"/>
            <w:tcBorders>
              <w:top w:val="single" w:color="B7CBEA" w:sz="6"/>
              <w:left w:val="single" w:color="B7CBEA" w:sz="6"/>
              <w:bottom w:val="single" w:color="B7CBEA" w:sz="6"/>
              <w:right w:val="single" w:color="B7CBEA" w:sz="6"/>
            </w:tcBorders>
            <w:tcMar>
              <w:top w:type="dxa" w:w="90"/>
              <w:left w:type="dxa" w:w="110"/>
              <w:bottom w:type="dxa" w:w="90"/>
              <w:right w:type="dxa" w:w="110"/>
            </w:tcMar>
          </w:tcPr>
          <w:p>
            <w:pPr>
              <w:spacing w:after="0" w:before="0" w:line="230"/>
            </w:pPr>
            <w:r>
              <w:rPr>
                <w:rFonts w:ascii="Aptos" w:cs="Aptos" w:eastAsia="Aptos" w:hAnsi="Aptos"/>
                <w:b w:val="false"/>
                <w:bCs w:val="false"/>
                <w:i w:val="false"/>
                <w:iCs w:val="false"/>
                <w:color w:val="16335D"/>
                <w:sz w:val="18"/>
                <w:szCs w:val="18"/>
              </w:rPr>
              <w:t xml:space="preserve">3. Screen blueprint</w:t>
            </w:r>
          </w:p>
        </w:tc>
        <w:tc>
          <w:tcPr>
            <w:tcW w:type="dxa" w:w="7060"/>
            <w:tcBorders>
              <w:top w:val="single" w:color="B7CBEA" w:sz="6"/>
              <w:left w:val="single" w:color="B7CBEA" w:sz="6"/>
              <w:bottom w:val="single" w:color="B7CBEA" w:sz="6"/>
              <w:right w:val="single" w:color="B7CBEA" w:sz="6"/>
            </w:tcBorders>
            <w:tcMar>
              <w:top w:type="dxa" w:w="90"/>
              <w:left w:type="dxa" w:w="110"/>
              <w:bottom w:type="dxa" w:w="90"/>
              <w:right w:type="dxa" w:w="110"/>
            </w:tcMar>
          </w:tcPr>
          <w:p>
            <w:pPr>
              <w:spacing w:after="0" w:before="0" w:line="230"/>
            </w:pPr>
            <w:r>
              <w:rPr>
                <w:rFonts w:ascii="Aptos" w:cs="Aptos" w:eastAsia="Aptos" w:hAnsi="Aptos"/>
                <w:b w:val="false"/>
                <w:bCs w:val="false"/>
                <w:i w:val="false"/>
                <w:iCs w:val="false"/>
                <w:color w:val="16335D"/>
                <w:sz w:val="18"/>
                <w:szCs w:val="18"/>
              </w:rPr>
              <w:t xml:space="preserve">What each current page, tab, accordion, and action is for.</w:t>
            </w:r>
          </w:p>
        </w:tc>
      </w:tr>
      <w:tr>
        <w:tc>
          <w:tcPr>
            <w:tcW w:type="dxa" w:w="2300"/>
            <w:tcBorders>
              <w:top w:val="single" w:color="B7CBEA" w:sz="6"/>
              <w:left w:val="single" w:color="B7CBEA" w:sz="6"/>
              <w:bottom w:val="single" w:color="B7CBEA" w:sz="6"/>
              <w:right w:val="single" w:color="B7CBEA" w:sz="6"/>
            </w:tcBorders>
            <w:tcMar>
              <w:top w:type="dxa" w:w="90"/>
              <w:left w:type="dxa" w:w="110"/>
              <w:bottom w:type="dxa" w:w="90"/>
              <w:right w:type="dxa" w:w="110"/>
            </w:tcMar>
          </w:tcPr>
          <w:p>
            <w:pPr>
              <w:spacing w:after="0" w:before="0" w:line="230"/>
            </w:pPr>
            <w:r>
              <w:rPr>
                <w:rFonts w:ascii="Aptos" w:cs="Aptos" w:eastAsia="Aptos" w:hAnsi="Aptos"/>
                <w:b w:val="false"/>
                <w:bCs w:val="false"/>
                <w:i w:val="false"/>
                <w:iCs w:val="false"/>
                <w:color w:val="16335D"/>
                <w:sz w:val="18"/>
                <w:szCs w:val="18"/>
              </w:rPr>
              <w:t xml:space="preserve">4. Evidence and RAG</w:t>
            </w:r>
          </w:p>
        </w:tc>
        <w:tc>
          <w:tcPr>
            <w:tcW w:type="dxa" w:w="7060"/>
            <w:tcBorders>
              <w:top w:val="single" w:color="B7CBEA" w:sz="6"/>
              <w:left w:val="single" w:color="B7CBEA" w:sz="6"/>
              <w:bottom w:val="single" w:color="B7CBEA" w:sz="6"/>
              <w:right w:val="single" w:color="B7CBEA" w:sz="6"/>
            </w:tcBorders>
            <w:tcMar>
              <w:top w:type="dxa" w:w="90"/>
              <w:left w:type="dxa" w:w="110"/>
              <w:bottom w:type="dxa" w:w="90"/>
              <w:right w:type="dxa" w:w="110"/>
            </w:tcMar>
          </w:tcPr>
          <w:p>
            <w:pPr>
              <w:spacing w:after="0" w:before="0" w:line="230"/>
            </w:pPr>
            <w:r>
              <w:rPr>
                <w:rFonts w:ascii="Aptos" w:cs="Aptos" w:eastAsia="Aptos" w:hAnsi="Aptos"/>
                <w:b w:val="false"/>
                <w:bCs w:val="false"/>
                <w:i w:val="false"/>
                <w:iCs w:val="false"/>
                <w:color w:val="16335D"/>
                <w:sz w:val="18"/>
                <w:szCs w:val="18"/>
              </w:rPr>
              <w:t xml:space="preserve">How source records, chunks, keyword search, citations, and the confidence score work.</w:t>
            </w:r>
          </w:p>
        </w:tc>
      </w:tr>
      <w:tr>
        <w:tc>
          <w:tcPr>
            <w:tcW w:type="dxa" w:w="2300"/>
            <w:tcBorders>
              <w:top w:val="single" w:color="B7CBEA" w:sz="6"/>
              <w:left w:val="single" w:color="B7CBEA" w:sz="6"/>
              <w:bottom w:val="single" w:color="B7CBEA" w:sz="6"/>
              <w:right w:val="single" w:color="B7CBEA" w:sz="6"/>
            </w:tcBorders>
            <w:tcMar>
              <w:top w:type="dxa" w:w="90"/>
              <w:left w:type="dxa" w:w="110"/>
              <w:bottom w:type="dxa" w:w="90"/>
              <w:right w:type="dxa" w:w="110"/>
            </w:tcMar>
          </w:tcPr>
          <w:p>
            <w:pPr>
              <w:spacing w:after="0" w:before="0" w:line="230"/>
            </w:pPr>
            <w:r>
              <w:rPr>
                <w:rFonts w:ascii="Aptos" w:cs="Aptos" w:eastAsia="Aptos" w:hAnsi="Aptos"/>
                <w:b w:val="false"/>
                <w:bCs w:val="false"/>
                <w:i w:val="false"/>
                <w:iCs w:val="false"/>
                <w:color w:val="16335D"/>
                <w:sz w:val="18"/>
                <w:szCs w:val="18"/>
              </w:rPr>
              <w:t xml:space="preserve">5. Technical design</w:t>
            </w:r>
          </w:p>
        </w:tc>
        <w:tc>
          <w:tcPr>
            <w:tcW w:type="dxa" w:w="7060"/>
            <w:tcBorders>
              <w:top w:val="single" w:color="B7CBEA" w:sz="6"/>
              <w:left w:val="single" w:color="B7CBEA" w:sz="6"/>
              <w:bottom w:val="single" w:color="B7CBEA" w:sz="6"/>
              <w:right w:val="single" w:color="B7CBEA" w:sz="6"/>
            </w:tcBorders>
            <w:tcMar>
              <w:top w:type="dxa" w:w="90"/>
              <w:left w:type="dxa" w:w="110"/>
              <w:bottom w:type="dxa" w:w="90"/>
              <w:right w:type="dxa" w:w="110"/>
            </w:tcMar>
          </w:tcPr>
          <w:p>
            <w:pPr>
              <w:spacing w:after="0" w:before="0" w:line="230"/>
            </w:pPr>
            <w:r>
              <w:rPr>
                <w:rFonts w:ascii="Aptos" w:cs="Aptos" w:eastAsia="Aptos" w:hAnsi="Aptos"/>
                <w:b w:val="false"/>
                <w:bCs w:val="false"/>
                <w:i w:val="false"/>
                <w:iCs w:val="false"/>
                <w:color w:val="16335D"/>
                <w:sz w:val="18"/>
                <w:szCs w:val="18"/>
              </w:rPr>
              <w:t xml:space="preserve">The Streamlit router, SQLite stores, major calculations, safeguards, and deployment model.</w:t>
            </w:r>
          </w:p>
        </w:tc>
      </w:tr>
      <w:tr>
        <w:tc>
          <w:tcPr>
            <w:tcW w:type="dxa" w:w="2300"/>
            <w:tcBorders>
              <w:top w:val="single" w:color="B7CBEA" w:sz="6"/>
              <w:left w:val="single" w:color="B7CBEA" w:sz="6"/>
              <w:bottom w:val="single" w:color="B7CBEA" w:sz="6"/>
              <w:right w:val="single" w:color="B7CBEA" w:sz="6"/>
            </w:tcBorders>
            <w:tcMar>
              <w:top w:type="dxa" w:w="90"/>
              <w:left w:type="dxa" w:w="110"/>
              <w:bottom w:type="dxa" w:w="90"/>
              <w:right w:type="dxa" w:w="110"/>
            </w:tcMar>
          </w:tcPr>
          <w:p>
            <w:pPr>
              <w:spacing w:after="0" w:before="0" w:line="230"/>
            </w:pPr>
            <w:r>
              <w:rPr>
                <w:rFonts w:ascii="Aptos" w:cs="Aptos" w:eastAsia="Aptos" w:hAnsi="Aptos"/>
                <w:b w:val="false"/>
                <w:bCs w:val="false"/>
                <w:i w:val="false"/>
                <w:iCs w:val="false"/>
                <w:color w:val="16335D"/>
                <w:sz w:val="18"/>
                <w:szCs w:val="18"/>
              </w:rPr>
              <w:t xml:space="preserve">6. Implementation logic</w:t>
            </w:r>
          </w:p>
        </w:tc>
        <w:tc>
          <w:tcPr>
            <w:tcW w:type="dxa" w:w="7060"/>
            <w:tcBorders>
              <w:top w:val="single" w:color="B7CBEA" w:sz="6"/>
              <w:left w:val="single" w:color="B7CBEA" w:sz="6"/>
              <w:bottom w:val="single" w:color="B7CBEA" w:sz="6"/>
              <w:right w:val="single" w:color="B7CBEA" w:sz="6"/>
            </w:tcBorders>
            <w:tcMar>
              <w:top w:type="dxa" w:w="90"/>
              <w:left w:type="dxa" w:w="110"/>
              <w:bottom w:type="dxa" w:w="90"/>
              <w:right w:type="dxa" w:w="110"/>
            </w:tcMar>
          </w:tcPr>
          <w:p>
            <w:pPr>
              <w:spacing w:after="0" w:before="0" w:line="230"/>
            </w:pPr>
            <w:r>
              <w:rPr>
                <w:rFonts w:ascii="Aptos" w:cs="Aptos" w:eastAsia="Aptos" w:hAnsi="Aptos"/>
                <w:b w:val="false"/>
                <w:bCs w:val="false"/>
                <w:i w:val="false"/>
                <w:iCs w:val="false"/>
                <w:color w:val="16335D"/>
                <w:sz w:val="18"/>
                <w:szCs w:val="18"/>
              </w:rPr>
              <w:t xml:space="preserve">The actual flow for OKF ingestion, chunking, FTS5/BM25 retrieval, RAG citation checks, confidence, and audit states.</w:t>
            </w:r>
          </w:p>
        </w:tc>
      </w:tr>
      <w:tr>
        <w:tc>
          <w:tcPr>
            <w:tcW w:type="dxa" w:w="2300"/>
            <w:tcBorders>
              <w:top w:val="single" w:color="B7CBEA" w:sz="6"/>
              <w:left w:val="single" w:color="B7CBEA" w:sz="6"/>
              <w:bottom w:val="single" w:color="B7CBEA" w:sz="6"/>
              <w:right w:val="single" w:color="B7CBEA" w:sz="6"/>
            </w:tcBorders>
            <w:tcMar>
              <w:top w:type="dxa" w:w="90"/>
              <w:left w:type="dxa" w:w="110"/>
              <w:bottom w:type="dxa" w:w="90"/>
              <w:right w:type="dxa" w:w="110"/>
            </w:tcMar>
          </w:tcPr>
          <w:p>
            <w:pPr>
              <w:spacing w:after="0" w:before="0" w:line="230"/>
            </w:pPr>
            <w:r>
              <w:rPr>
                <w:rFonts w:ascii="Aptos" w:cs="Aptos" w:eastAsia="Aptos" w:hAnsi="Aptos"/>
                <w:b w:val="false"/>
                <w:bCs w:val="false"/>
                <w:i w:val="false"/>
                <w:iCs w:val="false"/>
                <w:color w:val="16335D"/>
                <w:sz w:val="18"/>
                <w:szCs w:val="18"/>
              </w:rPr>
              <w:t xml:space="preserve">7. Responsible AI</w:t>
            </w:r>
          </w:p>
        </w:tc>
        <w:tc>
          <w:tcPr>
            <w:tcW w:type="dxa" w:w="7060"/>
            <w:tcBorders>
              <w:top w:val="single" w:color="B7CBEA" w:sz="6"/>
              <w:left w:val="single" w:color="B7CBEA" w:sz="6"/>
              <w:bottom w:val="single" w:color="B7CBEA" w:sz="6"/>
              <w:right w:val="single" w:color="B7CBEA" w:sz="6"/>
            </w:tcBorders>
            <w:tcMar>
              <w:top w:type="dxa" w:w="90"/>
              <w:left w:type="dxa" w:w="110"/>
              <w:bottom w:type="dxa" w:w="90"/>
              <w:right w:type="dxa" w:w="110"/>
            </w:tcMar>
          </w:tcPr>
          <w:p>
            <w:pPr>
              <w:spacing w:after="0" w:before="0" w:line="230"/>
            </w:pPr>
            <w:r>
              <w:rPr>
                <w:rFonts w:ascii="Aptos" w:cs="Aptos" w:eastAsia="Aptos" w:hAnsi="Aptos"/>
                <w:b w:val="false"/>
                <w:bCs w:val="false"/>
                <w:i w:val="false"/>
                <w:iCs w:val="false"/>
                <w:color w:val="16335D"/>
                <w:sz w:val="18"/>
                <w:szCs w:val="18"/>
              </w:rPr>
              <w:t xml:space="preserve">Why the system assists review but never decides, closes, escalates, or files automatically.</w:t>
            </w:r>
          </w:p>
        </w:tc>
      </w:tr>
      <w:tr>
        <w:tc>
          <w:tcPr>
            <w:tcW w:type="dxa" w:w="2300"/>
            <w:tcBorders>
              <w:top w:val="single" w:color="B7CBEA" w:sz="6"/>
              <w:left w:val="single" w:color="B7CBEA" w:sz="6"/>
              <w:bottom w:val="single" w:color="B7CBEA" w:sz="6"/>
              <w:right w:val="single" w:color="B7CBEA" w:sz="6"/>
            </w:tcBorders>
            <w:tcMar>
              <w:top w:type="dxa" w:w="90"/>
              <w:left w:type="dxa" w:w="110"/>
              <w:bottom w:type="dxa" w:w="90"/>
              <w:right w:type="dxa" w:w="110"/>
            </w:tcMar>
          </w:tcPr>
          <w:p>
            <w:pPr>
              <w:spacing w:after="0" w:before="0" w:line="230"/>
            </w:pPr>
            <w:r>
              <w:rPr>
                <w:rFonts w:ascii="Aptos" w:cs="Aptos" w:eastAsia="Aptos" w:hAnsi="Aptos"/>
                <w:b w:val="false"/>
                <w:bCs w:val="false"/>
                <w:i w:val="false"/>
                <w:iCs w:val="false"/>
                <w:color w:val="16335D"/>
                <w:sz w:val="18"/>
                <w:szCs w:val="18"/>
              </w:rPr>
              <w:t xml:space="preserve">8. FAQ and demo preparation</w:t>
            </w:r>
          </w:p>
        </w:tc>
        <w:tc>
          <w:tcPr>
            <w:tcW w:type="dxa" w:w="7060"/>
            <w:tcBorders>
              <w:top w:val="single" w:color="B7CBEA" w:sz="6"/>
              <w:left w:val="single" w:color="B7CBEA" w:sz="6"/>
              <w:bottom w:val="single" w:color="B7CBEA" w:sz="6"/>
              <w:right w:val="single" w:color="B7CBEA" w:sz="6"/>
            </w:tcBorders>
            <w:tcMar>
              <w:top w:type="dxa" w:w="90"/>
              <w:left w:type="dxa" w:w="110"/>
              <w:bottom w:type="dxa" w:w="90"/>
              <w:right w:type="dxa" w:w="110"/>
            </w:tcMar>
          </w:tcPr>
          <w:p>
            <w:pPr>
              <w:spacing w:after="0" w:before="0" w:line="230"/>
            </w:pPr>
            <w:r>
              <w:rPr>
                <w:rFonts w:ascii="Aptos" w:cs="Aptos" w:eastAsia="Aptos" w:hAnsi="Aptos"/>
                <w:b w:val="false"/>
                <w:bCs w:val="false"/>
                <w:i w:val="false"/>
                <w:iCs w:val="false"/>
                <w:color w:val="16335D"/>
                <w:sz w:val="18"/>
                <w:szCs w:val="18"/>
              </w:rPr>
              <w:t xml:space="preserve">Detailed answers for faculty questions plus a safe two-case demonstration sequence.</w:t>
            </w:r>
          </w:p>
        </w:tc>
      </w:tr>
    </w:tbl>
    <w:p>
      <w:pPr>
        <w:pStyle w:val="Heading2"/>
        <w:spacing w:after="130" w:before="210"/>
      </w:pPr>
      <w:r>
        <w:t xml:space="preserve">Scope note</w:t>
      </w:r>
    </w:p>
    <w:p>
      <w:pPr>
        <w:pStyle w:val="ListParagraph"/>
        <w:numPr>
          <w:ilvl w:val="0"/>
          <w:numId w:val="2"/>
        </w:numPr>
        <w:spacing w:after="55" w:before="0" w:line="276"/>
      </w:pPr>
      <w:r>
        <w:rPr>
          <w:rFonts w:ascii="Aptos" w:cs="Aptos" w:eastAsia="Aptos" w:hAnsi="Aptos"/>
          <w:b w:val="false"/>
          <w:bCs w:val="false"/>
          <w:i w:val="false"/>
          <w:iCs w:val="false"/>
          <w:color w:val="16335D"/>
          <w:sz w:val="21"/>
          <w:szCs w:val="21"/>
        </w:rPr>
        <w:t xml:space="preserve">All customers, alerts, transactions, documents, and source material are fictional course data.</w:t>
      </w:r>
    </w:p>
    <w:p>
      <w:pPr>
        <w:pStyle w:val="ListParagraph"/>
        <w:numPr>
          <w:ilvl w:val="0"/>
          <w:numId w:val="2"/>
        </w:numPr>
        <w:spacing w:after="55" w:before="0" w:line="276"/>
      </w:pPr>
      <w:r>
        <w:rPr>
          <w:rFonts w:ascii="Aptos" w:cs="Aptos" w:eastAsia="Aptos" w:hAnsi="Aptos"/>
          <w:b w:val="false"/>
          <w:bCs w:val="false"/>
          <w:i w:val="false"/>
          <w:iCs w:val="false"/>
          <w:color w:val="16335D"/>
          <w:sz w:val="21"/>
          <w:szCs w:val="21"/>
        </w:rPr>
        <w:t xml:space="preserve">The product does not authenticate real users, connect to a bank, verify outside-bank records, or file a report with a regulator.</w:t>
      </w:r>
    </w:p>
    <w:p>
      <w:pPr>
        <w:pStyle w:val="ListParagraph"/>
        <w:numPr>
          <w:ilvl w:val="0"/>
          <w:numId w:val="2"/>
        </w:numPr>
        <w:spacing w:after="55" w:before="0" w:line="276"/>
      </w:pPr>
      <w:r>
        <w:rPr>
          <w:rFonts w:ascii="Aptos" w:cs="Aptos" w:eastAsia="Aptos" w:hAnsi="Aptos"/>
          <w:b w:val="false"/>
          <w:bCs w:val="false"/>
          <w:i w:val="false"/>
          <w:iCs w:val="false"/>
          <w:color w:val="16335D"/>
          <w:sz w:val="21"/>
          <w:szCs w:val="21"/>
        </w:rPr>
        <w:t xml:space="preserve">A record, citation, retrieval result, rule match, or confidence score is an aid to review—not proof that money is lawful, unlawful, fraudulent, or laundered.</w:t>
      </w:r>
    </w:p>
    <w:p>
      <w:pPr>
        <w:pStyle w:val="Heading2"/>
        <w:spacing w:after="130" w:before="210"/>
      </w:pPr>
      <w:r>
        <w:t xml:space="preserve">Lecturer submission alignment</w:t>
      </w:r>
    </w:p>
    <w:p>
      <w:pPr>
        <w:spacing w:after="140" w:before="0" w:line="276"/>
      </w:pPr>
      <w:r>
        <w:rPr>
          <w:rFonts w:ascii="Aptos" w:cs="Aptos" w:eastAsia="Aptos" w:hAnsi="Aptos"/>
          <w:b w:val="false"/>
          <w:bCs w:val="false"/>
          <w:i w:val="false"/>
          <w:iCs w:val="false"/>
          <w:color w:val="16335D"/>
          <w:sz w:val="21"/>
          <w:szCs w:val="21"/>
        </w:rPr>
        <w:t xml:space="preserve">Selected submission track: Blueprint + Prototype + Detailed code + Final results. The submission includes this detailed blueprint, the working prototype and live walkthrough, the documented Streamlit/SQLite/OKF/RAG implementation logic, current screen evidence, validation results, and the 15-minute presentation materials.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50"/>
        <w:gridCol w:w="6910"/>
      </w:tblGrid>
      <w:tr>
        <w:trPr>
          <w:tblHeader/>
        </w:trPr>
        <w:tc>
          <w:tcPr>
            <w:tcW w:type="dxa" w:w="2450"/>
            <w:tcBorders>
              <w:top w:val="single" w:color="B7CBEA" w:sz="6"/>
              <w:left w:val="single" w:color="B7CBEA" w:sz="6"/>
              <w:bottom w:val="single" w:color="B7CBEA" w:sz="6"/>
              <w:right w:val="single" w:color="B7CBEA" w:sz="6"/>
            </w:tcBorders>
            <w:shd w:fill="16335D" w:color="16335D" w:val="clear"/>
            <w:tcMar>
              <w:top w:type="dxa" w:w="90"/>
              <w:left w:type="dxa" w:w="110"/>
              <w:bottom w:type="dxa" w:w="90"/>
              <w:right w:type="dxa" w:w="110"/>
            </w:tcMar>
          </w:tcPr>
          <w:p>
            <w:pPr>
              <w:spacing w:after="0" w:before="0" w:line="230"/>
            </w:pPr>
            <w:r>
              <w:rPr>
                <w:rFonts w:ascii="Aptos" w:cs="Aptos" w:eastAsia="Aptos" w:hAnsi="Aptos"/>
                <w:b/>
                <w:bCs/>
                <w:i w:val="false"/>
                <w:iCs w:val="false"/>
                <w:color w:val="FFFFFF"/>
                <w:sz w:val="18"/>
                <w:szCs w:val="18"/>
              </w:rPr>
              <w:t xml:space="preserve">Requirement</w:t>
            </w:r>
          </w:p>
        </w:tc>
        <w:tc>
          <w:tcPr>
            <w:tcW w:type="dxa" w:w="6910"/>
            <w:tcBorders>
              <w:top w:val="single" w:color="B7CBEA" w:sz="6"/>
              <w:left w:val="single" w:color="B7CBEA" w:sz="6"/>
              <w:bottom w:val="single" w:color="B7CBEA" w:sz="6"/>
              <w:right w:val="single" w:color="B7CBEA" w:sz="6"/>
            </w:tcBorders>
            <w:shd w:fill="16335D" w:color="16335D" w:val="clear"/>
            <w:tcMar>
              <w:top w:type="dxa" w:w="90"/>
              <w:left w:type="dxa" w:w="110"/>
              <w:bottom w:type="dxa" w:w="90"/>
              <w:right w:type="dxa" w:w="110"/>
            </w:tcMar>
          </w:tcPr>
          <w:p>
            <w:pPr>
              <w:spacing w:after="0" w:before="0" w:line="230"/>
            </w:pPr>
            <w:r>
              <w:rPr>
                <w:rFonts w:ascii="Aptos" w:cs="Aptos" w:eastAsia="Aptos" w:hAnsi="Aptos"/>
                <w:b/>
                <w:bCs/>
                <w:i w:val="false"/>
                <w:iCs w:val="false"/>
                <w:color w:val="FFFFFF"/>
                <w:sz w:val="18"/>
                <w:szCs w:val="18"/>
              </w:rPr>
              <w:t xml:space="preserve">How this submission addresses it</w:t>
            </w:r>
          </w:p>
        </w:tc>
      </w:tr>
      <w:tr>
        <w:tc>
          <w:tcPr>
            <w:tcW w:type="dxa" w:w="2450"/>
            <w:tcBorders>
              <w:top w:val="single" w:color="B7CBEA" w:sz="6"/>
              <w:left w:val="single" w:color="B7CBEA" w:sz="6"/>
              <w:bottom w:val="single" w:color="B7CBEA" w:sz="6"/>
              <w:right w:val="single" w:color="B7CBEA" w:sz="6"/>
            </w:tcBorders>
            <w:tcMar>
              <w:top w:type="dxa" w:w="90"/>
              <w:left w:type="dxa" w:w="110"/>
              <w:bottom w:type="dxa" w:w="90"/>
              <w:right w:type="dxa" w:w="110"/>
            </w:tcMar>
          </w:tcPr>
          <w:p>
            <w:pPr>
              <w:spacing w:after="0" w:before="0" w:line="230"/>
            </w:pPr>
            <w:r>
              <w:rPr>
                <w:rFonts w:ascii="Aptos" w:cs="Aptos" w:eastAsia="Aptos" w:hAnsi="Aptos"/>
                <w:b w:val="false"/>
                <w:bCs w:val="false"/>
                <w:i w:val="false"/>
                <w:iCs w:val="false"/>
                <w:color w:val="16335D"/>
                <w:sz w:val="18"/>
                <w:szCs w:val="18"/>
              </w:rPr>
              <w:t xml:space="preserve">Detailed blueprint</w:t>
            </w:r>
          </w:p>
        </w:tc>
        <w:tc>
          <w:tcPr>
            <w:tcW w:type="dxa" w:w="6910"/>
            <w:tcBorders>
              <w:top w:val="single" w:color="B7CBEA" w:sz="6"/>
              <w:left w:val="single" w:color="B7CBEA" w:sz="6"/>
              <w:bottom w:val="single" w:color="B7CBEA" w:sz="6"/>
              <w:right w:val="single" w:color="B7CBEA" w:sz="6"/>
            </w:tcBorders>
            <w:tcMar>
              <w:top w:type="dxa" w:w="90"/>
              <w:left w:type="dxa" w:w="110"/>
              <w:bottom w:type="dxa" w:w="90"/>
              <w:right w:type="dxa" w:w="110"/>
            </w:tcMar>
          </w:tcPr>
          <w:p>
            <w:pPr>
              <w:spacing w:after="0" w:before="0" w:line="230"/>
            </w:pPr>
            <w:r>
              <w:rPr>
                <w:rFonts w:ascii="Aptos" w:cs="Aptos" w:eastAsia="Aptos" w:hAnsi="Aptos"/>
                <w:b w:val="false"/>
                <w:bCs w:val="false"/>
                <w:i w:val="false"/>
                <w:iCs w:val="false"/>
                <w:color w:val="16335D"/>
                <w:sz w:val="18"/>
                <w:szCs w:val="18"/>
              </w:rPr>
              <w:t xml:space="preserve">Documents the program statement, user workflow, evidence model, coding logic, responsible-AI limits, ROI measurement plan, and future roadmap.</w:t>
            </w:r>
          </w:p>
        </w:tc>
      </w:tr>
      <w:tr>
        <w:tc>
          <w:tcPr>
            <w:tcW w:type="dxa" w:w="2450"/>
            <w:tcBorders>
              <w:top w:val="single" w:color="B7CBEA" w:sz="6"/>
              <w:left w:val="single" w:color="B7CBEA" w:sz="6"/>
              <w:bottom w:val="single" w:color="B7CBEA" w:sz="6"/>
              <w:right w:val="single" w:color="B7CBEA" w:sz="6"/>
            </w:tcBorders>
            <w:tcMar>
              <w:top w:type="dxa" w:w="90"/>
              <w:left w:type="dxa" w:w="110"/>
              <w:bottom w:type="dxa" w:w="90"/>
              <w:right w:type="dxa" w:w="110"/>
            </w:tcMar>
          </w:tcPr>
          <w:p>
            <w:pPr>
              <w:spacing w:after="0" w:before="0" w:line="230"/>
            </w:pPr>
            <w:r>
              <w:rPr>
                <w:rFonts w:ascii="Aptos" w:cs="Aptos" w:eastAsia="Aptos" w:hAnsi="Aptos"/>
                <w:b w:val="false"/>
                <w:bCs w:val="false"/>
                <w:i w:val="false"/>
                <w:iCs w:val="false"/>
                <w:color w:val="16335D"/>
                <w:sz w:val="18"/>
                <w:szCs w:val="18"/>
              </w:rPr>
              <w:t xml:space="preserve">Prototype and detailed code</w:t>
            </w:r>
          </w:p>
        </w:tc>
        <w:tc>
          <w:tcPr>
            <w:tcW w:type="dxa" w:w="6910"/>
            <w:tcBorders>
              <w:top w:val="single" w:color="B7CBEA" w:sz="6"/>
              <w:left w:val="single" w:color="B7CBEA" w:sz="6"/>
              <w:bottom w:val="single" w:color="B7CBEA" w:sz="6"/>
              <w:right w:val="single" w:color="B7CBEA" w:sz="6"/>
            </w:tcBorders>
            <w:tcMar>
              <w:top w:type="dxa" w:w="90"/>
              <w:left w:type="dxa" w:w="110"/>
              <w:bottom w:type="dxa" w:w="90"/>
              <w:right w:type="dxa" w:w="110"/>
            </w:tcMar>
          </w:tcPr>
          <w:p>
            <w:pPr>
              <w:spacing w:after="0" w:before="0" w:line="230"/>
            </w:pPr>
            <w:r>
              <w:rPr>
                <w:rFonts w:ascii="Aptos" w:cs="Aptos" w:eastAsia="Aptos" w:hAnsi="Aptos"/>
                <w:b w:val="false"/>
                <w:bCs w:val="false"/>
                <w:i w:val="false"/>
                <w:iCs w:val="false"/>
                <w:color w:val="16335D"/>
                <w:sz w:val="18"/>
                <w:szCs w:val="18"/>
              </w:rPr>
              <w:t xml:space="preserve">The working Streamlit prototype is demonstrated live; the Blueprint maps its router, page modules, SQLite stores, OKF ingestion, chunking, FTS5/BM25 retrieval, confidence checks, and audit-state logic.</w:t>
            </w:r>
          </w:p>
        </w:tc>
      </w:tr>
      <w:tr>
        <w:tc>
          <w:tcPr>
            <w:tcW w:type="dxa" w:w="2450"/>
            <w:tcBorders>
              <w:top w:val="single" w:color="B7CBEA" w:sz="6"/>
              <w:left w:val="single" w:color="B7CBEA" w:sz="6"/>
              <w:bottom w:val="single" w:color="B7CBEA" w:sz="6"/>
              <w:right w:val="single" w:color="B7CBEA" w:sz="6"/>
            </w:tcBorders>
            <w:tcMar>
              <w:top w:type="dxa" w:w="90"/>
              <w:left w:type="dxa" w:w="110"/>
              <w:bottom w:type="dxa" w:w="90"/>
              <w:right w:type="dxa" w:w="110"/>
            </w:tcMar>
          </w:tcPr>
          <w:p>
            <w:pPr>
              <w:spacing w:after="0" w:before="0" w:line="230"/>
            </w:pPr>
            <w:r>
              <w:rPr>
                <w:rFonts w:ascii="Aptos" w:cs="Aptos" w:eastAsia="Aptos" w:hAnsi="Aptos"/>
                <w:b w:val="false"/>
                <w:bCs w:val="false"/>
                <w:i w:val="false"/>
                <w:iCs w:val="false"/>
                <w:color w:val="16335D"/>
                <w:sz w:val="18"/>
                <w:szCs w:val="18"/>
              </w:rPr>
              <w:t xml:space="preserve">Final results</w:t>
            </w:r>
          </w:p>
        </w:tc>
        <w:tc>
          <w:tcPr>
            <w:tcW w:type="dxa" w:w="6910"/>
            <w:tcBorders>
              <w:top w:val="single" w:color="B7CBEA" w:sz="6"/>
              <w:left w:val="single" w:color="B7CBEA" w:sz="6"/>
              <w:bottom w:val="single" w:color="B7CBEA" w:sz="6"/>
              <w:right w:val="single" w:color="B7CBEA" w:sz="6"/>
            </w:tcBorders>
            <w:tcMar>
              <w:top w:type="dxa" w:w="90"/>
              <w:left w:type="dxa" w:w="110"/>
              <w:bottom w:type="dxa" w:w="90"/>
              <w:right w:type="dxa" w:w="110"/>
            </w:tcMar>
          </w:tcPr>
          <w:p>
            <w:pPr>
              <w:spacing w:after="0" w:before="0" w:line="230"/>
            </w:pPr>
            <w:r>
              <w:rPr>
                <w:rFonts w:ascii="Aptos" w:cs="Aptos" w:eastAsia="Aptos" w:hAnsi="Aptos"/>
                <w:b w:val="false"/>
                <w:bCs w:val="false"/>
                <w:i w:val="false"/>
                <w:iCs w:val="false"/>
                <w:color w:val="16335D"/>
                <w:sz w:val="18"/>
                <w:szCs w:val="18"/>
              </w:rPr>
              <w:t xml:space="preserve">Provides current product captures, validation/deployment evidence, a rebuilt walkthrough plan, and measurable pilot success criteria rather than unsupported performance claims.</w:t>
            </w:r>
          </w:p>
        </w:tc>
      </w:tr>
      <w:tr>
        <w:tc>
          <w:tcPr>
            <w:tcW w:type="dxa" w:w="2450"/>
            <w:tcBorders>
              <w:top w:val="single" w:color="B7CBEA" w:sz="6"/>
              <w:left w:val="single" w:color="B7CBEA" w:sz="6"/>
              <w:bottom w:val="single" w:color="B7CBEA" w:sz="6"/>
              <w:right w:val="single" w:color="B7CBEA" w:sz="6"/>
            </w:tcBorders>
            <w:tcMar>
              <w:top w:type="dxa" w:w="90"/>
              <w:left w:type="dxa" w:w="110"/>
              <w:bottom w:type="dxa" w:w="90"/>
              <w:right w:type="dxa" w:w="110"/>
            </w:tcMar>
          </w:tcPr>
          <w:p>
            <w:pPr>
              <w:spacing w:after="0" w:before="0" w:line="230"/>
            </w:pPr>
            <w:r>
              <w:rPr>
                <w:rFonts w:ascii="Aptos" w:cs="Aptos" w:eastAsia="Aptos" w:hAnsi="Aptos"/>
                <w:b w:val="false"/>
                <w:bCs w:val="false"/>
                <w:i w:val="false"/>
                <w:iCs w:val="false"/>
                <w:color w:val="16335D"/>
                <w:sz w:val="18"/>
                <w:szCs w:val="18"/>
              </w:rPr>
              <w:t xml:space="preserve">15-minute presentation</w:t>
            </w:r>
          </w:p>
        </w:tc>
        <w:tc>
          <w:tcPr>
            <w:tcW w:type="dxa" w:w="6910"/>
            <w:tcBorders>
              <w:top w:val="single" w:color="B7CBEA" w:sz="6"/>
              <w:left w:val="single" w:color="B7CBEA" w:sz="6"/>
              <w:bottom w:val="single" w:color="B7CBEA" w:sz="6"/>
              <w:right w:val="single" w:color="B7CBEA" w:sz="6"/>
            </w:tcBorders>
            <w:tcMar>
              <w:top w:type="dxa" w:w="90"/>
              <w:left w:type="dxa" w:w="110"/>
              <w:bottom w:type="dxa" w:w="90"/>
              <w:right w:type="dxa" w:w="110"/>
            </w:tcMar>
          </w:tcPr>
          <w:p>
            <w:pPr>
              <w:spacing w:after="0" w:before="0" w:line="230"/>
            </w:pPr>
            <w:r>
              <w:rPr>
                <w:rFonts w:ascii="Aptos" w:cs="Aptos" w:eastAsia="Aptos" w:hAnsi="Aptos"/>
                <w:b w:val="false"/>
                <w:bCs w:val="false"/>
                <w:i w:val="false"/>
                <w:iCs w:val="false"/>
                <w:color w:val="16335D"/>
                <w:sz w:val="18"/>
                <w:szCs w:val="18"/>
              </w:rPr>
              <w:t xml:space="preserve">Soumya is the presenter and Laxman is the backup. The concise core deck is timed for 5 minutes 35 seconds, followed by an approximately five-minute live demonstration. Questions are handled within the same 15-minute session; the three FAQ slides are an appendix used only when asked.</w:t>
            </w:r>
          </w:p>
        </w:tc>
      </w:tr>
    </w:tbl>
    <w:p>
      <w:pPr>
        <w:pStyle w:val="Heading2"/>
        <w:spacing w:after="130" w:before="210"/>
      </w:pPr>
      <w:r>
        <w:t xml:space="preserve">Project contributors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50"/>
        <w:gridCol w:w="6710"/>
      </w:tblGrid>
      <w:tr>
        <w:trPr>
          <w:tblHeader/>
        </w:trPr>
        <w:tc>
          <w:tcPr>
            <w:tcW w:type="dxa" w:w="2650"/>
            <w:tcBorders>
              <w:top w:val="single" w:color="B7CBEA" w:sz="6"/>
              <w:left w:val="single" w:color="B7CBEA" w:sz="6"/>
              <w:bottom w:val="single" w:color="B7CBEA" w:sz="6"/>
              <w:right w:val="single" w:color="B7CBEA" w:sz="6"/>
            </w:tcBorders>
            <w:shd w:fill="16335D" w:color="16335D" w:val="clear"/>
            <w:tcMar>
              <w:top w:type="dxa" w:w="90"/>
              <w:left w:type="dxa" w:w="110"/>
              <w:bottom w:type="dxa" w:w="90"/>
              <w:right w:type="dxa" w:w="110"/>
            </w:tcMar>
          </w:tcPr>
          <w:p>
            <w:pPr>
              <w:spacing w:after="0" w:before="0" w:line="230"/>
            </w:pPr>
            <w:r>
              <w:rPr>
                <w:rFonts w:ascii="Aptos" w:cs="Aptos" w:eastAsia="Aptos" w:hAnsi="Aptos"/>
                <w:b/>
                <w:bCs/>
                <w:i w:val="false"/>
                <w:iCs w:val="false"/>
                <w:color w:val="FFFFFF"/>
                <w:sz w:val="18"/>
                <w:szCs w:val="18"/>
              </w:rPr>
              <w:t xml:space="preserve">Contributor</w:t>
            </w:r>
          </w:p>
        </w:tc>
        <w:tc>
          <w:tcPr>
            <w:tcW w:type="dxa" w:w="6710"/>
            <w:tcBorders>
              <w:top w:val="single" w:color="B7CBEA" w:sz="6"/>
              <w:left w:val="single" w:color="B7CBEA" w:sz="6"/>
              <w:bottom w:val="single" w:color="B7CBEA" w:sz="6"/>
              <w:right w:val="single" w:color="B7CBEA" w:sz="6"/>
            </w:tcBorders>
            <w:shd w:fill="16335D" w:color="16335D" w:val="clear"/>
            <w:tcMar>
              <w:top w:type="dxa" w:w="90"/>
              <w:left w:type="dxa" w:w="110"/>
              <w:bottom w:type="dxa" w:w="90"/>
              <w:right w:type="dxa" w:w="110"/>
            </w:tcMar>
          </w:tcPr>
          <w:p>
            <w:pPr>
              <w:spacing w:after="0" w:before="0" w:line="230"/>
            </w:pPr>
            <w:r>
              <w:rPr>
                <w:rFonts w:ascii="Aptos" w:cs="Aptos" w:eastAsia="Aptos" w:hAnsi="Aptos"/>
                <w:b/>
                <w:bCs/>
                <w:i w:val="false"/>
                <w:iCs w:val="false"/>
                <w:color w:val="FFFFFF"/>
                <w:sz w:val="18"/>
                <w:szCs w:val="18"/>
              </w:rPr>
              <w:t xml:space="preserve">Project focus</w:t>
            </w:r>
          </w:p>
        </w:tc>
      </w:tr>
      <w:tr>
        <w:tc>
          <w:tcPr>
            <w:tcW w:type="dxa" w:w="2650"/>
            <w:tcBorders>
              <w:top w:val="single" w:color="B7CBEA" w:sz="6"/>
              <w:left w:val="single" w:color="B7CBEA" w:sz="6"/>
              <w:bottom w:val="single" w:color="B7CBEA" w:sz="6"/>
              <w:right w:val="single" w:color="B7CBEA" w:sz="6"/>
            </w:tcBorders>
            <w:tcMar>
              <w:top w:type="dxa" w:w="90"/>
              <w:left w:type="dxa" w:w="110"/>
              <w:bottom w:type="dxa" w:w="90"/>
              <w:right w:type="dxa" w:w="110"/>
            </w:tcMar>
          </w:tcPr>
          <w:p>
            <w:pPr>
              <w:spacing w:after="0" w:before="0" w:line="230"/>
            </w:pPr>
            <w:r>
              <w:rPr>
                <w:rFonts w:ascii="Aptos" w:cs="Aptos" w:eastAsia="Aptos" w:hAnsi="Aptos"/>
                <w:b w:val="false"/>
                <w:bCs w:val="false"/>
                <w:i w:val="false"/>
                <w:iCs w:val="false"/>
                <w:color w:val="16335D"/>
                <w:sz w:val="18"/>
                <w:szCs w:val="18"/>
              </w:rPr>
              <w:t xml:space="preserve">Rahul Chainani</w:t>
            </w:r>
          </w:p>
        </w:tc>
        <w:tc>
          <w:tcPr>
            <w:tcW w:type="dxa" w:w="6710"/>
            <w:tcBorders>
              <w:top w:val="single" w:color="B7CBEA" w:sz="6"/>
              <w:left w:val="single" w:color="B7CBEA" w:sz="6"/>
              <w:bottom w:val="single" w:color="B7CBEA" w:sz="6"/>
              <w:right w:val="single" w:color="B7CBEA" w:sz="6"/>
            </w:tcBorders>
            <w:tcMar>
              <w:top w:type="dxa" w:w="90"/>
              <w:left w:type="dxa" w:w="110"/>
              <w:bottom w:type="dxa" w:w="90"/>
              <w:right w:type="dxa" w:w="110"/>
            </w:tcMar>
          </w:tcPr>
          <w:p>
            <w:pPr>
              <w:spacing w:after="0" w:before="0" w:line="230"/>
            </w:pPr>
            <w:r>
              <w:rPr>
                <w:rFonts w:ascii="Aptos" w:cs="Aptos" w:eastAsia="Aptos" w:hAnsi="Aptos"/>
                <w:b w:val="false"/>
                <w:bCs w:val="false"/>
                <w:i w:val="false"/>
                <w:iCs w:val="false"/>
                <w:color w:val="16335D"/>
                <w:sz w:val="18"/>
                <w:szCs w:val="18"/>
              </w:rPr>
              <w:t xml:space="preserve">Application development and integration.</w:t>
            </w:r>
          </w:p>
        </w:tc>
      </w:tr>
      <w:tr>
        <w:tc>
          <w:tcPr>
            <w:tcW w:type="dxa" w:w="2650"/>
            <w:tcBorders>
              <w:top w:val="single" w:color="B7CBEA" w:sz="6"/>
              <w:left w:val="single" w:color="B7CBEA" w:sz="6"/>
              <w:bottom w:val="single" w:color="B7CBEA" w:sz="6"/>
              <w:right w:val="single" w:color="B7CBEA" w:sz="6"/>
            </w:tcBorders>
            <w:tcMar>
              <w:top w:type="dxa" w:w="90"/>
              <w:left w:type="dxa" w:w="110"/>
              <w:bottom w:type="dxa" w:w="90"/>
              <w:right w:type="dxa" w:w="110"/>
            </w:tcMar>
          </w:tcPr>
          <w:p>
            <w:pPr>
              <w:spacing w:after="0" w:before="0" w:line="230"/>
            </w:pPr>
            <w:r>
              <w:rPr>
                <w:rFonts w:ascii="Aptos" w:cs="Aptos" w:eastAsia="Aptos" w:hAnsi="Aptos"/>
                <w:b w:val="false"/>
                <w:bCs w:val="false"/>
                <w:i w:val="false"/>
                <w:iCs w:val="false"/>
                <w:color w:val="16335D"/>
                <w:sz w:val="18"/>
                <w:szCs w:val="18"/>
              </w:rPr>
              <w:t xml:space="preserve">Pankaj Bharsakale</w:t>
            </w:r>
          </w:p>
        </w:tc>
        <w:tc>
          <w:tcPr>
            <w:tcW w:type="dxa" w:w="6710"/>
            <w:tcBorders>
              <w:top w:val="single" w:color="B7CBEA" w:sz="6"/>
              <w:left w:val="single" w:color="B7CBEA" w:sz="6"/>
              <w:bottom w:val="single" w:color="B7CBEA" w:sz="6"/>
              <w:right w:val="single" w:color="B7CBEA" w:sz="6"/>
            </w:tcBorders>
            <w:tcMar>
              <w:top w:type="dxa" w:w="90"/>
              <w:left w:type="dxa" w:w="110"/>
              <w:bottom w:type="dxa" w:w="90"/>
              <w:right w:type="dxa" w:w="110"/>
            </w:tcMar>
          </w:tcPr>
          <w:p>
            <w:pPr>
              <w:spacing w:after="0" w:before="0" w:line="230"/>
            </w:pPr>
            <w:r>
              <w:rPr>
                <w:rFonts w:ascii="Aptos" w:cs="Aptos" w:eastAsia="Aptos" w:hAnsi="Aptos"/>
                <w:b w:val="false"/>
                <w:bCs w:val="false"/>
                <w:i w:val="false"/>
                <w:iCs w:val="false"/>
                <w:color w:val="16335D"/>
                <w:sz w:val="18"/>
                <w:szCs w:val="18"/>
              </w:rPr>
              <w:t xml:space="preserve">AI workflow and evidence review.</w:t>
            </w:r>
          </w:p>
        </w:tc>
      </w:tr>
      <w:tr>
        <w:tc>
          <w:tcPr>
            <w:tcW w:type="dxa" w:w="2650"/>
            <w:tcBorders>
              <w:top w:val="single" w:color="B7CBEA" w:sz="6"/>
              <w:left w:val="single" w:color="B7CBEA" w:sz="6"/>
              <w:bottom w:val="single" w:color="B7CBEA" w:sz="6"/>
              <w:right w:val="single" w:color="B7CBEA" w:sz="6"/>
            </w:tcBorders>
            <w:tcMar>
              <w:top w:type="dxa" w:w="90"/>
              <w:left w:type="dxa" w:w="110"/>
              <w:bottom w:type="dxa" w:w="90"/>
              <w:right w:type="dxa" w:w="110"/>
            </w:tcMar>
          </w:tcPr>
          <w:p>
            <w:pPr>
              <w:spacing w:after="0" w:before="0" w:line="230"/>
            </w:pPr>
            <w:r>
              <w:rPr>
                <w:rFonts w:ascii="Aptos" w:cs="Aptos" w:eastAsia="Aptos" w:hAnsi="Aptos"/>
                <w:b w:val="false"/>
                <w:bCs w:val="false"/>
                <w:i w:val="false"/>
                <w:iCs w:val="false"/>
                <w:color w:val="16335D"/>
                <w:sz w:val="18"/>
                <w:szCs w:val="18"/>
              </w:rPr>
              <w:t xml:space="preserve">Lakshmi Dudgikar</w:t>
            </w:r>
          </w:p>
        </w:tc>
        <w:tc>
          <w:tcPr>
            <w:tcW w:type="dxa" w:w="6710"/>
            <w:tcBorders>
              <w:top w:val="single" w:color="B7CBEA" w:sz="6"/>
              <w:left w:val="single" w:color="B7CBEA" w:sz="6"/>
              <w:bottom w:val="single" w:color="B7CBEA" w:sz="6"/>
              <w:right w:val="single" w:color="B7CBEA" w:sz="6"/>
            </w:tcBorders>
            <w:tcMar>
              <w:top w:type="dxa" w:w="90"/>
              <w:left w:type="dxa" w:w="110"/>
              <w:bottom w:type="dxa" w:w="90"/>
              <w:right w:type="dxa" w:w="110"/>
            </w:tcMar>
          </w:tcPr>
          <w:p>
            <w:pPr>
              <w:spacing w:after="0" w:before="0" w:line="230"/>
            </w:pPr>
            <w:r>
              <w:rPr>
                <w:rFonts w:ascii="Aptos" w:cs="Aptos" w:eastAsia="Aptos" w:hAnsi="Aptos"/>
                <w:b w:val="false"/>
                <w:bCs w:val="false"/>
                <w:i w:val="false"/>
                <w:iCs w:val="false"/>
                <w:color w:val="16335D"/>
                <w:sz w:val="18"/>
                <w:szCs w:val="18"/>
              </w:rPr>
              <w:t xml:space="preserve">Requirements and case-study mapping.</w:t>
            </w:r>
          </w:p>
        </w:tc>
      </w:tr>
      <w:tr>
        <w:tc>
          <w:tcPr>
            <w:tcW w:type="dxa" w:w="2650"/>
            <w:tcBorders>
              <w:top w:val="single" w:color="B7CBEA" w:sz="6"/>
              <w:left w:val="single" w:color="B7CBEA" w:sz="6"/>
              <w:bottom w:val="single" w:color="B7CBEA" w:sz="6"/>
              <w:right w:val="single" w:color="B7CBEA" w:sz="6"/>
            </w:tcBorders>
            <w:tcMar>
              <w:top w:type="dxa" w:w="90"/>
              <w:left w:type="dxa" w:w="110"/>
              <w:bottom w:type="dxa" w:w="90"/>
              <w:right w:type="dxa" w:w="110"/>
            </w:tcMar>
          </w:tcPr>
          <w:p>
            <w:pPr>
              <w:spacing w:after="0" w:before="0" w:line="230"/>
            </w:pPr>
            <w:r>
              <w:rPr>
                <w:rFonts w:ascii="Aptos" w:cs="Aptos" w:eastAsia="Aptos" w:hAnsi="Aptos"/>
                <w:b w:val="false"/>
                <w:bCs w:val="false"/>
                <w:i w:val="false"/>
                <w:iCs w:val="false"/>
                <w:color w:val="16335D"/>
                <w:sz w:val="18"/>
                <w:szCs w:val="18"/>
              </w:rPr>
              <w:t xml:space="preserve">Rahul Sharma</w:t>
            </w:r>
          </w:p>
        </w:tc>
        <w:tc>
          <w:tcPr>
            <w:tcW w:type="dxa" w:w="6710"/>
            <w:tcBorders>
              <w:top w:val="single" w:color="B7CBEA" w:sz="6"/>
              <w:left w:val="single" w:color="B7CBEA" w:sz="6"/>
              <w:bottom w:val="single" w:color="B7CBEA" w:sz="6"/>
              <w:right w:val="single" w:color="B7CBEA" w:sz="6"/>
            </w:tcBorders>
            <w:tcMar>
              <w:top w:type="dxa" w:w="90"/>
              <w:left w:type="dxa" w:w="110"/>
              <w:bottom w:type="dxa" w:w="90"/>
              <w:right w:type="dxa" w:w="110"/>
            </w:tcMar>
          </w:tcPr>
          <w:p>
            <w:pPr>
              <w:spacing w:after="0" w:before="0" w:line="230"/>
            </w:pPr>
            <w:r>
              <w:rPr>
                <w:rFonts w:ascii="Aptos" w:cs="Aptos" w:eastAsia="Aptos" w:hAnsi="Aptos"/>
                <w:b w:val="false"/>
                <w:bCs w:val="false"/>
                <w:i w:val="false"/>
                <w:iCs w:val="false"/>
                <w:color w:val="16335D"/>
                <w:sz w:val="18"/>
                <w:szCs w:val="18"/>
              </w:rPr>
              <w:t xml:space="preserve">Quality assurance and edge cases.</w:t>
            </w:r>
          </w:p>
        </w:tc>
      </w:tr>
      <w:tr>
        <w:tc>
          <w:tcPr>
            <w:tcW w:type="dxa" w:w="2650"/>
            <w:tcBorders>
              <w:top w:val="single" w:color="B7CBEA" w:sz="6"/>
              <w:left w:val="single" w:color="B7CBEA" w:sz="6"/>
              <w:bottom w:val="single" w:color="B7CBEA" w:sz="6"/>
              <w:right w:val="single" w:color="B7CBEA" w:sz="6"/>
            </w:tcBorders>
            <w:tcMar>
              <w:top w:type="dxa" w:w="90"/>
              <w:left w:type="dxa" w:w="110"/>
              <w:bottom w:type="dxa" w:w="90"/>
              <w:right w:type="dxa" w:w="110"/>
            </w:tcMar>
          </w:tcPr>
          <w:p>
            <w:pPr>
              <w:spacing w:after="0" w:before="0" w:line="230"/>
            </w:pPr>
            <w:r>
              <w:rPr>
                <w:rFonts w:ascii="Aptos" w:cs="Aptos" w:eastAsia="Aptos" w:hAnsi="Aptos"/>
                <w:b w:val="false"/>
                <w:bCs w:val="false"/>
                <w:i w:val="false"/>
                <w:iCs w:val="false"/>
                <w:color w:val="16335D"/>
                <w:sz w:val="18"/>
                <w:szCs w:val="18"/>
              </w:rPr>
              <w:t xml:space="preserve">Laxman Singh</w:t>
            </w:r>
          </w:p>
        </w:tc>
        <w:tc>
          <w:tcPr>
            <w:tcW w:type="dxa" w:w="6710"/>
            <w:tcBorders>
              <w:top w:val="single" w:color="B7CBEA" w:sz="6"/>
              <w:left w:val="single" w:color="B7CBEA" w:sz="6"/>
              <w:bottom w:val="single" w:color="B7CBEA" w:sz="6"/>
              <w:right w:val="single" w:color="B7CBEA" w:sz="6"/>
            </w:tcBorders>
            <w:tcMar>
              <w:top w:type="dxa" w:w="90"/>
              <w:left w:type="dxa" w:w="110"/>
              <w:bottom w:type="dxa" w:w="90"/>
              <w:right w:type="dxa" w:w="110"/>
            </w:tcMar>
          </w:tcPr>
          <w:p>
            <w:pPr>
              <w:spacing w:after="0" w:before="0" w:line="230"/>
            </w:pPr>
            <w:r>
              <w:rPr>
                <w:rFonts w:ascii="Aptos" w:cs="Aptos" w:eastAsia="Aptos" w:hAnsi="Aptos"/>
                <w:b w:val="false"/>
                <w:bCs w:val="false"/>
                <w:i w:val="false"/>
                <w:iCs w:val="false"/>
                <w:color w:val="16335D"/>
                <w:sz w:val="18"/>
                <w:szCs w:val="18"/>
              </w:rPr>
              <w:t xml:space="preserve">User experience and product walkthrough.</w:t>
            </w:r>
          </w:p>
        </w:tc>
      </w:tr>
      <w:tr>
        <w:tc>
          <w:tcPr>
            <w:tcW w:type="dxa" w:w="2650"/>
            <w:tcBorders>
              <w:top w:val="single" w:color="B7CBEA" w:sz="6"/>
              <w:left w:val="single" w:color="B7CBEA" w:sz="6"/>
              <w:bottom w:val="single" w:color="B7CBEA" w:sz="6"/>
              <w:right w:val="single" w:color="B7CBEA" w:sz="6"/>
            </w:tcBorders>
            <w:tcMar>
              <w:top w:type="dxa" w:w="90"/>
              <w:left w:type="dxa" w:w="110"/>
              <w:bottom w:type="dxa" w:w="90"/>
              <w:right w:type="dxa" w:w="110"/>
            </w:tcMar>
          </w:tcPr>
          <w:p>
            <w:pPr>
              <w:spacing w:after="0" w:before="0" w:line="230"/>
            </w:pPr>
            <w:r>
              <w:rPr>
                <w:rFonts w:ascii="Aptos" w:cs="Aptos" w:eastAsia="Aptos" w:hAnsi="Aptos"/>
                <w:b w:val="false"/>
                <w:bCs w:val="false"/>
                <w:i w:val="false"/>
                <w:iCs w:val="false"/>
                <w:color w:val="16335D"/>
                <w:sz w:val="18"/>
                <w:szCs w:val="18"/>
              </w:rPr>
              <w:t xml:space="preserve">Soumya</w:t>
            </w:r>
          </w:p>
        </w:tc>
        <w:tc>
          <w:tcPr>
            <w:tcW w:type="dxa" w:w="6710"/>
            <w:tcBorders>
              <w:top w:val="single" w:color="B7CBEA" w:sz="6"/>
              <w:left w:val="single" w:color="B7CBEA" w:sz="6"/>
              <w:bottom w:val="single" w:color="B7CBEA" w:sz="6"/>
              <w:right w:val="single" w:color="B7CBEA" w:sz="6"/>
            </w:tcBorders>
            <w:tcMar>
              <w:top w:type="dxa" w:w="90"/>
              <w:left w:type="dxa" w:w="110"/>
              <w:bottom w:type="dxa" w:w="90"/>
              <w:right w:type="dxa" w:w="110"/>
            </w:tcMar>
          </w:tcPr>
          <w:p>
            <w:pPr>
              <w:spacing w:after="0" w:before="0" w:line="230"/>
            </w:pPr>
            <w:r>
              <w:rPr>
                <w:rFonts w:ascii="Aptos" w:cs="Aptos" w:eastAsia="Aptos" w:hAnsi="Aptos"/>
                <w:b w:val="false"/>
                <w:bCs w:val="false"/>
                <w:i w:val="false"/>
                <w:iCs w:val="false"/>
                <w:color w:val="16335D"/>
                <w:sz w:val="18"/>
                <w:szCs w:val="18"/>
              </w:rPr>
              <w:t xml:space="preserve">Team coordination and presentation.</w:t>
            </w:r>
          </w:p>
        </w:tc>
      </w:tr>
      <w:tr>
        <w:tc>
          <w:tcPr>
            <w:tcW w:type="dxa" w:w="2650"/>
            <w:tcBorders>
              <w:top w:val="single" w:color="B7CBEA" w:sz="6"/>
              <w:left w:val="single" w:color="B7CBEA" w:sz="6"/>
              <w:bottom w:val="single" w:color="B7CBEA" w:sz="6"/>
              <w:right w:val="single" w:color="B7CBEA" w:sz="6"/>
            </w:tcBorders>
            <w:tcMar>
              <w:top w:type="dxa" w:w="90"/>
              <w:left w:type="dxa" w:w="110"/>
              <w:bottom w:type="dxa" w:w="90"/>
              <w:right w:type="dxa" w:w="110"/>
            </w:tcMar>
          </w:tcPr>
          <w:p>
            <w:pPr>
              <w:spacing w:after="0" w:before="0" w:line="230"/>
            </w:pPr>
            <w:r>
              <w:rPr>
                <w:rFonts w:ascii="Aptos" w:cs="Aptos" w:eastAsia="Aptos" w:hAnsi="Aptos"/>
                <w:b w:val="false"/>
                <w:bCs w:val="false"/>
                <w:i w:val="false"/>
                <w:iCs w:val="false"/>
                <w:color w:val="16335D"/>
                <w:sz w:val="18"/>
                <w:szCs w:val="18"/>
              </w:rPr>
              <w:t xml:space="preserve">Sweta Singh</w:t>
            </w:r>
          </w:p>
        </w:tc>
        <w:tc>
          <w:tcPr>
            <w:tcW w:type="dxa" w:w="6710"/>
            <w:tcBorders>
              <w:top w:val="single" w:color="B7CBEA" w:sz="6"/>
              <w:left w:val="single" w:color="B7CBEA" w:sz="6"/>
              <w:bottom w:val="single" w:color="B7CBEA" w:sz="6"/>
              <w:right w:val="single" w:color="B7CBEA" w:sz="6"/>
            </w:tcBorders>
            <w:tcMar>
              <w:top w:type="dxa" w:w="90"/>
              <w:left w:type="dxa" w:w="110"/>
              <w:bottom w:type="dxa" w:w="90"/>
              <w:right w:type="dxa" w:w="110"/>
            </w:tcMar>
          </w:tcPr>
          <w:p>
            <w:pPr>
              <w:spacing w:after="0" w:before="0" w:line="230"/>
            </w:pPr>
            <w:r>
              <w:rPr>
                <w:rFonts w:ascii="Aptos" w:cs="Aptos" w:eastAsia="Aptos" w:hAnsi="Aptos"/>
                <w:b w:val="false"/>
                <w:bCs w:val="false"/>
                <w:i w:val="false"/>
                <w:iCs w:val="false"/>
                <w:color w:val="16335D"/>
                <w:sz w:val="18"/>
                <w:szCs w:val="18"/>
              </w:rPr>
              <w:t xml:space="preserve">Course linkage and project explanation.</w:t>
            </w:r>
          </w:p>
        </w:tc>
      </w:tr>
    </w:tbl>
    <w:p>
      <w:r>
        <w:br w:type="page"/>
      </w:r>
    </w:p>
    <w:p>
      <w:pPr>
        <w:pStyle w:val="Heading1"/>
        <w:spacing w:after="130" w:before="300"/>
      </w:pPr>
      <w:r>
        <w:t xml:space="preserve">1. Product intent and design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CBEA" w:sz="6"/>
              <w:left w:val="single" w:color="0B8C88" w:sz="6"/>
              <w:bottom w:val="single" w:color="B7CBEA" w:sz="6"/>
              <w:right w:val="single" w:color="0B8C88" w:sz="6"/>
            </w:tcBorders>
            <w:shd w:fill="F4F8FF" w:color="F4F8FF" w:val="clear"/>
            <w:tcMar>
              <w:top w:type="dxa" w:w="130"/>
              <w:left w:type="dxa" w:w="180"/>
              <w:bottom w:type="dxa" w:w="130"/>
              <w:right w:type="dxa" w:w="180"/>
            </w:tcMar>
          </w:tcPr>
          <w:p>
            <w:pPr>
              <w:spacing w:after="45" w:before="0" w:line="276"/>
            </w:pPr>
            <w:r>
              <w:rPr>
                <w:rFonts w:ascii="Aptos" w:cs="Aptos" w:eastAsia="Aptos" w:hAnsi="Aptos"/>
                <w:b/>
                <w:bCs/>
                <w:i w:val="false"/>
                <w:iCs w:val="false"/>
                <w:color w:val="0B8C88"/>
                <w:sz w:val="20"/>
                <w:szCs w:val="20"/>
              </w:rPr>
              <w:t xml:space="preserve">Program statement</w:t>
            </w:r>
          </w:p>
          <w:p>
            <w:pPr>
              <w:spacing w:after="0" w:before="0" w:line="254"/>
            </w:pPr>
            <w:r>
              <w:rPr>
                <w:rFonts w:ascii="Aptos" w:cs="Aptos" w:eastAsia="Aptos" w:hAnsi="Aptos"/>
                <w:b w:val="false"/>
                <w:bCs w:val="false"/>
                <w:i w:val="false"/>
                <w:iCs w:val="false"/>
                <w:color w:val="16335D"/>
                <w:sz w:val="19"/>
                <w:szCs w:val="19"/>
              </w:rPr>
              <w:t xml:space="preserve">InvestigateIQ is a capstone program to design and demonstrate a transparent, AI-assisted workflow for fictional AML case review. The program connects a stored alert to inspectable case material, source chunks, bounded assistance, evidence-confidence limitations, a named human rationale, and a separate Compliance review. Its success is measured by traceability, review clarity, and responsible human oversight—not by autonomous decisions, legal conclusions, or external filing.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7CBEA" w:sz="6"/>
              <w:left w:val="single" w:color="B7CBEA" w:sz="6"/>
              <w:bottom w:val="single" w:color="B7CBEA" w:sz="6"/>
              <w:right w:val="single" w:color="B7CBEA" w:sz="6"/>
            </w:tcBorders>
            <w:shd w:fill="16335D" w:color="16335D" w:val="clear"/>
            <w:tcMar>
              <w:top w:type="dxa" w:w="90"/>
              <w:left w:type="dxa" w:w="110"/>
              <w:bottom w:type="dxa" w:w="90"/>
              <w:right w:type="dxa" w:w="110"/>
            </w:tcMar>
          </w:tcPr>
          <w:p>
            <w:pPr>
              <w:spacing w:after="0" w:before="0" w:line="230"/>
            </w:pPr>
            <w:r>
              <w:rPr>
                <w:rFonts w:ascii="Aptos" w:cs="Aptos" w:eastAsia="Aptos" w:hAnsi="Aptos"/>
                <w:b/>
                <w:bCs/>
                <w:i w:val="false"/>
                <w:iCs w:val="false"/>
                <w:color w:val="FFFFFF"/>
                <w:sz w:val="18"/>
                <w:szCs w:val="18"/>
              </w:rPr>
              <w:t xml:space="preserve">Program element</w:t>
            </w:r>
          </w:p>
        </w:tc>
        <w:tc>
          <w:tcPr>
            <w:tcW w:type="dxa" w:w="6960"/>
            <w:tcBorders>
              <w:top w:val="single" w:color="B7CBEA" w:sz="6"/>
              <w:left w:val="single" w:color="B7CBEA" w:sz="6"/>
              <w:bottom w:val="single" w:color="B7CBEA" w:sz="6"/>
              <w:right w:val="single" w:color="B7CBEA" w:sz="6"/>
            </w:tcBorders>
            <w:shd w:fill="16335D" w:color="16335D" w:val="clear"/>
            <w:tcMar>
              <w:top w:type="dxa" w:w="90"/>
              <w:left w:type="dxa" w:w="110"/>
              <w:bottom w:type="dxa" w:w="90"/>
              <w:right w:type="dxa" w:w="110"/>
            </w:tcMar>
          </w:tcPr>
          <w:p>
            <w:pPr>
              <w:spacing w:after="0" w:before="0" w:line="230"/>
            </w:pPr>
            <w:r>
              <w:rPr>
                <w:rFonts w:ascii="Aptos" w:cs="Aptos" w:eastAsia="Aptos" w:hAnsi="Aptos"/>
                <w:b/>
                <w:bCs/>
                <w:i w:val="false"/>
                <w:iCs w:val="false"/>
                <w:color w:val="FFFFFF"/>
                <w:sz w:val="18"/>
                <w:szCs w:val="18"/>
              </w:rPr>
              <w:t xml:space="preserve">Defined commitment</w:t>
            </w:r>
          </w:p>
        </w:tc>
      </w:tr>
      <w:tr>
        <w:tc>
          <w:tcPr>
            <w:tcW w:type="dxa" w:w="2400"/>
            <w:tcBorders>
              <w:top w:val="single" w:color="B7CBEA" w:sz="6"/>
              <w:left w:val="single" w:color="B7CBEA" w:sz="6"/>
              <w:bottom w:val="single" w:color="B7CBEA" w:sz="6"/>
              <w:right w:val="single" w:color="B7CBEA" w:sz="6"/>
            </w:tcBorders>
            <w:tcMar>
              <w:top w:type="dxa" w:w="90"/>
              <w:left w:type="dxa" w:w="110"/>
              <w:bottom w:type="dxa" w:w="90"/>
              <w:right w:type="dxa" w:w="110"/>
            </w:tcMar>
          </w:tcPr>
          <w:p>
            <w:pPr>
              <w:spacing w:after="0" w:before="0" w:line="230"/>
            </w:pPr>
            <w:r>
              <w:rPr>
                <w:rFonts w:ascii="Aptos" w:cs="Aptos" w:eastAsia="Aptos" w:hAnsi="Aptos"/>
                <w:b w:val="false"/>
                <w:bCs w:val="false"/>
                <w:i w:val="false"/>
                <w:iCs w:val="false"/>
                <w:color w:val="16335D"/>
                <w:sz w:val="18"/>
                <w:szCs w:val="18"/>
              </w:rPr>
              <w:t xml:space="preserve">Problem</w:t>
            </w:r>
          </w:p>
        </w:tc>
        <w:tc>
          <w:tcPr>
            <w:tcW w:type="dxa" w:w="6960"/>
            <w:tcBorders>
              <w:top w:val="single" w:color="B7CBEA" w:sz="6"/>
              <w:left w:val="single" w:color="B7CBEA" w:sz="6"/>
              <w:bottom w:val="single" w:color="B7CBEA" w:sz="6"/>
              <w:right w:val="single" w:color="B7CBEA" w:sz="6"/>
            </w:tcBorders>
            <w:tcMar>
              <w:top w:type="dxa" w:w="90"/>
              <w:left w:type="dxa" w:w="110"/>
              <w:bottom w:type="dxa" w:w="90"/>
              <w:right w:type="dxa" w:w="110"/>
            </w:tcMar>
          </w:tcPr>
          <w:p>
            <w:pPr>
              <w:spacing w:after="0" w:before="0" w:line="230"/>
            </w:pPr>
            <w:r>
              <w:rPr>
                <w:rFonts w:ascii="Aptos" w:cs="Aptos" w:eastAsia="Aptos" w:hAnsi="Aptos"/>
                <w:b w:val="false"/>
                <w:bCs w:val="false"/>
                <w:i w:val="false"/>
                <w:iCs w:val="false"/>
                <w:color w:val="16335D"/>
                <w:sz w:val="18"/>
                <w:szCs w:val="18"/>
              </w:rPr>
              <w:t xml:space="preserve">A monitoring alert alone does not show the supporting material, missing evidence, or accountable next step.</w:t>
            </w:r>
          </w:p>
        </w:tc>
      </w:tr>
      <w:tr>
        <w:tc>
          <w:tcPr>
            <w:tcW w:type="dxa" w:w="2400"/>
            <w:tcBorders>
              <w:top w:val="single" w:color="B7CBEA" w:sz="6"/>
              <w:left w:val="single" w:color="B7CBEA" w:sz="6"/>
              <w:bottom w:val="single" w:color="B7CBEA" w:sz="6"/>
              <w:right w:val="single" w:color="B7CBEA" w:sz="6"/>
            </w:tcBorders>
            <w:tcMar>
              <w:top w:type="dxa" w:w="90"/>
              <w:left w:type="dxa" w:w="110"/>
              <w:bottom w:type="dxa" w:w="90"/>
              <w:right w:type="dxa" w:w="110"/>
            </w:tcMar>
          </w:tcPr>
          <w:p>
            <w:pPr>
              <w:spacing w:after="0" w:before="0" w:line="230"/>
            </w:pPr>
            <w:r>
              <w:rPr>
                <w:rFonts w:ascii="Aptos" w:cs="Aptos" w:eastAsia="Aptos" w:hAnsi="Aptos"/>
                <w:b w:val="false"/>
                <w:bCs w:val="false"/>
                <w:i w:val="false"/>
                <w:iCs w:val="false"/>
                <w:color w:val="16335D"/>
                <w:sz w:val="18"/>
                <w:szCs w:val="18"/>
              </w:rPr>
              <w:t xml:space="preserve">Primary users</w:t>
            </w:r>
          </w:p>
        </w:tc>
        <w:tc>
          <w:tcPr>
            <w:tcW w:type="dxa" w:w="6960"/>
            <w:tcBorders>
              <w:top w:val="single" w:color="B7CBEA" w:sz="6"/>
              <w:left w:val="single" w:color="B7CBEA" w:sz="6"/>
              <w:bottom w:val="single" w:color="B7CBEA" w:sz="6"/>
              <w:right w:val="single" w:color="B7CBEA" w:sz="6"/>
            </w:tcBorders>
            <w:tcMar>
              <w:top w:type="dxa" w:w="90"/>
              <w:left w:type="dxa" w:w="110"/>
              <w:bottom w:type="dxa" w:w="90"/>
              <w:right w:type="dxa" w:w="110"/>
            </w:tcMar>
          </w:tcPr>
          <w:p>
            <w:pPr>
              <w:spacing w:after="0" w:before="0" w:line="230"/>
            </w:pPr>
            <w:r>
              <w:rPr>
                <w:rFonts w:ascii="Aptos" w:cs="Aptos" w:eastAsia="Aptos" w:hAnsi="Aptos"/>
                <w:b w:val="false"/>
                <w:bCs w:val="false"/>
                <w:i w:val="false"/>
                <w:iCs w:val="false"/>
                <w:color w:val="16335D"/>
                <w:sz w:val="18"/>
                <w:szCs w:val="18"/>
              </w:rPr>
              <w:t xml:space="preserve">Investigators, Team Leads, Compliance Officers, and Admin reviewers in a fictional learning environment.</w:t>
            </w:r>
          </w:p>
        </w:tc>
      </w:tr>
      <w:tr>
        <w:tc>
          <w:tcPr>
            <w:tcW w:type="dxa" w:w="2400"/>
            <w:tcBorders>
              <w:top w:val="single" w:color="B7CBEA" w:sz="6"/>
              <w:left w:val="single" w:color="B7CBEA" w:sz="6"/>
              <w:bottom w:val="single" w:color="B7CBEA" w:sz="6"/>
              <w:right w:val="single" w:color="B7CBEA" w:sz="6"/>
            </w:tcBorders>
            <w:tcMar>
              <w:top w:type="dxa" w:w="90"/>
              <w:left w:type="dxa" w:w="110"/>
              <w:bottom w:type="dxa" w:w="90"/>
              <w:right w:type="dxa" w:w="110"/>
            </w:tcMar>
          </w:tcPr>
          <w:p>
            <w:pPr>
              <w:spacing w:after="0" w:before="0" w:line="230"/>
            </w:pPr>
            <w:r>
              <w:rPr>
                <w:rFonts w:ascii="Aptos" w:cs="Aptos" w:eastAsia="Aptos" w:hAnsi="Aptos"/>
                <w:b w:val="false"/>
                <w:bCs w:val="false"/>
                <w:i w:val="false"/>
                <w:iCs w:val="false"/>
                <w:color w:val="16335D"/>
                <w:sz w:val="18"/>
                <w:szCs w:val="18"/>
              </w:rPr>
              <w:t xml:space="preserve">Delivered capability</w:t>
            </w:r>
          </w:p>
        </w:tc>
        <w:tc>
          <w:tcPr>
            <w:tcW w:type="dxa" w:w="6960"/>
            <w:tcBorders>
              <w:top w:val="single" w:color="B7CBEA" w:sz="6"/>
              <w:left w:val="single" w:color="B7CBEA" w:sz="6"/>
              <w:bottom w:val="single" w:color="B7CBEA" w:sz="6"/>
              <w:right w:val="single" w:color="B7CBEA" w:sz="6"/>
            </w:tcBorders>
            <w:tcMar>
              <w:top w:type="dxa" w:w="90"/>
              <w:left w:type="dxa" w:w="110"/>
              <w:bottom w:type="dxa" w:w="90"/>
              <w:right w:type="dxa" w:w="110"/>
            </w:tcMar>
          </w:tcPr>
          <w:p>
            <w:pPr>
              <w:spacing w:after="0" w:before="0" w:line="230"/>
            </w:pPr>
            <w:r>
              <w:rPr>
                <w:rFonts w:ascii="Aptos" w:cs="Aptos" w:eastAsia="Aptos" w:hAnsi="Aptos"/>
                <w:b w:val="false"/>
                <w:bCs w:val="false"/>
                <w:i w:val="false"/>
                <w:iCs w:val="false"/>
                <w:color w:val="16335D"/>
                <w:sz w:val="18"/>
                <w:szCs w:val="18"/>
              </w:rPr>
              <w:t xml:space="preserve">Queue, workspace, evidence/RAG, bounded Copilot, confidence signal, audit trail, Compliance outcomes, analytics, and protected Admin inspection.</w:t>
            </w:r>
          </w:p>
        </w:tc>
      </w:tr>
      <w:tr>
        <w:tc>
          <w:tcPr>
            <w:tcW w:type="dxa" w:w="2400"/>
            <w:tcBorders>
              <w:top w:val="single" w:color="B7CBEA" w:sz="6"/>
              <w:left w:val="single" w:color="B7CBEA" w:sz="6"/>
              <w:bottom w:val="single" w:color="B7CBEA" w:sz="6"/>
              <w:right w:val="single" w:color="B7CBEA" w:sz="6"/>
            </w:tcBorders>
            <w:tcMar>
              <w:top w:type="dxa" w:w="90"/>
              <w:left w:type="dxa" w:w="110"/>
              <w:bottom w:type="dxa" w:w="90"/>
              <w:right w:type="dxa" w:w="110"/>
            </w:tcMar>
          </w:tcPr>
          <w:p>
            <w:pPr>
              <w:spacing w:after="0" w:before="0" w:line="230"/>
            </w:pPr>
            <w:r>
              <w:rPr>
                <w:rFonts w:ascii="Aptos" w:cs="Aptos" w:eastAsia="Aptos" w:hAnsi="Aptos"/>
                <w:b w:val="false"/>
                <w:bCs w:val="false"/>
                <w:i w:val="false"/>
                <w:iCs w:val="false"/>
                <w:color w:val="16335D"/>
                <w:sz w:val="18"/>
                <w:szCs w:val="18"/>
              </w:rPr>
              <w:t xml:space="preserve">Success measures</w:t>
            </w:r>
          </w:p>
        </w:tc>
        <w:tc>
          <w:tcPr>
            <w:tcW w:type="dxa" w:w="6960"/>
            <w:tcBorders>
              <w:top w:val="single" w:color="B7CBEA" w:sz="6"/>
              <w:left w:val="single" w:color="B7CBEA" w:sz="6"/>
              <w:bottom w:val="single" w:color="B7CBEA" w:sz="6"/>
              <w:right w:val="single" w:color="B7CBEA" w:sz="6"/>
            </w:tcBorders>
            <w:tcMar>
              <w:top w:type="dxa" w:w="90"/>
              <w:left w:type="dxa" w:w="110"/>
              <w:bottom w:type="dxa" w:w="90"/>
              <w:right w:type="dxa" w:w="110"/>
            </w:tcMar>
          </w:tcPr>
          <w:p>
            <w:pPr>
              <w:spacing w:after="0" w:before="0" w:line="230"/>
            </w:pPr>
            <w:r>
              <w:rPr>
                <w:rFonts w:ascii="Aptos" w:cs="Aptos" w:eastAsia="Aptos" w:hAnsi="Aptos"/>
                <w:b w:val="false"/>
                <w:bCs w:val="false"/>
                <w:i w:val="false"/>
                <w:iCs w:val="false"/>
                <w:color w:val="16335D"/>
                <w:sz w:val="18"/>
                <w:szCs w:val="18"/>
              </w:rPr>
              <w:t xml:space="preserve">A reviewer can trace a report claim to stored material, identify evidence gaps, distinguish workflow states, and record a rationale without an automated decision.</w:t>
            </w:r>
          </w:p>
        </w:tc>
      </w:tr>
      <w:tr>
        <w:tc>
          <w:tcPr>
            <w:tcW w:type="dxa" w:w="2400"/>
            <w:tcBorders>
              <w:top w:val="single" w:color="B7CBEA" w:sz="6"/>
              <w:left w:val="single" w:color="B7CBEA" w:sz="6"/>
              <w:bottom w:val="single" w:color="B7CBEA" w:sz="6"/>
              <w:right w:val="single" w:color="B7CBEA" w:sz="6"/>
            </w:tcBorders>
            <w:tcMar>
              <w:top w:type="dxa" w:w="90"/>
              <w:left w:type="dxa" w:w="110"/>
              <w:bottom w:type="dxa" w:w="90"/>
              <w:right w:type="dxa" w:w="110"/>
            </w:tcMar>
          </w:tcPr>
          <w:p>
            <w:pPr>
              <w:spacing w:after="0" w:before="0" w:line="230"/>
            </w:pPr>
            <w:r>
              <w:rPr>
                <w:rFonts w:ascii="Aptos" w:cs="Aptos" w:eastAsia="Aptos" w:hAnsi="Aptos"/>
                <w:b w:val="false"/>
                <w:bCs w:val="false"/>
                <w:i w:val="false"/>
                <w:iCs w:val="false"/>
                <w:color w:val="16335D"/>
                <w:sz w:val="18"/>
                <w:szCs w:val="18"/>
              </w:rPr>
              <w:t xml:space="preserve">Non-goals</w:t>
            </w:r>
          </w:p>
        </w:tc>
        <w:tc>
          <w:tcPr>
            <w:tcW w:type="dxa" w:w="6960"/>
            <w:tcBorders>
              <w:top w:val="single" w:color="B7CBEA" w:sz="6"/>
              <w:left w:val="single" w:color="B7CBEA" w:sz="6"/>
              <w:bottom w:val="single" w:color="B7CBEA" w:sz="6"/>
              <w:right w:val="single" w:color="B7CBEA" w:sz="6"/>
            </w:tcBorders>
            <w:tcMar>
              <w:top w:type="dxa" w:w="90"/>
              <w:left w:type="dxa" w:w="110"/>
              <w:bottom w:type="dxa" w:w="90"/>
              <w:right w:type="dxa" w:w="110"/>
            </w:tcMar>
          </w:tcPr>
          <w:p>
            <w:pPr>
              <w:spacing w:after="0" w:before="0" w:line="230"/>
            </w:pPr>
            <w:r>
              <w:rPr>
                <w:rFonts w:ascii="Aptos" w:cs="Aptos" w:eastAsia="Aptos" w:hAnsi="Aptos"/>
                <w:b w:val="false"/>
                <w:bCs w:val="false"/>
                <w:i w:val="false"/>
                <w:iCs w:val="false"/>
                <w:color w:val="16335D"/>
                <w:sz w:val="18"/>
                <w:szCs w:val="18"/>
              </w:rPr>
              <w:t xml:space="preserve">No real customer data, real authentication, autonomous escalation/closure/referral, legal finding, or regulatory filing.</w:t>
            </w:r>
          </w:p>
        </w:tc>
      </w:tr>
    </w:tbl>
    <w:p>
      <w:pPr>
        <w:spacing w:after="140" w:before="0" w:line="276"/>
      </w:pPr>
      <w:r>
        <w:rPr>
          <w:rFonts w:ascii="Aptos" w:cs="Aptos" w:eastAsia="Aptos" w:hAnsi="Aptos"/>
          <w:b w:val="false"/>
          <w:bCs w:val="false"/>
          <w:i w:val="false"/>
          <w:iCs w:val="false"/>
          <w:color w:val="16335D"/>
          <w:sz w:val="21"/>
          <w:szCs w:val="21"/>
        </w:rPr>
        <w:t xml:space="preserve">InvestigateIQ is an AI-assisted case-investigation copilot. It turns a stored fictional alert into a transparent review workspace: the investigator can inspect the underlying case material, ask a bounded question, trace the source text behind a response, and then record an accountable human 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50"/>
        <w:gridCol w:w="6510"/>
      </w:tblGrid>
      <w:tr>
        <w:trPr>
          <w:tblHeader/>
        </w:trPr>
        <w:tc>
          <w:tcPr>
            <w:tcW w:type="dxa" w:w="2850"/>
            <w:tcBorders>
              <w:top w:val="single" w:color="B7CBEA" w:sz="6"/>
              <w:left w:val="single" w:color="B7CBEA" w:sz="6"/>
              <w:bottom w:val="single" w:color="B7CBEA" w:sz="6"/>
              <w:right w:val="single" w:color="B7CBEA" w:sz="6"/>
            </w:tcBorders>
            <w:shd w:fill="16335D" w:color="16335D" w:val="clear"/>
            <w:tcMar>
              <w:top w:type="dxa" w:w="90"/>
              <w:left w:type="dxa" w:w="110"/>
              <w:bottom w:type="dxa" w:w="90"/>
              <w:right w:type="dxa" w:w="110"/>
            </w:tcMar>
          </w:tcPr>
          <w:p>
            <w:pPr>
              <w:spacing w:after="0" w:before="0" w:line="230"/>
            </w:pPr>
            <w:r>
              <w:rPr>
                <w:rFonts w:ascii="Aptos" w:cs="Aptos" w:eastAsia="Aptos" w:hAnsi="Aptos"/>
                <w:b/>
                <w:bCs/>
                <w:i w:val="false"/>
                <w:iCs w:val="false"/>
                <w:color w:val="FFFFFF"/>
                <w:sz w:val="18"/>
                <w:szCs w:val="18"/>
              </w:rPr>
              <w:t xml:space="preserve">Design principle</w:t>
            </w:r>
          </w:p>
        </w:tc>
        <w:tc>
          <w:tcPr>
            <w:tcW w:type="dxa" w:w="6510"/>
            <w:tcBorders>
              <w:top w:val="single" w:color="B7CBEA" w:sz="6"/>
              <w:left w:val="single" w:color="B7CBEA" w:sz="6"/>
              <w:bottom w:val="single" w:color="B7CBEA" w:sz="6"/>
              <w:right w:val="single" w:color="B7CBEA" w:sz="6"/>
            </w:tcBorders>
            <w:shd w:fill="16335D" w:color="16335D" w:val="clear"/>
            <w:tcMar>
              <w:top w:type="dxa" w:w="90"/>
              <w:left w:type="dxa" w:w="110"/>
              <w:bottom w:type="dxa" w:w="90"/>
              <w:right w:type="dxa" w:w="110"/>
            </w:tcMar>
          </w:tcPr>
          <w:p>
            <w:pPr>
              <w:spacing w:after="0" w:before="0" w:line="230"/>
            </w:pPr>
            <w:r>
              <w:rPr>
                <w:rFonts w:ascii="Aptos" w:cs="Aptos" w:eastAsia="Aptos" w:hAnsi="Aptos"/>
                <w:b/>
                <w:bCs/>
                <w:i w:val="false"/>
                <w:iCs w:val="false"/>
                <w:color w:val="FFFFFF"/>
                <w:sz w:val="18"/>
                <w:szCs w:val="18"/>
              </w:rPr>
              <w:t xml:space="preserve">Implementation consequence</w:t>
            </w:r>
          </w:p>
        </w:tc>
      </w:tr>
      <w:tr>
        <w:tc>
          <w:tcPr>
            <w:tcW w:type="dxa" w:w="2850"/>
            <w:tcBorders>
              <w:top w:val="single" w:color="B7CBEA" w:sz="6"/>
              <w:left w:val="single" w:color="B7CBEA" w:sz="6"/>
              <w:bottom w:val="single" w:color="B7CBEA" w:sz="6"/>
              <w:right w:val="single" w:color="B7CBEA" w:sz="6"/>
            </w:tcBorders>
            <w:tcMar>
              <w:top w:type="dxa" w:w="90"/>
              <w:left w:type="dxa" w:w="110"/>
              <w:bottom w:type="dxa" w:w="90"/>
              <w:right w:type="dxa" w:w="110"/>
            </w:tcMar>
          </w:tcPr>
          <w:p>
            <w:pPr>
              <w:spacing w:after="0" w:before="0" w:line="230"/>
            </w:pPr>
            <w:r>
              <w:rPr>
                <w:rFonts w:ascii="Aptos" w:cs="Aptos" w:eastAsia="Aptos" w:hAnsi="Aptos"/>
                <w:b w:val="false"/>
                <w:bCs w:val="false"/>
                <w:i w:val="false"/>
                <w:iCs w:val="false"/>
                <w:color w:val="16335D"/>
                <w:sz w:val="18"/>
                <w:szCs w:val="18"/>
              </w:rPr>
              <w:t xml:space="preserve">Traceability</w:t>
            </w:r>
          </w:p>
        </w:tc>
        <w:tc>
          <w:tcPr>
            <w:tcW w:type="dxa" w:w="6510"/>
            <w:tcBorders>
              <w:top w:val="single" w:color="B7CBEA" w:sz="6"/>
              <w:left w:val="single" w:color="B7CBEA" w:sz="6"/>
              <w:bottom w:val="single" w:color="B7CBEA" w:sz="6"/>
              <w:right w:val="single" w:color="B7CBEA" w:sz="6"/>
            </w:tcBorders>
            <w:tcMar>
              <w:top w:type="dxa" w:w="90"/>
              <w:left w:type="dxa" w:w="110"/>
              <w:bottom w:type="dxa" w:w="90"/>
              <w:right w:type="dxa" w:w="110"/>
            </w:tcMar>
          </w:tcPr>
          <w:p>
            <w:pPr>
              <w:spacing w:after="0" w:before="0" w:line="230"/>
            </w:pPr>
            <w:r>
              <w:rPr>
                <w:rFonts w:ascii="Aptos" w:cs="Aptos" w:eastAsia="Aptos" w:hAnsi="Aptos"/>
                <w:b w:val="false"/>
                <w:bCs w:val="false"/>
                <w:i w:val="false"/>
                <w:iCs w:val="false"/>
                <w:color w:val="16335D"/>
                <w:sz w:val="18"/>
                <w:szCs w:val="18"/>
              </w:rPr>
              <w:t xml:space="preserve">Evidence &amp; RAG exposes the source record, exact indexed chunk, retrieval method, and stated evidence gaps.</w:t>
            </w:r>
          </w:p>
        </w:tc>
      </w:tr>
      <w:tr>
        <w:tc>
          <w:tcPr>
            <w:tcW w:type="dxa" w:w="2850"/>
            <w:tcBorders>
              <w:top w:val="single" w:color="B7CBEA" w:sz="6"/>
              <w:left w:val="single" w:color="B7CBEA" w:sz="6"/>
              <w:bottom w:val="single" w:color="B7CBEA" w:sz="6"/>
              <w:right w:val="single" w:color="B7CBEA" w:sz="6"/>
            </w:tcBorders>
            <w:tcMar>
              <w:top w:type="dxa" w:w="90"/>
              <w:left w:type="dxa" w:w="110"/>
              <w:bottom w:type="dxa" w:w="90"/>
              <w:right w:type="dxa" w:w="110"/>
            </w:tcMar>
          </w:tcPr>
          <w:p>
            <w:pPr>
              <w:spacing w:after="0" w:before="0" w:line="230"/>
            </w:pPr>
            <w:r>
              <w:rPr>
                <w:rFonts w:ascii="Aptos" w:cs="Aptos" w:eastAsia="Aptos" w:hAnsi="Aptos"/>
                <w:b w:val="false"/>
                <w:bCs w:val="false"/>
                <w:i w:val="false"/>
                <w:iCs w:val="false"/>
                <w:color w:val="16335D"/>
                <w:sz w:val="18"/>
                <w:szCs w:val="18"/>
              </w:rPr>
              <w:t xml:space="preserve">Human accountability</w:t>
            </w:r>
          </w:p>
        </w:tc>
        <w:tc>
          <w:tcPr>
            <w:tcW w:type="dxa" w:w="6510"/>
            <w:tcBorders>
              <w:top w:val="single" w:color="B7CBEA" w:sz="6"/>
              <w:left w:val="single" w:color="B7CBEA" w:sz="6"/>
              <w:bottom w:val="single" w:color="B7CBEA" w:sz="6"/>
              <w:right w:val="single" w:color="B7CBEA" w:sz="6"/>
            </w:tcBorders>
            <w:tcMar>
              <w:top w:type="dxa" w:w="90"/>
              <w:left w:type="dxa" w:w="110"/>
              <w:bottom w:type="dxa" w:w="90"/>
              <w:right w:type="dxa" w:w="110"/>
            </w:tcMar>
          </w:tcPr>
          <w:p>
            <w:pPr>
              <w:spacing w:after="0" w:before="0" w:line="230"/>
            </w:pPr>
            <w:r>
              <w:rPr>
                <w:rFonts w:ascii="Aptos" w:cs="Aptos" w:eastAsia="Aptos" w:hAnsi="Aptos"/>
                <w:b w:val="false"/>
                <w:bCs w:val="false"/>
                <w:i w:val="false"/>
                <w:iCs w:val="false"/>
                <w:color w:val="16335D"/>
                <w:sz w:val="18"/>
                <w:szCs w:val="18"/>
              </w:rPr>
              <w:t xml:space="preserve">Only a named investigator or Compliance Officer can submit an action, and a written rationale is required.</w:t>
            </w:r>
          </w:p>
        </w:tc>
      </w:tr>
      <w:tr>
        <w:tc>
          <w:tcPr>
            <w:tcW w:type="dxa" w:w="2850"/>
            <w:tcBorders>
              <w:top w:val="single" w:color="B7CBEA" w:sz="6"/>
              <w:left w:val="single" w:color="B7CBEA" w:sz="6"/>
              <w:bottom w:val="single" w:color="B7CBEA" w:sz="6"/>
              <w:right w:val="single" w:color="B7CBEA" w:sz="6"/>
            </w:tcBorders>
            <w:tcMar>
              <w:top w:type="dxa" w:w="90"/>
              <w:left w:type="dxa" w:w="110"/>
              <w:bottom w:type="dxa" w:w="90"/>
              <w:right w:type="dxa" w:w="110"/>
            </w:tcMar>
          </w:tcPr>
          <w:p>
            <w:pPr>
              <w:spacing w:after="0" w:before="0" w:line="230"/>
            </w:pPr>
            <w:r>
              <w:rPr>
                <w:rFonts w:ascii="Aptos" w:cs="Aptos" w:eastAsia="Aptos" w:hAnsi="Aptos"/>
                <w:b w:val="false"/>
                <w:bCs w:val="false"/>
                <w:i w:val="false"/>
                <w:iCs w:val="false"/>
                <w:color w:val="16335D"/>
                <w:sz w:val="18"/>
                <w:szCs w:val="18"/>
              </w:rPr>
              <w:t xml:space="preserve">Bounded assistance</w:t>
            </w:r>
          </w:p>
        </w:tc>
        <w:tc>
          <w:tcPr>
            <w:tcW w:type="dxa" w:w="6510"/>
            <w:tcBorders>
              <w:top w:val="single" w:color="B7CBEA" w:sz="6"/>
              <w:left w:val="single" w:color="B7CBEA" w:sz="6"/>
              <w:bottom w:val="single" w:color="B7CBEA" w:sz="6"/>
              <w:right w:val="single" w:color="B7CBEA" w:sz="6"/>
            </w:tcBorders>
            <w:tcMar>
              <w:top w:type="dxa" w:w="90"/>
              <w:left w:type="dxa" w:w="110"/>
              <w:bottom w:type="dxa" w:w="90"/>
              <w:right w:type="dxa" w:w="110"/>
            </w:tcMar>
          </w:tcPr>
          <w:p>
            <w:pPr>
              <w:spacing w:after="0" w:before="0" w:line="230"/>
            </w:pPr>
            <w:r>
              <w:rPr>
                <w:rFonts w:ascii="Aptos" w:cs="Aptos" w:eastAsia="Aptos" w:hAnsi="Aptos"/>
                <w:b w:val="false"/>
                <w:bCs w:val="false"/>
                <w:i w:val="false"/>
                <w:iCs w:val="false"/>
                <w:color w:val="16335D"/>
                <w:sz w:val="18"/>
                <w:szCs w:val="18"/>
              </w:rPr>
              <w:t xml:space="preserve">The Copilot answers from stored fictional rows and chunks. It cannot independently verify documents or take workflow actions.</w:t>
            </w:r>
          </w:p>
        </w:tc>
      </w:tr>
      <w:tr>
        <w:tc>
          <w:tcPr>
            <w:tcW w:type="dxa" w:w="2850"/>
            <w:tcBorders>
              <w:top w:val="single" w:color="B7CBEA" w:sz="6"/>
              <w:left w:val="single" w:color="B7CBEA" w:sz="6"/>
              <w:bottom w:val="single" w:color="B7CBEA" w:sz="6"/>
              <w:right w:val="single" w:color="B7CBEA" w:sz="6"/>
            </w:tcBorders>
            <w:tcMar>
              <w:top w:type="dxa" w:w="90"/>
              <w:left w:type="dxa" w:w="110"/>
              <w:bottom w:type="dxa" w:w="90"/>
              <w:right w:type="dxa" w:w="110"/>
            </w:tcMar>
          </w:tcPr>
          <w:p>
            <w:pPr>
              <w:spacing w:after="0" w:before="0" w:line="230"/>
            </w:pPr>
            <w:r>
              <w:rPr>
                <w:rFonts w:ascii="Aptos" w:cs="Aptos" w:eastAsia="Aptos" w:hAnsi="Aptos"/>
                <w:b w:val="false"/>
                <w:bCs w:val="false"/>
                <w:i w:val="false"/>
                <w:iCs w:val="false"/>
                <w:color w:val="16335D"/>
                <w:sz w:val="18"/>
                <w:szCs w:val="18"/>
              </w:rPr>
              <w:t xml:space="preserve">Clear states</w:t>
            </w:r>
          </w:p>
        </w:tc>
        <w:tc>
          <w:tcPr>
            <w:tcW w:type="dxa" w:w="6510"/>
            <w:tcBorders>
              <w:top w:val="single" w:color="B7CBEA" w:sz="6"/>
              <w:left w:val="single" w:color="B7CBEA" w:sz="6"/>
              <w:bottom w:val="single" w:color="B7CBEA" w:sz="6"/>
              <w:right w:val="single" w:color="B7CBEA" w:sz="6"/>
            </w:tcBorders>
            <w:tcMar>
              <w:top w:type="dxa" w:w="90"/>
              <w:left w:type="dxa" w:w="110"/>
              <w:bottom w:type="dxa" w:w="90"/>
              <w:right w:type="dxa" w:w="110"/>
            </w:tcMar>
          </w:tcPr>
          <w:p>
            <w:pPr>
              <w:spacing w:after="0" w:before="0" w:line="230"/>
            </w:pPr>
            <w:r>
              <w:rPr>
                <w:rFonts w:ascii="Aptos" w:cs="Aptos" w:eastAsia="Aptos" w:hAnsi="Aptos"/>
                <w:b w:val="false"/>
                <w:bCs w:val="false"/>
                <w:i w:val="false"/>
                <w:iCs w:val="false"/>
                <w:color w:val="16335D"/>
                <w:sz w:val="18"/>
                <w:szCs w:val="18"/>
              </w:rPr>
              <w:t xml:space="preserve">Open, escalated, source-closed, simulated closure, Compliance return, acknowledged, and referred outcomes are kept distinct.</w:t>
            </w:r>
          </w:p>
        </w:tc>
      </w:tr>
      <w:tr>
        <w:tc>
          <w:tcPr>
            <w:tcW w:type="dxa" w:w="2850"/>
            <w:tcBorders>
              <w:top w:val="single" w:color="B7CBEA" w:sz="6"/>
              <w:left w:val="single" w:color="B7CBEA" w:sz="6"/>
              <w:bottom w:val="single" w:color="B7CBEA" w:sz="6"/>
              <w:right w:val="single" w:color="B7CBEA" w:sz="6"/>
            </w:tcBorders>
            <w:tcMar>
              <w:top w:type="dxa" w:w="90"/>
              <w:left w:type="dxa" w:w="110"/>
              <w:bottom w:type="dxa" w:w="90"/>
              <w:right w:type="dxa" w:w="110"/>
            </w:tcMar>
          </w:tcPr>
          <w:p>
            <w:pPr>
              <w:spacing w:after="0" w:before="0" w:line="230"/>
            </w:pPr>
            <w:r>
              <w:rPr>
                <w:rFonts w:ascii="Aptos" w:cs="Aptos" w:eastAsia="Aptos" w:hAnsi="Aptos"/>
                <w:b w:val="false"/>
                <w:bCs w:val="false"/>
                <w:i w:val="false"/>
                <w:iCs w:val="false"/>
                <w:color w:val="16335D"/>
                <w:sz w:val="18"/>
                <w:szCs w:val="18"/>
              </w:rPr>
              <w:t xml:space="preserve">Responsible presentation</w:t>
            </w:r>
          </w:p>
        </w:tc>
        <w:tc>
          <w:tcPr>
            <w:tcW w:type="dxa" w:w="6510"/>
            <w:tcBorders>
              <w:top w:val="single" w:color="B7CBEA" w:sz="6"/>
              <w:left w:val="single" w:color="B7CBEA" w:sz="6"/>
              <w:bottom w:val="single" w:color="B7CBEA" w:sz="6"/>
              <w:right w:val="single" w:color="B7CBEA" w:sz="6"/>
            </w:tcBorders>
            <w:tcMar>
              <w:top w:type="dxa" w:w="90"/>
              <w:left w:type="dxa" w:w="110"/>
              <w:bottom w:type="dxa" w:w="90"/>
              <w:right w:type="dxa" w:w="110"/>
            </w:tcMar>
          </w:tcPr>
          <w:p>
            <w:pPr>
              <w:spacing w:after="0" w:before="0" w:line="230"/>
            </w:pPr>
            <w:r>
              <w:rPr>
                <w:rFonts w:ascii="Aptos" w:cs="Aptos" w:eastAsia="Aptos" w:hAnsi="Aptos"/>
                <w:b w:val="false"/>
                <w:bCs w:val="false"/>
                <w:i w:val="false"/>
                <w:iCs w:val="false"/>
                <w:color w:val="16335D"/>
                <w:sz w:val="18"/>
                <w:szCs w:val="18"/>
              </w:rPr>
              <w:t xml:space="preserve">Evidence confidence measures support coverage for a draft, not risk, guilt, legality, or a recommended case outcome.</w:t>
            </w:r>
          </w:p>
        </w:tc>
      </w:tr>
    </w:tbl>
    <w:p>
      <w:pPr>
        <w:spacing w:after="55" w:before="120"/>
        <w:jc w:val="center"/>
      </w:pPr>
      <w:r>
        <w:drawing>
          <wp:inline distT="0" distB="0" distL="0" distR="0">
            <wp:extent cx="6096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3429000"/>
                    </a:xfrm>
                    <a:prstGeom prst="rect">
                      <a:avLst/>
                    </a:prstGeom>
                  </pic:spPr>
                </pic:pic>
              </a:graphicData>
            </a:graphic>
          </wp:inline>
        </w:drawing>
      </w:r>
    </w:p>
    <w:p>
      <w:pPr>
        <w:spacing w:after="180" w:before="0" w:line="230"/>
        <w:jc w:val="center"/>
      </w:pPr>
      <w:r>
        <w:rPr>
          <w:rFonts w:ascii="Aptos" w:cs="Aptos" w:eastAsia="Aptos" w:hAnsi="Aptos"/>
          <w:b w:val="false"/>
          <w:bCs w:val="false"/>
          <w:i/>
          <w:iCs/>
          <w:color w:val="63738D"/>
          <w:sz w:val="17"/>
          <w:szCs w:val="17"/>
        </w:rPr>
        <w:t xml:space="preserve">Figure — Current Home screen and reordered navigation. The workspace-entry panel establishes a display identity for the fictional session.</w:t>
      </w:r>
    </w:p>
    <w:p>
      <w:r>
        <w:br w:type="page"/>
      </w:r>
    </w:p>
    <w:p>
      <w:pPr>
        <w:pStyle w:val="Heading1"/>
        <w:spacing w:after="130" w:before="300"/>
      </w:pPr>
      <w:r>
        <w:t xml:space="preserve">2. End-to-end user journey</w:t>
      </w:r>
    </w:p>
    <w:p>
      <w:pPr>
        <w:spacing w:after="140" w:before="0" w:line="276"/>
      </w:pPr>
      <w:r>
        <w:rPr>
          <w:rFonts w:ascii="Aptos" w:cs="Aptos" w:eastAsia="Aptos" w:hAnsi="Aptos"/>
          <w:b w:val="false"/>
          <w:bCs w:val="false"/>
          <w:i w:val="false"/>
          <w:iCs w:val="false"/>
          <w:color w:val="16335D"/>
          <w:sz w:val="21"/>
          <w:szCs w:val="21"/>
        </w:rPr>
        <w:t xml:space="preserve">A complete review follows the path below. The system preserves the difference between an alert, a drafted explanation, supporting material, a human choice, and a second human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50"/>
        <w:gridCol w:w="2250"/>
        <w:gridCol w:w="3500"/>
        <w:gridCol w:w="2760"/>
      </w:tblGrid>
      <w:tr>
        <w:trPr>
          <w:tblHeader/>
        </w:trPr>
        <w:tc>
          <w:tcPr>
            <w:tcW w:type="dxa" w:w="850"/>
            <w:tcBorders>
              <w:top w:val="single" w:color="B7CBEA" w:sz="6"/>
              <w:left w:val="single" w:color="B7CBEA" w:sz="6"/>
              <w:bottom w:val="single" w:color="B7CBEA" w:sz="6"/>
              <w:right w:val="single" w:color="B7CBEA" w:sz="6"/>
            </w:tcBorders>
            <w:shd w:fill="16335D" w:color="16335D" w:val="clear"/>
            <w:tcMar>
              <w:top w:type="dxa" w:w="90"/>
              <w:left w:type="dxa" w:w="110"/>
              <w:bottom w:type="dxa" w:w="90"/>
              <w:right w:type="dxa" w:w="110"/>
            </w:tcMar>
          </w:tcPr>
          <w:p>
            <w:pPr>
              <w:spacing w:after="0" w:before="0" w:line="230"/>
            </w:pPr>
            <w:r>
              <w:rPr>
                <w:rFonts w:ascii="Aptos" w:cs="Aptos" w:eastAsia="Aptos" w:hAnsi="Aptos"/>
                <w:b/>
                <w:bCs/>
                <w:i w:val="false"/>
                <w:iCs w:val="false"/>
                <w:color w:val="FFFFFF"/>
                <w:sz w:val="18"/>
                <w:szCs w:val="18"/>
              </w:rPr>
              <w:t xml:space="preserve">Step</w:t>
            </w:r>
          </w:p>
        </w:tc>
        <w:tc>
          <w:tcPr>
            <w:tcW w:type="dxa" w:w="2250"/>
            <w:tcBorders>
              <w:top w:val="single" w:color="B7CBEA" w:sz="6"/>
              <w:left w:val="single" w:color="B7CBEA" w:sz="6"/>
              <w:bottom w:val="single" w:color="B7CBEA" w:sz="6"/>
              <w:right w:val="single" w:color="B7CBEA" w:sz="6"/>
            </w:tcBorders>
            <w:shd w:fill="16335D" w:color="16335D" w:val="clear"/>
            <w:tcMar>
              <w:top w:type="dxa" w:w="90"/>
              <w:left w:type="dxa" w:w="110"/>
              <w:bottom w:type="dxa" w:w="90"/>
              <w:right w:type="dxa" w:w="110"/>
            </w:tcMar>
          </w:tcPr>
          <w:p>
            <w:pPr>
              <w:spacing w:after="0" w:before="0" w:line="230"/>
            </w:pPr>
            <w:r>
              <w:rPr>
                <w:rFonts w:ascii="Aptos" w:cs="Aptos" w:eastAsia="Aptos" w:hAnsi="Aptos"/>
                <w:b/>
                <w:bCs/>
                <w:i w:val="false"/>
                <w:iCs w:val="false"/>
                <w:color w:val="FFFFFF"/>
                <w:sz w:val="18"/>
                <w:szCs w:val="18"/>
              </w:rPr>
              <w:t xml:space="preserve">User action</w:t>
            </w:r>
          </w:p>
        </w:tc>
        <w:tc>
          <w:tcPr>
            <w:tcW w:type="dxa" w:w="3500"/>
            <w:tcBorders>
              <w:top w:val="single" w:color="B7CBEA" w:sz="6"/>
              <w:left w:val="single" w:color="B7CBEA" w:sz="6"/>
              <w:bottom w:val="single" w:color="B7CBEA" w:sz="6"/>
              <w:right w:val="single" w:color="B7CBEA" w:sz="6"/>
            </w:tcBorders>
            <w:shd w:fill="16335D" w:color="16335D" w:val="clear"/>
            <w:tcMar>
              <w:top w:type="dxa" w:w="90"/>
              <w:left w:type="dxa" w:w="110"/>
              <w:bottom w:type="dxa" w:w="90"/>
              <w:right w:type="dxa" w:w="110"/>
            </w:tcMar>
          </w:tcPr>
          <w:p>
            <w:pPr>
              <w:spacing w:after="0" w:before="0" w:line="230"/>
            </w:pPr>
            <w:r>
              <w:rPr>
                <w:rFonts w:ascii="Aptos" w:cs="Aptos" w:eastAsia="Aptos" w:hAnsi="Aptos"/>
                <w:b/>
                <w:bCs/>
                <w:i w:val="false"/>
                <w:iCs w:val="false"/>
                <w:color w:val="FFFFFF"/>
                <w:sz w:val="18"/>
                <w:szCs w:val="18"/>
              </w:rPr>
              <w:t xml:space="preserve">What the system provides</w:t>
            </w:r>
          </w:p>
        </w:tc>
        <w:tc>
          <w:tcPr>
            <w:tcW w:type="dxa" w:w="2760"/>
            <w:tcBorders>
              <w:top w:val="single" w:color="B7CBEA" w:sz="6"/>
              <w:left w:val="single" w:color="B7CBEA" w:sz="6"/>
              <w:bottom w:val="single" w:color="B7CBEA" w:sz="6"/>
              <w:right w:val="single" w:color="B7CBEA" w:sz="6"/>
            </w:tcBorders>
            <w:shd w:fill="16335D" w:color="16335D" w:val="clear"/>
            <w:tcMar>
              <w:top w:type="dxa" w:w="90"/>
              <w:left w:type="dxa" w:w="110"/>
              <w:bottom w:type="dxa" w:w="90"/>
              <w:right w:type="dxa" w:w="110"/>
            </w:tcMar>
          </w:tcPr>
          <w:p>
            <w:pPr>
              <w:spacing w:after="0" w:before="0" w:line="230"/>
            </w:pPr>
            <w:r>
              <w:rPr>
                <w:rFonts w:ascii="Aptos" w:cs="Aptos" w:eastAsia="Aptos" w:hAnsi="Aptos"/>
                <w:b/>
                <w:bCs/>
                <w:i w:val="false"/>
                <w:iCs w:val="false"/>
                <w:color w:val="FFFFFF"/>
                <w:sz w:val="18"/>
                <w:szCs w:val="18"/>
              </w:rPr>
              <w:t xml:space="preserve">Boundary</w:t>
            </w:r>
          </w:p>
        </w:tc>
      </w:tr>
      <w:tr>
        <w:tc>
          <w:tcPr>
            <w:tcW w:type="dxa" w:w="850"/>
            <w:tcBorders>
              <w:top w:val="single" w:color="B7CBEA" w:sz="6"/>
              <w:left w:val="single" w:color="B7CBEA" w:sz="6"/>
              <w:bottom w:val="single" w:color="B7CBEA" w:sz="6"/>
              <w:right w:val="single" w:color="B7CBEA" w:sz="6"/>
            </w:tcBorders>
            <w:tcMar>
              <w:top w:type="dxa" w:w="90"/>
              <w:left w:type="dxa" w:w="110"/>
              <w:bottom w:type="dxa" w:w="90"/>
              <w:right w:type="dxa" w:w="110"/>
            </w:tcMar>
          </w:tcPr>
          <w:p>
            <w:pPr>
              <w:spacing w:after="0" w:before="0" w:line="230"/>
            </w:pPr>
            <w:r>
              <w:rPr>
                <w:rFonts w:ascii="Aptos" w:cs="Aptos" w:eastAsia="Aptos" w:hAnsi="Aptos"/>
                <w:b w:val="false"/>
                <w:bCs w:val="false"/>
                <w:i w:val="false"/>
                <w:iCs w:val="false"/>
                <w:color w:val="16335D"/>
                <w:sz w:val="18"/>
                <w:szCs w:val="18"/>
              </w:rPr>
              <w:t xml:space="preserve">1. Find work</w:t>
            </w:r>
          </w:p>
        </w:tc>
        <w:tc>
          <w:tcPr>
            <w:tcW w:type="dxa" w:w="2250"/>
            <w:tcBorders>
              <w:top w:val="single" w:color="B7CBEA" w:sz="6"/>
              <w:left w:val="single" w:color="B7CBEA" w:sz="6"/>
              <w:bottom w:val="single" w:color="B7CBEA" w:sz="6"/>
              <w:right w:val="single" w:color="B7CBEA" w:sz="6"/>
            </w:tcBorders>
            <w:tcMar>
              <w:top w:type="dxa" w:w="90"/>
              <w:left w:type="dxa" w:w="110"/>
              <w:bottom w:type="dxa" w:w="90"/>
              <w:right w:type="dxa" w:w="110"/>
            </w:tcMar>
          </w:tcPr>
          <w:p>
            <w:pPr>
              <w:spacing w:after="0" w:before="0" w:line="230"/>
            </w:pPr>
            <w:r>
              <w:rPr>
                <w:rFonts w:ascii="Aptos" w:cs="Aptos" w:eastAsia="Aptos" w:hAnsi="Aptos"/>
                <w:b w:val="false"/>
                <w:bCs w:val="false"/>
                <w:i w:val="false"/>
                <w:iCs w:val="false"/>
                <w:color w:val="16335D"/>
                <w:sz w:val="18"/>
                <w:szCs w:val="18"/>
              </w:rPr>
              <w:t xml:space="preserve">Use Case Queue filters or Global Search.</w:t>
            </w:r>
          </w:p>
        </w:tc>
        <w:tc>
          <w:tcPr>
            <w:tcW w:type="dxa" w:w="3500"/>
            <w:tcBorders>
              <w:top w:val="single" w:color="B7CBEA" w:sz="6"/>
              <w:left w:val="single" w:color="B7CBEA" w:sz="6"/>
              <w:bottom w:val="single" w:color="B7CBEA" w:sz="6"/>
              <w:right w:val="single" w:color="B7CBEA" w:sz="6"/>
            </w:tcBorders>
            <w:tcMar>
              <w:top w:type="dxa" w:w="90"/>
              <w:left w:type="dxa" w:w="110"/>
              <w:bottom w:type="dxa" w:w="90"/>
              <w:right w:type="dxa" w:w="110"/>
            </w:tcMar>
          </w:tcPr>
          <w:p>
            <w:pPr>
              <w:spacing w:after="0" w:before="0" w:line="230"/>
            </w:pPr>
            <w:r>
              <w:rPr>
                <w:rFonts w:ascii="Aptos" w:cs="Aptos" w:eastAsia="Aptos" w:hAnsi="Aptos"/>
                <w:b w:val="false"/>
                <w:bCs w:val="false"/>
                <w:i w:val="false"/>
                <w:iCs w:val="false"/>
                <w:color w:val="16335D"/>
                <w:sz w:val="18"/>
                <w:szCs w:val="18"/>
              </w:rPr>
              <w:t xml:space="preserve">Stored alert metadata, status, severity, rule labels.</w:t>
            </w:r>
          </w:p>
        </w:tc>
        <w:tc>
          <w:tcPr>
            <w:tcW w:type="dxa" w:w="2760"/>
            <w:tcBorders>
              <w:top w:val="single" w:color="B7CBEA" w:sz="6"/>
              <w:left w:val="single" w:color="B7CBEA" w:sz="6"/>
              <w:bottom w:val="single" w:color="B7CBEA" w:sz="6"/>
              <w:right w:val="single" w:color="B7CBEA" w:sz="6"/>
            </w:tcBorders>
            <w:tcMar>
              <w:top w:type="dxa" w:w="90"/>
              <w:left w:type="dxa" w:w="110"/>
              <w:bottom w:type="dxa" w:w="90"/>
              <w:right w:type="dxa" w:w="110"/>
            </w:tcMar>
          </w:tcPr>
          <w:p>
            <w:pPr>
              <w:spacing w:after="0" w:before="0" w:line="230"/>
            </w:pPr>
            <w:r>
              <w:rPr>
                <w:rFonts w:ascii="Aptos" w:cs="Aptos" w:eastAsia="Aptos" w:hAnsi="Aptos"/>
                <w:b w:val="false"/>
                <w:bCs w:val="false"/>
                <w:i w:val="false"/>
                <w:iCs w:val="false"/>
                <w:color w:val="16335D"/>
                <w:sz w:val="18"/>
                <w:szCs w:val="18"/>
              </w:rPr>
              <w:t xml:space="preserve">An alert is not a finding.</w:t>
            </w:r>
          </w:p>
        </w:tc>
      </w:tr>
      <w:tr>
        <w:tc>
          <w:tcPr>
            <w:tcW w:type="dxa" w:w="850"/>
            <w:tcBorders>
              <w:top w:val="single" w:color="B7CBEA" w:sz="6"/>
              <w:left w:val="single" w:color="B7CBEA" w:sz="6"/>
              <w:bottom w:val="single" w:color="B7CBEA" w:sz="6"/>
              <w:right w:val="single" w:color="B7CBEA" w:sz="6"/>
            </w:tcBorders>
            <w:tcMar>
              <w:top w:type="dxa" w:w="90"/>
              <w:left w:type="dxa" w:w="110"/>
              <w:bottom w:type="dxa" w:w="90"/>
              <w:right w:type="dxa" w:w="110"/>
            </w:tcMar>
          </w:tcPr>
          <w:p>
            <w:pPr>
              <w:spacing w:after="0" w:before="0" w:line="230"/>
            </w:pPr>
            <w:r>
              <w:rPr>
                <w:rFonts w:ascii="Aptos" w:cs="Aptos" w:eastAsia="Aptos" w:hAnsi="Aptos"/>
                <w:b w:val="false"/>
                <w:bCs w:val="false"/>
                <w:i w:val="false"/>
                <w:iCs w:val="false"/>
                <w:color w:val="16335D"/>
                <w:sz w:val="18"/>
                <w:szCs w:val="18"/>
              </w:rPr>
              <w:t xml:space="preserve">2. Review case</w:t>
            </w:r>
          </w:p>
        </w:tc>
        <w:tc>
          <w:tcPr>
            <w:tcW w:type="dxa" w:w="2250"/>
            <w:tcBorders>
              <w:top w:val="single" w:color="B7CBEA" w:sz="6"/>
              <w:left w:val="single" w:color="B7CBEA" w:sz="6"/>
              <w:bottom w:val="single" w:color="B7CBEA" w:sz="6"/>
              <w:right w:val="single" w:color="B7CBEA" w:sz="6"/>
            </w:tcBorders>
            <w:tcMar>
              <w:top w:type="dxa" w:w="90"/>
              <w:left w:type="dxa" w:w="110"/>
              <w:bottom w:type="dxa" w:w="90"/>
              <w:right w:type="dxa" w:w="110"/>
            </w:tcMar>
          </w:tcPr>
          <w:p>
            <w:pPr>
              <w:spacing w:after="0" w:before="0" w:line="230"/>
            </w:pPr>
            <w:r>
              <w:rPr>
                <w:rFonts w:ascii="Aptos" w:cs="Aptos" w:eastAsia="Aptos" w:hAnsi="Aptos"/>
                <w:b w:val="false"/>
                <w:bCs w:val="false"/>
                <w:i w:val="false"/>
                <w:iCs w:val="false"/>
                <w:color w:val="16335D"/>
                <w:sz w:val="18"/>
                <w:szCs w:val="18"/>
              </w:rPr>
              <w:t xml:space="preserve">Open Investigation Workspace and choose saved or calculated mode.</w:t>
            </w:r>
          </w:p>
        </w:tc>
        <w:tc>
          <w:tcPr>
            <w:tcW w:type="dxa" w:w="3500"/>
            <w:tcBorders>
              <w:top w:val="single" w:color="B7CBEA" w:sz="6"/>
              <w:left w:val="single" w:color="B7CBEA" w:sz="6"/>
              <w:bottom w:val="single" w:color="B7CBEA" w:sz="6"/>
              <w:right w:val="single" w:color="B7CBEA" w:sz="6"/>
            </w:tcBorders>
            <w:tcMar>
              <w:top w:type="dxa" w:w="90"/>
              <w:left w:type="dxa" w:w="110"/>
              <w:bottom w:type="dxa" w:w="90"/>
              <w:right w:type="dxa" w:w="110"/>
            </w:tcMar>
          </w:tcPr>
          <w:p>
            <w:pPr>
              <w:spacing w:after="0" w:before="0" w:line="230"/>
            </w:pPr>
            <w:r>
              <w:rPr>
                <w:rFonts w:ascii="Aptos" w:cs="Aptos" w:eastAsia="Aptos" w:hAnsi="Aptos"/>
                <w:b w:val="false"/>
                <w:bCs w:val="false"/>
                <w:i w:val="false"/>
                <w:iCs w:val="false"/>
                <w:color w:val="16335D"/>
                <w:sz w:val="18"/>
                <w:szCs w:val="18"/>
              </w:rPr>
              <w:t xml:space="preserve">Case context, report, validator notes, confidence, cited material.</w:t>
            </w:r>
          </w:p>
        </w:tc>
        <w:tc>
          <w:tcPr>
            <w:tcW w:type="dxa" w:w="2760"/>
            <w:tcBorders>
              <w:top w:val="single" w:color="B7CBEA" w:sz="6"/>
              <w:left w:val="single" w:color="B7CBEA" w:sz="6"/>
              <w:bottom w:val="single" w:color="B7CBEA" w:sz="6"/>
              <w:right w:val="single" w:color="B7CBEA" w:sz="6"/>
            </w:tcBorders>
            <w:tcMar>
              <w:top w:type="dxa" w:w="90"/>
              <w:left w:type="dxa" w:w="110"/>
              <w:bottom w:type="dxa" w:w="90"/>
              <w:right w:type="dxa" w:w="110"/>
            </w:tcMar>
          </w:tcPr>
          <w:p>
            <w:pPr>
              <w:spacing w:after="0" w:before="0" w:line="230"/>
            </w:pPr>
            <w:r>
              <w:rPr>
                <w:rFonts w:ascii="Aptos" w:cs="Aptos" w:eastAsia="Aptos" w:hAnsi="Aptos"/>
                <w:b w:val="false"/>
                <w:bCs w:val="false"/>
                <w:i w:val="false"/>
                <w:iCs w:val="false"/>
                <w:color w:val="16335D"/>
                <w:sz w:val="18"/>
                <w:szCs w:val="18"/>
              </w:rPr>
              <w:t xml:space="preserve">The AI/report does not submit a decision.</w:t>
            </w:r>
          </w:p>
        </w:tc>
      </w:tr>
      <w:tr>
        <w:tc>
          <w:tcPr>
            <w:tcW w:type="dxa" w:w="850"/>
            <w:tcBorders>
              <w:top w:val="single" w:color="B7CBEA" w:sz="6"/>
              <w:left w:val="single" w:color="B7CBEA" w:sz="6"/>
              <w:bottom w:val="single" w:color="B7CBEA" w:sz="6"/>
              <w:right w:val="single" w:color="B7CBEA" w:sz="6"/>
            </w:tcBorders>
            <w:tcMar>
              <w:top w:type="dxa" w:w="90"/>
              <w:left w:type="dxa" w:w="110"/>
              <w:bottom w:type="dxa" w:w="90"/>
              <w:right w:type="dxa" w:w="110"/>
            </w:tcMar>
          </w:tcPr>
          <w:p>
            <w:pPr>
              <w:spacing w:after="0" w:before="0" w:line="230"/>
            </w:pPr>
            <w:r>
              <w:rPr>
                <w:rFonts w:ascii="Aptos" w:cs="Aptos" w:eastAsia="Aptos" w:hAnsi="Aptos"/>
                <w:b w:val="false"/>
                <w:bCs w:val="false"/>
                <w:i w:val="false"/>
                <w:iCs w:val="false"/>
                <w:color w:val="16335D"/>
                <w:sz w:val="18"/>
                <w:szCs w:val="18"/>
              </w:rPr>
              <w:t xml:space="preserve">3. Inspect proof</w:t>
            </w:r>
          </w:p>
        </w:tc>
        <w:tc>
          <w:tcPr>
            <w:tcW w:type="dxa" w:w="2250"/>
            <w:tcBorders>
              <w:top w:val="single" w:color="B7CBEA" w:sz="6"/>
              <w:left w:val="single" w:color="B7CBEA" w:sz="6"/>
              <w:bottom w:val="single" w:color="B7CBEA" w:sz="6"/>
              <w:right w:val="single" w:color="B7CBEA" w:sz="6"/>
            </w:tcBorders>
            <w:tcMar>
              <w:top w:type="dxa" w:w="90"/>
              <w:left w:type="dxa" w:w="110"/>
              <w:bottom w:type="dxa" w:w="90"/>
              <w:right w:type="dxa" w:w="110"/>
            </w:tcMar>
          </w:tcPr>
          <w:p>
            <w:pPr>
              <w:spacing w:after="0" w:before="0" w:line="230"/>
            </w:pPr>
            <w:r>
              <w:rPr>
                <w:rFonts w:ascii="Aptos" w:cs="Aptos" w:eastAsia="Aptos" w:hAnsi="Aptos"/>
                <w:b w:val="false"/>
                <w:bCs w:val="false"/>
                <w:i w:val="false"/>
                <w:iCs w:val="false"/>
                <w:color w:val="16335D"/>
                <w:sz w:val="18"/>
                <w:szCs w:val="18"/>
              </w:rPr>
              <w:t xml:space="preserve">Open Evidence &amp; RAG and exact chunks.</w:t>
            </w:r>
          </w:p>
        </w:tc>
        <w:tc>
          <w:tcPr>
            <w:tcW w:type="dxa" w:w="3500"/>
            <w:tcBorders>
              <w:top w:val="single" w:color="B7CBEA" w:sz="6"/>
              <w:left w:val="single" w:color="B7CBEA" w:sz="6"/>
              <w:bottom w:val="single" w:color="B7CBEA" w:sz="6"/>
              <w:right w:val="single" w:color="B7CBEA" w:sz="6"/>
            </w:tcBorders>
            <w:tcMar>
              <w:top w:type="dxa" w:w="90"/>
              <w:left w:type="dxa" w:w="110"/>
              <w:bottom w:type="dxa" w:w="90"/>
              <w:right w:type="dxa" w:w="110"/>
            </w:tcMar>
          </w:tcPr>
          <w:p>
            <w:pPr>
              <w:spacing w:after="0" w:before="0" w:line="230"/>
            </w:pPr>
            <w:r>
              <w:rPr>
                <w:rFonts w:ascii="Aptos" w:cs="Aptos" w:eastAsia="Aptos" w:hAnsi="Aptos"/>
                <w:b w:val="false"/>
                <w:bCs w:val="false"/>
                <w:i w:val="false"/>
                <w:iCs w:val="false"/>
                <w:color w:val="16335D"/>
                <w:sz w:val="18"/>
                <w:szCs w:val="18"/>
              </w:rPr>
              <w:t xml:space="preserve">Case records, source guidance, chunks, retrieval results, method notes.</w:t>
            </w:r>
          </w:p>
        </w:tc>
        <w:tc>
          <w:tcPr>
            <w:tcW w:type="dxa" w:w="2760"/>
            <w:tcBorders>
              <w:top w:val="single" w:color="B7CBEA" w:sz="6"/>
              <w:left w:val="single" w:color="B7CBEA" w:sz="6"/>
              <w:bottom w:val="single" w:color="B7CBEA" w:sz="6"/>
              <w:right w:val="single" w:color="B7CBEA" w:sz="6"/>
            </w:tcBorders>
            <w:tcMar>
              <w:top w:type="dxa" w:w="90"/>
              <w:left w:type="dxa" w:w="110"/>
              <w:bottom w:type="dxa" w:w="90"/>
              <w:right w:type="dxa" w:w="110"/>
            </w:tcMar>
          </w:tcPr>
          <w:p>
            <w:pPr>
              <w:spacing w:after="0" w:before="0" w:line="230"/>
            </w:pPr>
            <w:r>
              <w:rPr>
                <w:rFonts w:ascii="Aptos" w:cs="Aptos" w:eastAsia="Aptos" w:hAnsi="Aptos"/>
                <w:b w:val="false"/>
                <w:bCs w:val="false"/>
                <w:i w:val="false"/>
                <w:iCs w:val="false"/>
                <w:color w:val="16335D"/>
                <w:sz w:val="18"/>
                <w:szCs w:val="18"/>
              </w:rPr>
              <w:t xml:space="preserve">Citations point to supplied text; they do not authenticate it.</w:t>
            </w:r>
          </w:p>
        </w:tc>
      </w:tr>
      <w:tr>
        <w:tc>
          <w:tcPr>
            <w:tcW w:type="dxa" w:w="850"/>
            <w:tcBorders>
              <w:top w:val="single" w:color="B7CBEA" w:sz="6"/>
              <w:left w:val="single" w:color="B7CBEA" w:sz="6"/>
              <w:bottom w:val="single" w:color="B7CBEA" w:sz="6"/>
              <w:right w:val="single" w:color="B7CBEA" w:sz="6"/>
            </w:tcBorders>
            <w:tcMar>
              <w:top w:type="dxa" w:w="90"/>
              <w:left w:type="dxa" w:w="110"/>
              <w:bottom w:type="dxa" w:w="90"/>
              <w:right w:type="dxa" w:w="110"/>
            </w:tcMar>
          </w:tcPr>
          <w:p>
            <w:pPr>
              <w:spacing w:after="0" w:before="0" w:line="230"/>
            </w:pPr>
            <w:r>
              <w:rPr>
                <w:rFonts w:ascii="Aptos" w:cs="Aptos" w:eastAsia="Aptos" w:hAnsi="Aptos"/>
                <w:b w:val="false"/>
                <w:bCs w:val="false"/>
                <w:i w:val="false"/>
                <w:iCs w:val="false"/>
                <w:color w:val="16335D"/>
                <w:sz w:val="18"/>
                <w:szCs w:val="18"/>
              </w:rPr>
              <w:t xml:space="preserve">4. Decide</w:t>
            </w:r>
          </w:p>
        </w:tc>
        <w:tc>
          <w:tcPr>
            <w:tcW w:type="dxa" w:w="2250"/>
            <w:tcBorders>
              <w:top w:val="single" w:color="B7CBEA" w:sz="6"/>
              <w:left w:val="single" w:color="B7CBEA" w:sz="6"/>
              <w:bottom w:val="single" w:color="B7CBEA" w:sz="6"/>
              <w:right w:val="single" w:color="B7CBEA" w:sz="6"/>
            </w:tcBorders>
            <w:tcMar>
              <w:top w:type="dxa" w:w="90"/>
              <w:left w:type="dxa" w:w="110"/>
              <w:bottom w:type="dxa" w:w="90"/>
              <w:right w:type="dxa" w:w="110"/>
            </w:tcMar>
          </w:tcPr>
          <w:p>
            <w:pPr>
              <w:spacing w:after="0" w:before="0" w:line="230"/>
            </w:pPr>
            <w:r>
              <w:rPr>
                <w:rFonts w:ascii="Aptos" w:cs="Aptos" w:eastAsia="Aptos" w:hAnsi="Aptos"/>
                <w:b w:val="false"/>
                <w:bCs w:val="false"/>
                <w:i w:val="false"/>
                <w:iCs w:val="false"/>
                <w:color w:val="16335D"/>
                <w:sz w:val="18"/>
                <w:szCs w:val="18"/>
              </w:rPr>
              <w:t xml:space="preserve">Record request-for-information or escalation with a rationale.</w:t>
            </w:r>
          </w:p>
        </w:tc>
        <w:tc>
          <w:tcPr>
            <w:tcW w:type="dxa" w:w="3500"/>
            <w:tcBorders>
              <w:top w:val="single" w:color="B7CBEA" w:sz="6"/>
              <w:left w:val="single" w:color="B7CBEA" w:sz="6"/>
              <w:bottom w:val="single" w:color="B7CBEA" w:sz="6"/>
              <w:right w:val="single" w:color="B7CBEA" w:sz="6"/>
            </w:tcBorders>
            <w:tcMar>
              <w:top w:type="dxa" w:w="90"/>
              <w:left w:type="dxa" w:w="110"/>
              <w:bottom w:type="dxa" w:w="90"/>
              <w:right w:type="dxa" w:w="110"/>
            </w:tcMar>
          </w:tcPr>
          <w:p>
            <w:pPr>
              <w:spacing w:after="0" w:before="0" w:line="230"/>
            </w:pPr>
            <w:r>
              <w:rPr>
                <w:rFonts w:ascii="Aptos" w:cs="Aptos" w:eastAsia="Aptos" w:hAnsi="Aptos"/>
                <w:b w:val="false"/>
                <w:bCs w:val="false"/>
                <w:i w:val="false"/>
                <w:iCs w:val="false"/>
                <w:color w:val="16335D"/>
                <w:sz w:val="18"/>
                <w:szCs w:val="18"/>
              </w:rPr>
              <w:t xml:space="preserve">Locked recorded-action state and append-only audit history.</w:t>
            </w:r>
          </w:p>
        </w:tc>
        <w:tc>
          <w:tcPr>
            <w:tcW w:type="dxa" w:w="2760"/>
            <w:tcBorders>
              <w:top w:val="single" w:color="B7CBEA" w:sz="6"/>
              <w:left w:val="single" w:color="B7CBEA" w:sz="6"/>
              <w:bottom w:val="single" w:color="B7CBEA" w:sz="6"/>
              <w:right w:val="single" w:color="B7CBEA" w:sz="6"/>
            </w:tcBorders>
            <w:tcMar>
              <w:top w:type="dxa" w:w="90"/>
              <w:left w:type="dxa" w:w="110"/>
              <w:bottom w:type="dxa" w:w="90"/>
              <w:right w:type="dxa" w:w="110"/>
            </w:tcMar>
          </w:tcPr>
          <w:p>
            <w:pPr>
              <w:spacing w:after="0" w:before="0" w:line="230"/>
            </w:pPr>
            <w:r>
              <w:rPr>
                <w:rFonts w:ascii="Aptos" w:cs="Aptos" w:eastAsia="Aptos" w:hAnsi="Aptos"/>
                <w:b w:val="false"/>
                <w:bCs w:val="false"/>
                <w:i w:val="false"/>
                <w:iCs w:val="false"/>
                <w:color w:val="16335D"/>
                <w:sz w:val="18"/>
                <w:szCs w:val="18"/>
              </w:rPr>
              <w:t xml:space="preserve">Only a human can act; completed actions cannot be edited in place.</w:t>
            </w:r>
          </w:p>
        </w:tc>
      </w:tr>
      <w:tr>
        <w:tc>
          <w:tcPr>
            <w:tcW w:type="dxa" w:w="850"/>
            <w:tcBorders>
              <w:top w:val="single" w:color="B7CBEA" w:sz="6"/>
              <w:left w:val="single" w:color="B7CBEA" w:sz="6"/>
              <w:bottom w:val="single" w:color="B7CBEA" w:sz="6"/>
              <w:right w:val="single" w:color="B7CBEA" w:sz="6"/>
            </w:tcBorders>
            <w:tcMar>
              <w:top w:type="dxa" w:w="90"/>
              <w:left w:type="dxa" w:w="110"/>
              <w:bottom w:type="dxa" w:w="90"/>
              <w:right w:type="dxa" w:w="110"/>
            </w:tcMar>
          </w:tcPr>
          <w:p>
            <w:pPr>
              <w:spacing w:after="0" w:before="0" w:line="230"/>
            </w:pPr>
            <w:r>
              <w:rPr>
                <w:rFonts w:ascii="Aptos" w:cs="Aptos" w:eastAsia="Aptos" w:hAnsi="Aptos"/>
                <w:b w:val="false"/>
                <w:bCs w:val="false"/>
                <w:i w:val="false"/>
                <w:iCs w:val="false"/>
                <w:color w:val="16335D"/>
                <w:sz w:val="18"/>
                <w:szCs w:val="18"/>
              </w:rPr>
              <w:t xml:space="preserve">5. Second review</w:t>
            </w:r>
          </w:p>
        </w:tc>
        <w:tc>
          <w:tcPr>
            <w:tcW w:type="dxa" w:w="2250"/>
            <w:tcBorders>
              <w:top w:val="single" w:color="B7CBEA" w:sz="6"/>
              <w:left w:val="single" w:color="B7CBEA" w:sz="6"/>
              <w:bottom w:val="single" w:color="B7CBEA" w:sz="6"/>
              <w:right w:val="single" w:color="B7CBEA" w:sz="6"/>
            </w:tcBorders>
            <w:tcMar>
              <w:top w:type="dxa" w:w="90"/>
              <w:left w:type="dxa" w:w="110"/>
              <w:bottom w:type="dxa" w:w="90"/>
              <w:right w:type="dxa" w:w="110"/>
            </w:tcMar>
          </w:tcPr>
          <w:p>
            <w:pPr>
              <w:spacing w:after="0" w:before="0" w:line="230"/>
            </w:pPr>
            <w:r>
              <w:rPr>
                <w:rFonts w:ascii="Aptos" w:cs="Aptos" w:eastAsia="Aptos" w:hAnsi="Aptos"/>
                <w:b w:val="false"/>
                <w:bCs w:val="false"/>
                <w:i w:val="false"/>
                <w:iCs w:val="false"/>
                <w:color w:val="16335D"/>
                <w:sz w:val="18"/>
                <w:szCs w:val="18"/>
              </w:rPr>
              <w:t xml:space="preserve">A Compliance Officer acknowledges, returns, or records an onward referral.</w:t>
            </w:r>
          </w:p>
        </w:tc>
        <w:tc>
          <w:tcPr>
            <w:tcW w:type="dxa" w:w="3500"/>
            <w:tcBorders>
              <w:top w:val="single" w:color="B7CBEA" w:sz="6"/>
              <w:left w:val="single" w:color="B7CBEA" w:sz="6"/>
              <w:bottom w:val="single" w:color="B7CBEA" w:sz="6"/>
              <w:right w:val="single" w:color="B7CBEA" w:sz="6"/>
            </w:tcBorders>
            <w:tcMar>
              <w:top w:type="dxa" w:w="90"/>
              <w:left w:type="dxa" w:w="110"/>
              <w:bottom w:type="dxa" w:w="90"/>
              <w:right w:type="dxa" w:w="110"/>
            </w:tcMar>
          </w:tcPr>
          <w:p>
            <w:pPr>
              <w:spacing w:after="0" w:before="0" w:line="230"/>
            </w:pPr>
            <w:r>
              <w:rPr>
                <w:rFonts w:ascii="Aptos" w:cs="Aptos" w:eastAsia="Aptos" w:hAnsi="Aptos"/>
                <w:b w:val="false"/>
                <w:bCs w:val="false"/>
                <w:i w:val="false"/>
                <w:iCs w:val="false"/>
                <w:color w:val="16335D"/>
                <w:sz w:val="18"/>
                <w:szCs w:val="18"/>
              </w:rPr>
              <w:t xml:space="preserve">Outcome mapping back to the queue and audit history.</w:t>
            </w:r>
          </w:p>
        </w:tc>
        <w:tc>
          <w:tcPr>
            <w:tcW w:type="dxa" w:w="2760"/>
            <w:tcBorders>
              <w:top w:val="single" w:color="B7CBEA" w:sz="6"/>
              <w:left w:val="single" w:color="B7CBEA" w:sz="6"/>
              <w:bottom w:val="single" w:color="B7CBEA" w:sz="6"/>
              <w:right w:val="single" w:color="B7CBEA" w:sz="6"/>
            </w:tcBorders>
            <w:tcMar>
              <w:top w:type="dxa" w:w="90"/>
              <w:left w:type="dxa" w:w="110"/>
              <w:bottom w:type="dxa" w:w="90"/>
              <w:right w:type="dxa" w:w="110"/>
            </w:tcMar>
          </w:tcPr>
          <w:p>
            <w:pPr>
              <w:spacing w:after="0" w:before="0" w:line="230"/>
            </w:pPr>
            <w:r>
              <w:rPr>
                <w:rFonts w:ascii="Aptos" w:cs="Aptos" w:eastAsia="Aptos" w:hAnsi="Aptos"/>
                <w:b w:val="false"/>
                <w:bCs w:val="false"/>
                <w:i w:val="false"/>
                <w:iCs w:val="false"/>
                <w:color w:val="16335D"/>
                <w:sz w:val="18"/>
                <w:szCs w:val="18"/>
              </w:rPr>
              <w:t xml:space="preserve">The tool never files externally.</w:t>
            </w:r>
          </w:p>
        </w:tc>
      </w:tr>
    </w:tbl>
    <w:p>
      <w:pPr>
        <w:pStyle w:val="Heading2"/>
        <w:spacing w:after="130" w:before="210"/>
      </w:pPr>
      <w:r>
        <w:t xml:space="preserve">Case Queue: the operational starting point</w:t>
      </w:r>
    </w:p>
    <w:p>
      <w:pPr>
        <w:spacing w:after="140" w:before="0" w:line="276"/>
      </w:pPr>
      <w:r>
        <w:rPr>
          <w:rFonts w:ascii="Aptos" w:cs="Aptos" w:eastAsia="Aptos" w:hAnsi="Aptos"/>
          <w:b w:val="false"/>
          <w:bCs w:val="false"/>
          <w:i w:val="false"/>
          <w:iCs w:val="false"/>
          <w:color w:val="16335D"/>
          <w:sz w:val="21"/>
          <w:szCs w:val="21"/>
        </w:rPr>
        <w:t xml:space="preserve">Queue cards summarize the fictional workload. Filters narrow by severity, status, scenario, and customer name. A row’s status explains where it is in the workflow; its action opens the appropriate context. Completed cases expose Evidence rather than an invitation to alter a submitted decision.</w:t>
      </w:r>
    </w:p>
    <w:p>
      <w:pPr>
        <w:spacing w:after="55" w:before="120"/>
        <w:jc w:val="center"/>
      </w:pPr>
      <w:r>
        <w:drawing>
          <wp:inline distT="0" distB="0" distL="0" distR="0">
            <wp:extent cx="6096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3429000"/>
                    </a:xfrm>
                    <a:prstGeom prst="rect">
                      <a:avLst/>
                    </a:prstGeom>
                  </pic:spPr>
                </pic:pic>
              </a:graphicData>
            </a:graphic>
          </wp:inline>
        </w:drawing>
      </w:r>
    </w:p>
    <w:p>
      <w:pPr>
        <w:spacing w:after="180" w:before="0" w:line="230"/>
        <w:jc w:val="center"/>
      </w:pPr>
      <w:r>
        <w:rPr>
          <w:rFonts w:ascii="Aptos" w:cs="Aptos" w:eastAsia="Aptos" w:hAnsi="Aptos"/>
          <w:b w:val="false"/>
          <w:bCs w:val="false"/>
          <w:i/>
          <w:iCs/>
          <w:color w:val="63738D"/>
          <w:sz w:val="17"/>
          <w:szCs w:val="17"/>
        </w:rPr>
        <w:t xml:space="preserve">Figure — Queue filters and case table. The search field, current status, rule metadata, and action are separate controls.</w:t>
      </w:r>
    </w:p>
    <w:p>
      <w:r>
        <w:br w:type="page"/>
      </w:r>
    </w:p>
    <w:p>
      <w:pPr>
        <w:pStyle w:val="Heading1"/>
        <w:spacing w:after="130" w:before="300"/>
      </w:pPr>
      <w:r>
        <w:t xml:space="preserve">3. Investigation Workspace</w:t>
      </w:r>
    </w:p>
    <w:p>
      <w:pPr>
        <w:spacing w:after="140" w:before="0" w:line="276"/>
      </w:pPr>
      <w:r>
        <w:rPr>
          <w:rFonts w:ascii="Aptos" w:cs="Aptos" w:eastAsia="Aptos" w:hAnsi="Aptos"/>
          <w:b w:val="false"/>
          <w:bCs w:val="false"/>
          <w:i w:val="false"/>
          <w:iCs w:val="false"/>
          <w:color w:val="16335D"/>
          <w:sz w:val="21"/>
          <w:szCs w:val="21"/>
        </w:rPr>
        <w:t xml:space="preserve">The Investigation Workspace is the main review surface. A case selector and mode control make the source of the displayed report explicit.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000"/>
        <w:gridCol w:w="3460"/>
      </w:tblGrid>
      <w:tr>
        <w:trPr>
          <w:tblHeader/>
        </w:trPr>
        <w:tc>
          <w:tcPr>
            <w:tcW w:type="dxa" w:w="1900"/>
            <w:tcBorders>
              <w:top w:val="single" w:color="B7CBEA" w:sz="6"/>
              <w:left w:val="single" w:color="B7CBEA" w:sz="6"/>
              <w:bottom w:val="single" w:color="B7CBEA" w:sz="6"/>
              <w:right w:val="single" w:color="B7CBEA" w:sz="6"/>
            </w:tcBorders>
            <w:shd w:fill="16335D" w:color="16335D" w:val="clear"/>
            <w:tcMar>
              <w:top w:type="dxa" w:w="90"/>
              <w:left w:type="dxa" w:w="110"/>
              <w:bottom w:type="dxa" w:w="90"/>
              <w:right w:type="dxa" w:w="110"/>
            </w:tcMar>
          </w:tcPr>
          <w:p>
            <w:pPr>
              <w:spacing w:after="0" w:before="0" w:line="230"/>
            </w:pPr>
            <w:r>
              <w:rPr>
                <w:rFonts w:ascii="Aptos" w:cs="Aptos" w:eastAsia="Aptos" w:hAnsi="Aptos"/>
                <w:b/>
                <w:bCs/>
                <w:i w:val="false"/>
                <w:iCs w:val="false"/>
                <w:color w:val="FFFFFF"/>
                <w:sz w:val="18"/>
                <w:szCs w:val="18"/>
              </w:rPr>
              <w:t xml:space="preserve">Mode</w:t>
            </w:r>
          </w:p>
        </w:tc>
        <w:tc>
          <w:tcPr>
            <w:tcW w:type="dxa" w:w="4000"/>
            <w:tcBorders>
              <w:top w:val="single" w:color="B7CBEA" w:sz="6"/>
              <w:left w:val="single" w:color="B7CBEA" w:sz="6"/>
              <w:bottom w:val="single" w:color="B7CBEA" w:sz="6"/>
              <w:right w:val="single" w:color="B7CBEA" w:sz="6"/>
            </w:tcBorders>
            <w:shd w:fill="16335D" w:color="16335D" w:val="clear"/>
            <w:tcMar>
              <w:top w:type="dxa" w:w="90"/>
              <w:left w:type="dxa" w:w="110"/>
              <w:bottom w:type="dxa" w:w="90"/>
              <w:right w:type="dxa" w:w="110"/>
            </w:tcMar>
          </w:tcPr>
          <w:p>
            <w:pPr>
              <w:spacing w:after="0" w:before="0" w:line="230"/>
            </w:pPr>
            <w:r>
              <w:rPr>
                <w:rFonts w:ascii="Aptos" w:cs="Aptos" w:eastAsia="Aptos" w:hAnsi="Aptos"/>
                <w:b/>
                <w:bCs/>
                <w:i w:val="false"/>
                <w:iCs w:val="false"/>
                <w:color w:val="FFFFFF"/>
                <w:sz w:val="18"/>
                <w:szCs w:val="18"/>
              </w:rPr>
              <w:t xml:space="preserve">Purpose</w:t>
            </w:r>
          </w:p>
        </w:tc>
        <w:tc>
          <w:tcPr>
            <w:tcW w:type="dxa" w:w="3460"/>
            <w:tcBorders>
              <w:top w:val="single" w:color="B7CBEA" w:sz="6"/>
              <w:left w:val="single" w:color="B7CBEA" w:sz="6"/>
              <w:bottom w:val="single" w:color="B7CBEA" w:sz="6"/>
              <w:right w:val="single" w:color="B7CBEA" w:sz="6"/>
            </w:tcBorders>
            <w:shd w:fill="16335D" w:color="16335D" w:val="clear"/>
            <w:tcMar>
              <w:top w:type="dxa" w:w="90"/>
              <w:left w:type="dxa" w:w="110"/>
              <w:bottom w:type="dxa" w:w="90"/>
              <w:right w:type="dxa" w:w="110"/>
            </w:tcMar>
          </w:tcPr>
          <w:p>
            <w:pPr>
              <w:spacing w:after="0" w:before="0" w:line="230"/>
            </w:pPr>
            <w:r>
              <w:rPr>
                <w:rFonts w:ascii="Aptos" w:cs="Aptos" w:eastAsia="Aptos" w:hAnsi="Aptos"/>
                <w:b/>
                <w:bCs/>
                <w:i w:val="false"/>
                <w:iCs w:val="false"/>
                <w:color w:val="FFFFFF"/>
                <w:sz w:val="18"/>
                <w:szCs w:val="18"/>
              </w:rPr>
              <w:t xml:space="preserve">Safety boundary</w:t>
            </w:r>
          </w:p>
        </w:tc>
      </w:tr>
      <w:tr>
        <w:tc>
          <w:tcPr>
            <w:tcW w:type="dxa" w:w="1900"/>
            <w:tcBorders>
              <w:top w:val="single" w:color="B7CBEA" w:sz="6"/>
              <w:left w:val="single" w:color="B7CBEA" w:sz="6"/>
              <w:bottom w:val="single" w:color="B7CBEA" w:sz="6"/>
              <w:right w:val="single" w:color="B7CBEA" w:sz="6"/>
            </w:tcBorders>
            <w:tcMar>
              <w:top w:type="dxa" w:w="90"/>
              <w:left w:type="dxa" w:w="110"/>
              <w:bottom w:type="dxa" w:w="90"/>
              <w:right w:type="dxa" w:w="110"/>
            </w:tcMar>
          </w:tcPr>
          <w:p>
            <w:pPr>
              <w:spacing w:after="0" w:before="0" w:line="230"/>
            </w:pPr>
            <w:r>
              <w:rPr>
                <w:rFonts w:ascii="Aptos" w:cs="Aptos" w:eastAsia="Aptos" w:hAnsi="Aptos"/>
                <w:b w:val="false"/>
                <w:bCs w:val="false"/>
                <w:i w:val="false"/>
                <w:iCs w:val="false"/>
                <w:color w:val="16335D"/>
                <w:sz w:val="18"/>
                <w:szCs w:val="18"/>
              </w:rPr>
              <w:t xml:space="preserve">Saved report</w:t>
            </w:r>
          </w:p>
        </w:tc>
        <w:tc>
          <w:tcPr>
            <w:tcW w:type="dxa" w:w="4000"/>
            <w:tcBorders>
              <w:top w:val="single" w:color="B7CBEA" w:sz="6"/>
              <w:left w:val="single" w:color="B7CBEA" w:sz="6"/>
              <w:bottom w:val="single" w:color="B7CBEA" w:sz="6"/>
              <w:right w:val="single" w:color="B7CBEA" w:sz="6"/>
            </w:tcBorders>
            <w:tcMar>
              <w:top w:type="dxa" w:w="90"/>
              <w:left w:type="dxa" w:w="110"/>
              <w:bottom w:type="dxa" w:w="90"/>
              <w:right w:type="dxa" w:w="110"/>
            </w:tcMar>
          </w:tcPr>
          <w:p>
            <w:pPr>
              <w:spacing w:after="0" w:before="0" w:line="230"/>
            </w:pPr>
            <w:r>
              <w:rPr>
                <w:rFonts w:ascii="Aptos" w:cs="Aptos" w:eastAsia="Aptos" w:hAnsi="Aptos"/>
                <w:b w:val="false"/>
                <w:bCs w:val="false"/>
                <w:i w:val="false"/>
                <w:iCs w:val="false"/>
                <w:color w:val="16335D"/>
                <w:sz w:val="18"/>
                <w:szCs w:val="18"/>
              </w:rPr>
              <w:t xml:space="preserve">Replays a historical saved snapshot for a repeatable demonstration.</w:t>
            </w:r>
          </w:p>
        </w:tc>
        <w:tc>
          <w:tcPr>
            <w:tcW w:type="dxa" w:w="3460"/>
            <w:tcBorders>
              <w:top w:val="single" w:color="B7CBEA" w:sz="6"/>
              <w:left w:val="single" w:color="B7CBEA" w:sz="6"/>
              <w:bottom w:val="single" w:color="B7CBEA" w:sz="6"/>
              <w:right w:val="single" w:color="B7CBEA" w:sz="6"/>
            </w:tcBorders>
            <w:tcMar>
              <w:top w:type="dxa" w:w="90"/>
              <w:left w:type="dxa" w:w="110"/>
              <w:bottom w:type="dxa" w:w="90"/>
              <w:right w:type="dxa" w:w="110"/>
            </w:tcMar>
          </w:tcPr>
          <w:p>
            <w:pPr>
              <w:spacing w:after="0" w:before="0" w:line="230"/>
            </w:pPr>
            <w:r>
              <w:rPr>
                <w:rFonts w:ascii="Aptos" w:cs="Aptos" w:eastAsia="Aptos" w:hAnsi="Aptos"/>
                <w:b w:val="false"/>
                <w:bCs w:val="false"/>
                <w:i w:val="false"/>
                <w:iCs w:val="false"/>
                <w:color w:val="16335D"/>
                <w:sz w:val="18"/>
                <w:szCs w:val="18"/>
              </w:rPr>
              <w:t xml:space="preserve">It must not be confused with current index contents or a fresh model call.</w:t>
            </w:r>
          </w:p>
        </w:tc>
      </w:tr>
      <w:tr>
        <w:tc>
          <w:tcPr>
            <w:tcW w:type="dxa" w:w="1900"/>
            <w:tcBorders>
              <w:top w:val="single" w:color="B7CBEA" w:sz="6"/>
              <w:left w:val="single" w:color="B7CBEA" w:sz="6"/>
              <w:bottom w:val="single" w:color="B7CBEA" w:sz="6"/>
              <w:right w:val="single" w:color="B7CBEA" w:sz="6"/>
            </w:tcBorders>
            <w:tcMar>
              <w:top w:type="dxa" w:w="90"/>
              <w:left w:type="dxa" w:w="110"/>
              <w:bottom w:type="dxa" w:w="90"/>
              <w:right w:type="dxa" w:w="110"/>
            </w:tcMar>
          </w:tcPr>
          <w:p>
            <w:pPr>
              <w:spacing w:after="0" w:before="0" w:line="230"/>
            </w:pPr>
            <w:r>
              <w:rPr>
                <w:rFonts w:ascii="Aptos" w:cs="Aptos" w:eastAsia="Aptos" w:hAnsi="Aptos"/>
                <w:b w:val="false"/>
                <w:bCs w:val="false"/>
                <w:i w:val="false"/>
                <w:iCs w:val="false"/>
                <w:color w:val="16335D"/>
                <w:sz w:val="18"/>
                <w:szCs w:val="18"/>
              </w:rPr>
              <w:t xml:space="preserve">Calculated</w:t>
            </w:r>
          </w:p>
        </w:tc>
        <w:tc>
          <w:tcPr>
            <w:tcW w:type="dxa" w:w="4000"/>
            <w:tcBorders>
              <w:top w:val="single" w:color="B7CBEA" w:sz="6"/>
              <w:left w:val="single" w:color="B7CBEA" w:sz="6"/>
              <w:bottom w:val="single" w:color="B7CBEA" w:sz="6"/>
              <w:right w:val="single" w:color="B7CBEA" w:sz="6"/>
            </w:tcBorders>
            <w:tcMar>
              <w:top w:type="dxa" w:w="90"/>
              <w:left w:type="dxa" w:w="110"/>
              <w:bottom w:type="dxa" w:w="90"/>
              <w:right w:type="dxa" w:w="110"/>
            </w:tcMar>
          </w:tcPr>
          <w:p>
            <w:pPr>
              <w:spacing w:after="0" w:before="0" w:line="230"/>
            </w:pPr>
            <w:r>
              <w:rPr>
                <w:rFonts w:ascii="Aptos" w:cs="Aptos" w:eastAsia="Aptos" w:hAnsi="Aptos"/>
                <w:b w:val="false"/>
                <w:bCs w:val="false"/>
                <w:i w:val="false"/>
                <w:iCs w:val="false"/>
                <w:color w:val="16335D"/>
                <w:sz w:val="18"/>
                <w:szCs w:val="18"/>
              </w:rPr>
              <w:t xml:space="preserve">Recomputes the review from current stored fictional rows without a model call.</w:t>
            </w:r>
          </w:p>
        </w:tc>
        <w:tc>
          <w:tcPr>
            <w:tcW w:type="dxa" w:w="3460"/>
            <w:tcBorders>
              <w:top w:val="single" w:color="B7CBEA" w:sz="6"/>
              <w:left w:val="single" w:color="B7CBEA" w:sz="6"/>
              <w:bottom w:val="single" w:color="B7CBEA" w:sz="6"/>
              <w:right w:val="single" w:color="B7CBEA" w:sz="6"/>
            </w:tcBorders>
            <w:tcMar>
              <w:top w:type="dxa" w:w="90"/>
              <w:left w:type="dxa" w:w="110"/>
              <w:bottom w:type="dxa" w:w="90"/>
              <w:right w:type="dxa" w:w="110"/>
            </w:tcMar>
          </w:tcPr>
          <w:p>
            <w:pPr>
              <w:spacing w:after="0" w:before="0" w:line="230"/>
            </w:pPr>
            <w:r>
              <w:rPr>
                <w:rFonts w:ascii="Aptos" w:cs="Aptos" w:eastAsia="Aptos" w:hAnsi="Aptos"/>
                <w:b w:val="false"/>
                <w:bCs w:val="false"/>
                <w:i w:val="false"/>
                <w:iCs w:val="false"/>
                <w:color w:val="16335D"/>
                <w:sz w:val="18"/>
                <w:szCs w:val="18"/>
              </w:rPr>
              <w:t xml:space="preserve">A calculation still depends on supplied data and does not verify external facts.</w:t>
            </w:r>
          </w:p>
        </w:tc>
      </w:tr>
      <w:tr>
        <w:tc>
          <w:tcPr>
            <w:tcW w:type="dxa" w:w="1900"/>
            <w:tcBorders>
              <w:top w:val="single" w:color="B7CBEA" w:sz="6"/>
              <w:left w:val="single" w:color="B7CBEA" w:sz="6"/>
              <w:bottom w:val="single" w:color="B7CBEA" w:sz="6"/>
              <w:right w:val="single" w:color="B7CBEA" w:sz="6"/>
            </w:tcBorders>
            <w:tcMar>
              <w:top w:type="dxa" w:w="90"/>
              <w:left w:type="dxa" w:w="110"/>
              <w:bottom w:type="dxa" w:w="90"/>
              <w:right w:type="dxa" w:w="110"/>
            </w:tcMar>
          </w:tcPr>
          <w:p>
            <w:pPr>
              <w:spacing w:after="0" w:before="0" w:line="230"/>
            </w:pPr>
            <w:r>
              <w:rPr>
                <w:rFonts w:ascii="Aptos" w:cs="Aptos" w:eastAsia="Aptos" w:hAnsi="Aptos"/>
                <w:b w:val="false"/>
                <w:bCs w:val="false"/>
                <w:i w:val="false"/>
                <w:iCs w:val="false"/>
                <w:color w:val="16335D"/>
                <w:sz w:val="18"/>
                <w:szCs w:val="18"/>
              </w:rPr>
              <w:t xml:space="preserve">AI draft</w:t>
            </w:r>
          </w:p>
        </w:tc>
        <w:tc>
          <w:tcPr>
            <w:tcW w:type="dxa" w:w="4000"/>
            <w:tcBorders>
              <w:top w:val="single" w:color="B7CBEA" w:sz="6"/>
              <w:left w:val="single" w:color="B7CBEA" w:sz="6"/>
              <w:bottom w:val="single" w:color="B7CBEA" w:sz="6"/>
              <w:right w:val="single" w:color="B7CBEA" w:sz="6"/>
            </w:tcBorders>
            <w:tcMar>
              <w:top w:type="dxa" w:w="90"/>
              <w:left w:type="dxa" w:w="110"/>
              <w:bottom w:type="dxa" w:w="90"/>
              <w:right w:type="dxa" w:w="110"/>
            </w:tcMar>
          </w:tcPr>
          <w:p>
            <w:pPr>
              <w:spacing w:after="0" w:before="0" w:line="230"/>
            </w:pPr>
            <w:r>
              <w:rPr>
                <w:rFonts w:ascii="Aptos" w:cs="Aptos" w:eastAsia="Aptos" w:hAnsi="Aptos"/>
                <w:b w:val="false"/>
                <w:bCs w:val="false"/>
                <w:i w:val="false"/>
                <w:iCs w:val="false"/>
                <w:color w:val="16335D"/>
                <w:sz w:val="18"/>
                <w:szCs w:val="18"/>
              </w:rPr>
              <w:t xml:space="preserve">Optional live drafting mode when configured.</w:t>
            </w:r>
          </w:p>
        </w:tc>
        <w:tc>
          <w:tcPr>
            <w:tcW w:type="dxa" w:w="3460"/>
            <w:tcBorders>
              <w:top w:val="single" w:color="B7CBEA" w:sz="6"/>
              <w:left w:val="single" w:color="B7CBEA" w:sz="6"/>
              <w:bottom w:val="single" w:color="B7CBEA" w:sz="6"/>
              <w:right w:val="single" w:color="B7CBEA" w:sz="6"/>
            </w:tcBorders>
            <w:tcMar>
              <w:top w:type="dxa" w:w="90"/>
              <w:left w:type="dxa" w:w="110"/>
              <w:bottom w:type="dxa" w:w="90"/>
              <w:right w:type="dxa" w:w="110"/>
            </w:tcMar>
          </w:tcPr>
          <w:p>
            <w:pPr>
              <w:spacing w:after="0" w:before="0" w:line="230"/>
            </w:pPr>
            <w:r>
              <w:rPr>
                <w:rFonts w:ascii="Aptos" w:cs="Aptos" w:eastAsia="Aptos" w:hAnsi="Aptos"/>
                <w:b w:val="false"/>
                <w:bCs w:val="false"/>
                <w:i w:val="false"/>
                <w:iCs w:val="false"/>
                <w:color w:val="16335D"/>
                <w:sz w:val="18"/>
                <w:szCs w:val="18"/>
              </w:rPr>
              <w:t xml:space="preserve">A draft is subject to evidence checks and remains advisory; a human action is still required.</w:t>
            </w:r>
          </w:p>
        </w:tc>
      </w:tr>
    </w:tbl>
    <w:p>
      <w:pPr>
        <w:spacing w:after="55" w:before="120"/>
        <w:jc w:val="center"/>
      </w:pPr>
      <w:r>
        <w:drawing>
          <wp:inline distT="0" distB="0" distL="0" distR="0">
            <wp:extent cx="6096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96000" cy="3429000"/>
                    </a:xfrm>
                    <a:prstGeom prst="rect">
                      <a:avLst/>
                    </a:prstGeom>
                  </pic:spPr>
                </pic:pic>
              </a:graphicData>
            </a:graphic>
          </wp:inline>
        </w:drawing>
      </w:r>
    </w:p>
    <w:p>
      <w:pPr>
        <w:spacing w:after="180" w:before="0" w:line="230"/>
        <w:jc w:val="center"/>
      </w:pPr>
      <w:r>
        <w:rPr>
          <w:rFonts w:ascii="Aptos" w:cs="Aptos" w:eastAsia="Aptos" w:hAnsi="Aptos"/>
          <w:b w:val="false"/>
          <w:bCs w:val="false"/>
          <w:i/>
          <w:iCs/>
          <w:color w:val="63738D"/>
          <w:sz w:val="17"/>
          <w:szCs w:val="17"/>
        </w:rPr>
        <w:t xml:space="preserve">Figure — Workspace report controls and validator result. Run investigation builds or replays a review; it does not record a decision.</w:t>
      </w:r>
    </w:p>
    <w:p>
      <w:pPr>
        <w:pStyle w:val="Heading2"/>
        <w:spacing w:after="130" w:before="210"/>
      </w:pPr>
      <w:r>
        <w:t xml:space="preserve">Evidence confidence</w:t>
      </w:r>
    </w:p>
    <w:p>
      <w:pPr>
        <w:spacing w:after="140" w:before="0" w:line="276"/>
      </w:pPr>
      <w:r>
        <w:rPr>
          <w:rFonts w:ascii="Aptos" w:cs="Aptos" w:eastAsia="Aptos" w:hAnsi="Aptos"/>
          <w:b w:val="false"/>
          <w:bCs w:val="false"/>
          <w:i w:val="false"/>
          <w:iCs w:val="false"/>
          <w:color w:val="16335D"/>
          <w:sz w:val="21"/>
          <w:szCs w:val="21"/>
        </w:rPr>
        <w:t xml:space="preserve">The evidence-confidence card is the visible responsible-AI control. It brings uncertainty into the case report instead of hiding it behind a confident sounding narrative.</w:t>
      </w:r>
    </w:p>
    <w:p>
      <w:pPr>
        <w:pStyle w:val="ListParagraph"/>
        <w:numPr>
          <w:ilvl w:val="0"/>
          <w:numId w:val="2"/>
        </w:numPr>
        <w:spacing w:after="55" w:before="0" w:line="276"/>
      </w:pPr>
      <w:r>
        <w:rPr>
          <w:rFonts w:ascii="Aptos" w:cs="Aptos" w:eastAsia="Aptos" w:hAnsi="Aptos"/>
          <w:b w:val="false"/>
          <w:bCs w:val="false"/>
          <w:i w:val="false"/>
          <w:iCs w:val="false"/>
          <w:color w:val="16335D"/>
          <w:sz w:val="21"/>
          <w:szCs w:val="21"/>
        </w:rPr>
        <w:t xml:space="preserve">Evidence support score: deterministic summary of how much of the draft is supported by the supplied evidence and guidance.</w:t>
      </w:r>
    </w:p>
    <w:p>
      <w:pPr>
        <w:pStyle w:val="ListParagraph"/>
        <w:numPr>
          <w:ilvl w:val="0"/>
          <w:numId w:val="2"/>
        </w:numPr>
        <w:spacing w:after="55" w:before="0" w:line="276"/>
      </w:pPr>
      <w:r>
        <w:rPr>
          <w:rFonts w:ascii="Aptos" w:cs="Aptos" w:eastAsia="Aptos" w:hAnsi="Aptos"/>
          <w:b w:val="false"/>
          <w:bCs w:val="false"/>
          <w:i w:val="false"/>
          <w:iCs w:val="false"/>
          <w:color w:val="16335D"/>
          <w:sz w:val="21"/>
          <w:szCs w:val="21"/>
        </w:rPr>
        <w:t xml:space="preserve">Evidence support: an interpretable label such as Low, paired with the count of known limitations.</w:t>
      </w:r>
    </w:p>
    <w:p>
      <w:pPr>
        <w:pStyle w:val="ListParagraph"/>
        <w:numPr>
          <w:ilvl w:val="0"/>
          <w:numId w:val="2"/>
        </w:numPr>
        <w:spacing w:after="55" w:before="0" w:line="276"/>
      </w:pPr>
      <w:r>
        <w:rPr>
          <w:rFonts w:ascii="Aptos" w:cs="Aptos" w:eastAsia="Aptos" w:hAnsi="Aptos"/>
          <w:b w:val="false"/>
          <w:bCs w:val="false"/>
          <w:i w:val="false"/>
          <w:iCs w:val="false"/>
          <w:color w:val="16335D"/>
          <w:sz w:val="21"/>
          <w:szCs w:val="21"/>
        </w:rPr>
        <w:t xml:space="preserve">Explicit prohibition: it is not a probability of crime, money laundering, legality, or the correct workflow outcome.</w:t>
      </w:r>
    </w:p>
    <w:p>
      <w:pPr>
        <w:spacing w:after="55" w:before="120"/>
        <w:jc w:val="center"/>
      </w:pPr>
      <w:r>
        <w:drawing>
          <wp:inline distT="0" distB="0" distL="0" distR="0">
            <wp:extent cx="6096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96000" cy="3429000"/>
                    </a:xfrm>
                    <a:prstGeom prst="rect">
                      <a:avLst/>
                    </a:prstGeom>
                  </pic:spPr>
                </pic:pic>
              </a:graphicData>
            </a:graphic>
          </wp:inline>
        </w:drawing>
      </w:r>
    </w:p>
    <w:p>
      <w:pPr>
        <w:spacing w:after="180" w:before="0" w:line="230"/>
        <w:jc w:val="center"/>
      </w:pPr>
      <w:r>
        <w:rPr>
          <w:rFonts w:ascii="Aptos" w:cs="Aptos" w:eastAsia="Aptos" w:hAnsi="Aptos"/>
          <w:b w:val="false"/>
          <w:bCs w:val="false"/>
          <w:i/>
          <w:iCs/>
          <w:color w:val="63738D"/>
          <w:sz w:val="17"/>
          <w:szCs w:val="17"/>
        </w:rPr>
        <w:t xml:space="preserve">Figure — Evidence confidence is shown after report generation, with score, label, limitations, and a visible human-review requirement.</w:t>
      </w:r>
    </w:p>
    <w:p>
      <w:pPr>
        <w:spacing w:after="55" w:before="120"/>
        <w:jc w:val="center"/>
      </w:pPr>
      <w:r>
        <w:drawing>
          <wp:inline distT="0" distB="0" distL="0" distR="0">
            <wp:extent cx="6096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096000" cy="3429000"/>
                    </a:xfrm>
                    <a:prstGeom prst="rect">
                      <a:avLst/>
                    </a:prstGeom>
                  </pic:spPr>
                </pic:pic>
              </a:graphicData>
            </a:graphic>
          </wp:inline>
        </w:drawing>
      </w:r>
    </w:p>
    <w:p>
      <w:pPr>
        <w:spacing w:after="180" w:before="0" w:line="230"/>
        <w:jc w:val="center"/>
      </w:pPr>
      <w:r>
        <w:rPr>
          <w:rFonts w:ascii="Aptos" w:cs="Aptos" w:eastAsia="Aptos" w:hAnsi="Aptos"/>
          <w:b w:val="false"/>
          <w:bCs w:val="false"/>
          <w:i/>
          <w:iCs/>
          <w:color w:val="63738D"/>
          <w:sz w:val="17"/>
          <w:szCs w:val="17"/>
        </w:rPr>
        <w:t xml:space="preserve">Figure — Case context and Evidence &amp; Findings retain source-data warnings alongside the report material.</w:t>
      </w:r>
    </w:p>
    <w:p>
      <w:r>
        <w:br w:type="page"/>
      </w:r>
    </w:p>
    <w:p>
      <w:pPr>
        <w:pStyle w:val="Heading1"/>
        <w:spacing w:after="130" w:before="300"/>
      </w:pPr>
      <w:r>
        <w:t xml:space="preserve">4. Evidence &amp; RAG architecture</w:t>
      </w:r>
    </w:p>
    <w:p>
      <w:pPr>
        <w:spacing w:after="140" w:before="0" w:line="276"/>
      </w:pPr>
      <w:r>
        <w:rPr>
          <w:rFonts w:ascii="Aptos" w:cs="Aptos" w:eastAsia="Aptos" w:hAnsi="Aptos"/>
          <w:b w:val="false"/>
          <w:bCs w:val="false"/>
          <w:i w:val="false"/>
          <w:iCs w:val="false"/>
          <w:color w:val="16335D"/>
          <w:sz w:val="21"/>
          <w:szCs w:val="21"/>
        </w:rPr>
        <w:t xml:space="preserve">Evidence &amp; RAG makes the source trail inspectable. The product uses retrieval-augmented generation in a narrow, transparent form: it finds relevant stored passages first, then lets the user inspect the passages that informed a draft or 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50"/>
        <w:gridCol w:w="3800"/>
        <w:gridCol w:w="3810"/>
      </w:tblGrid>
      <w:tr>
        <w:trPr>
          <w:tblHeader/>
        </w:trPr>
        <w:tc>
          <w:tcPr>
            <w:tcW w:type="dxa" w:w="1750"/>
            <w:tcBorders>
              <w:top w:val="single" w:color="B7CBEA" w:sz="6"/>
              <w:left w:val="single" w:color="B7CBEA" w:sz="6"/>
              <w:bottom w:val="single" w:color="B7CBEA" w:sz="6"/>
              <w:right w:val="single" w:color="B7CBEA" w:sz="6"/>
            </w:tcBorders>
            <w:shd w:fill="16335D" w:color="16335D" w:val="clear"/>
            <w:tcMar>
              <w:top w:type="dxa" w:w="90"/>
              <w:left w:type="dxa" w:w="110"/>
              <w:bottom w:type="dxa" w:w="90"/>
              <w:right w:type="dxa" w:w="110"/>
            </w:tcMar>
          </w:tcPr>
          <w:p>
            <w:pPr>
              <w:spacing w:after="0" w:before="0" w:line="230"/>
            </w:pPr>
            <w:r>
              <w:rPr>
                <w:rFonts w:ascii="Aptos" w:cs="Aptos" w:eastAsia="Aptos" w:hAnsi="Aptos"/>
                <w:b/>
                <w:bCs/>
                <w:i w:val="false"/>
                <w:iCs w:val="false"/>
                <w:color w:val="FFFFFF"/>
                <w:sz w:val="18"/>
                <w:szCs w:val="18"/>
              </w:rPr>
              <w:t xml:space="preserve">Tab</w:t>
            </w:r>
          </w:p>
        </w:tc>
        <w:tc>
          <w:tcPr>
            <w:tcW w:type="dxa" w:w="3800"/>
            <w:tcBorders>
              <w:top w:val="single" w:color="B7CBEA" w:sz="6"/>
              <w:left w:val="single" w:color="B7CBEA" w:sz="6"/>
              <w:bottom w:val="single" w:color="B7CBEA" w:sz="6"/>
              <w:right w:val="single" w:color="B7CBEA" w:sz="6"/>
            </w:tcBorders>
            <w:shd w:fill="16335D" w:color="16335D" w:val="clear"/>
            <w:tcMar>
              <w:top w:type="dxa" w:w="90"/>
              <w:left w:type="dxa" w:w="110"/>
              <w:bottom w:type="dxa" w:w="90"/>
              <w:right w:type="dxa" w:w="110"/>
            </w:tcMar>
          </w:tcPr>
          <w:p>
            <w:pPr>
              <w:spacing w:after="0" w:before="0" w:line="230"/>
            </w:pPr>
            <w:r>
              <w:rPr>
                <w:rFonts w:ascii="Aptos" w:cs="Aptos" w:eastAsia="Aptos" w:hAnsi="Aptos"/>
                <w:b/>
                <w:bCs/>
                <w:i w:val="false"/>
                <w:iCs w:val="false"/>
                <w:color w:val="FFFFFF"/>
                <w:sz w:val="18"/>
                <w:szCs w:val="18"/>
              </w:rPr>
              <w:t xml:space="preserve">Primary purpose</w:t>
            </w:r>
          </w:p>
        </w:tc>
        <w:tc>
          <w:tcPr>
            <w:tcW w:type="dxa" w:w="3810"/>
            <w:tcBorders>
              <w:top w:val="single" w:color="B7CBEA" w:sz="6"/>
              <w:left w:val="single" w:color="B7CBEA" w:sz="6"/>
              <w:bottom w:val="single" w:color="B7CBEA" w:sz="6"/>
              <w:right w:val="single" w:color="B7CBEA" w:sz="6"/>
            </w:tcBorders>
            <w:shd w:fill="16335D" w:color="16335D" w:val="clear"/>
            <w:tcMar>
              <w:top w:type="dxa" w:w="90"/>
              <w:left w:type="dxa" w:w="110"/>
              <w:bottom w:type="dxa" w:w="90"/>
              <w:right w:type="dxa" w:w="110"/>
            </w:tcMar>
          </w:tcPr>
          <w:p>
            <w:pPr>
              <w:spacing w:after="0" w:before="0" w:line="230"/>
            </w:pPr>
            <w:r>
              <w:rPr>
                <w:rFonts w:ascii="Aptos" w:cs="Aptos" w:eastAsia="Aptos" w:hAnsi="Aptos"/>
                <w:b/>
                <w:bCs/>
                <w:i w:val="false"/>
                <w:iCs w:val="false"/>
                <w:color w:val="FFFFFF"/>
                <w:sz w:val="18"/>
                <w:szCs w:val="18"/>
              </w:rPr>
              <w:t xml:space="preserve">Reviewer takeaway</w:t>
            </w:r>
          </w:p>
        </w:tc>
      </w:tr>
      <w:tr>
        <w:tc>
          <w:tcPr>
            <w:tcW w:type="dxa" w:w="1750"/>
            <w:tcBorders>
              <w:top w:val="single" w:color="B7CBEA" w:sz="6"/>
              <w:left w:val="single" w:color="B7CBEA" w:sz="6"/>
              <w:bottom w:val="single" w:color="B7CBEA" w:sz="6"/>
              <w:right w:val="single" w:color="B7CBEA" w:sz="6"/>
            </w:tcBorders>
            <w:tcMar>
              <w:top w:type="dxa" w:w="90"/>
              <w:left w:type="dxa" w:w="110"/>
              <w:bottom w:type="dxa" w:w="90"/>
              <w:right w:type="dxa" w:w="110"/>
            </w:tcMar>
          </w:tcPr>
          <w:p>
            <w:pPr>
              <w:spacing w:after="0" w:before="0" w:line="230"/>
            </w:pPr>
            <w:r>
              <w:rPr>
                <w:rFonts w:ascii="Aptos" w:cs="Aptos" w:eastAsia="Aptos" w:hAnsi="Aptos"/>
                <w:b w:val="false"/>
                <w:bCs w:val="false"/>
                <w:i w:val="false"/>
                <w:iCs w:val="false"/>
                <w:color w:val="16335D"/>
                <w:sz w:val="18"/>
                <w:szCs w:val="18"/>
              </w:rPr>
              <w:t xml:space="preserve">Case records</w:t>
            </w:r>
          </w:p>
        </w:tc>
        <w:tc>
          <w:tcPr>
            <w:tcW w:type="dxa" w:w="3800"/>
            <w:tcBorders>
              <w:top w:val="single" w:color="B7CBEA" w:sz="6"/>
              <w:left w:val="single" w:color="B7CBEA" w:sz="6"/>
              <w:bottom w:val="single" w:color="B7CBEA" w:sz="6"/>
              <w:right w:val="single" w:color="B7CBEA" w:sz="6"/>
            </w:tcBorders>
            <w:tcMar>
              <w:top w:type="dxa" w:w="90"/>
              <w:left w:type="dxa" w:w="110"/>
              <w:bottom w:type="dxa" w:w="90"/>
              <w:right w:type="dxa" w:w="110"/>
            </w:tcMar>
          </w:tcPr>
          <w:p>
            <w:pPr>
              <w:spacing w:after="0" w:before="0" w:line="230"/>
            </w:pPr>
            <w:r>
              <w:rPr>
                <w:rFonts w:ascii="Aptos" w:cs="Aptos" w:eastAsia="Aptos" w:hAnsi="Aptos"/>
                <w:b w:val="false"/>
                <w:bCs w:val="false"/>
                <w:i w:val="false"/>
                <w:iCs w:val="false"/>
                <w:color w:val="16335D"/>
                <w:sz w:val="18"/>
                <w:szCs w:val="18"/>
              </w:rPr>
              <w:t xml:space="preserve">Inspect the selected case’s records, evidence gaps, indexed passages, and transaction scope.</w:t>
            </w:r>
          </w:p>
        </w:tc>
        <w:tc>
          <w:tcPr>
            <w:tcW w:type="dxa" w:w="3810"/>
            <w:tcBorders>
              <w:top w:val="single" w:color="B7CBEA" w:sz="6"/>
              <w:left w:val="single" w:color="B7CBEA" w:sz="6"/>
              <w:bottom w:val="single" w:color="B7CBEA" w:sz="6"/>
              <w:right w:val="single" w:color="B7CBEA" w:sz="6"/>
            </w:tcBorders>
            <w:tcMar>
              <w:top w:type="dxa" w:w="90"/>
              <w:left w:type="dxa" w:w="110"/>
              <w:bottom w:type="dxa" w:w="90"/>
              <w:right w:type="dxa" w:w="110"/>
            </w:tcMar>
          </w:tcPr>
          <w:p>
            <w:pPr>
              <w:spacing w:after="0" w:before="0" w:line="230"/>
            </w:pPr>
            <w:r>
              <w:rPr>
                <w:rFonts w:ascii="Aptos" w:cs="Aptos" w:eastAsia="Aptos" w:hAnsi="Aptos"/>
                <w:b w:val="false"/>
                <w:bCs w:val="false"/>
                <w:i w:val="false"/>
                <w:iCs w:val="false"/>
                <w:color w:val="16335D"/>
                <w:sz w:val="18"/>
                <w:szCs w:val="18"/>
              </w:rPr>
              <w:t xml:space="preserve">Know what is present, what is illustrative, and what is missing.</w:t>
            </w:r>
          </w:p>
        </w:tc>
      </w:tr>
      <w:tr>
        <w:tc>
          <w:tcPr>
            <w:tcW w:type="dxa" w:w="1750"/>
            <w:tcBorders>
              <w:top w:val="single" w:color="B7CBEA" w:sz="6"/>
              <w:left w:val="single" w:color="B7CBEA" w:sz="6"/>
              <w:bottom w:val="single" w:color="B7CBEA" w:sz="6"/>
              <w:right w:val="single" w:color="B7CBEA" w:sz="6"/>
            </w:tcBorders>
            <w:tcMar>
              <w:top w:type="dxa" w:w="90"/>
              <w:left w:type="dxa" w:w="110"/>
              <w:bottom w:type="dxa" w:w="90"/>
              <w:right w:type="dxa" w:w="110"/>
            </w:tcMar>
          </w:tcPr>
          <w:p>
            <w:pPr>
              <w:spacing w:after="0" w:before="0" w:line="230"/>
            </w:pPr>
            <w:r>
              <w:rPr>
                <w:rFonts w:ascii="Aptos" w:cs="Aptos" w:eastAsia="Aptos" w:hAnsi="Aptos"/>
                <w:b w:val="false"/>
                <w:bCs w:val="false"/>
                <w:i w:val="false"/>
                <w:iCs w:val="false"/>
                <w:color w:val="16335D"/>
                <w:sz w:val="18"/>
                <w:szCs w:val="18"/>
              </w:rPr>
              <w:t xml:space="preserve">Rule Lab</w:t>
            </w:r>
          </w:p>
        </w:tc>
        <w:tc>
          <w:tcPr>
            <w:tcW w:type="dxa" w:w="3800"/>
            <w:tcBorders>
              <w:top w:val="single" w:color="B7CBEA" w:sz="6"/>
              <w:left w:val="single" w:color="B7CBEA" w:sz="6"/>
              <w:bottom w:val="single" w:color="B7CBEA" w:sz="6"/>
              <w:right w:val="single" w:color="B7CBEA" w:sz="6"/>
            </w:tcBorders>
            <w:tcMar>
              <w:top w:type="dxa" w:w="90"/>
              <w:left w:type="dxa" w:w="110"/>
              <w:bottom w:type="dxa" w:w="90"/>
              <w:right w:type="dxa" w:w="110"/>
            </w:tcMar>
          </w:tcPr>
          <w:p>
            <w:pPr>
              <w:spacing w:after="0" w:before="0" w:line="230"/>
            </w:pPr>
            <w:r>
              <w:rPr>
                <w:rFonts w:ascii="Aptos" w:cs="Aptos" w:eastAsia="Aptos" w:hAnsi="Aptos"/>
                <w:b w:val="false"/>
                <w:bCs w:val="false"/>
                <w:i w:val="false"/>
                <w:iCs w:val="false"/>
                <w:color w:val="16335D"/>
                <w:sz w:val="18"/>
                <w:szCs w:val="18"/>
              </w:rPr>
              <w:t xml:space="preserve">Explain calculated signals and preview logic.</w:t>
            </w:r>
          </w:p>
        </w:tc>
        <w:tc>
          <w:tcPr>
            <w:tcW w:type="dxa" w:w="3810"/>
            <w:tcBorders>
              <w:top w:val="single" w:color="B7CBEA" w:sz="6"/>
              <w:left w:val="single" w:color="B7CBEA" w:sz="6"/>
              <w:bottom w:val="single" w:color="B7CBEA" w:sz="6"/>
              <w:right w:val="single" w:color="B7CBEA" w:sz="6"/>
            </w:tcBorders>
            <w:tcMar>
              <w:top w:type="dxa" w:w="90"/>
              <w:left w:type="dxa" w:w="110"/>
              <w:bottom w:type="dxa" w:w="90"/>
              <w:right w:type="dxa" w:w="110"/>
            </w:tcMar>
          </w:tcPr>
          <w:p>
            <w:pPr>
              <w:spacing w:after="0" w:before="0" w:line="230"/>
            </w:pPr>
            <w:r>
              <w:rPr>
                <w:rFonts w:ascii="Aptos" w:cs="Aptos" w:eastAsia="Aptos" w:hAnsi="Aptos"/>
                <w:b w:val="false"/>
                <w:bCs w:val="false"/>
                <w:i w:val="false"/>
                <w:iCs w:val="false"/>
                <w:color w:val="16335D"/>
                <w:sz w:val="18"/>
                <w:szCs w:val="18"/>
              </w:rPr>
              <w:t xml:space="preserve">A rule match calls for review; it is not a verdict.</w:t>
            </w:r>
          </w:p>
        </w:tc>
      </w:tr>
      <w:tr>
        <w:tc>
          <w:tcPr>
            <w:tcW w:type="dxa" w:w="1750"/>
            <w:tcBorders>
              <w:top w:val="single" w:color="B7CBEA" w:sz="6"/>
              <w:left w:val="single" w:color="B7CBEA" w:sz="6"/>
              <w:bottom w:val="single" w:color="B7CBEA" w:sz="6"/>
              <w:right w:val="single" w:color="B7CBEA" w:sz="6"/>
            </w:tcBorders>
            <w:tcMar>
              <w:top w:type="dxa" w:w="90"/>
              <w:left w:type="dxa" w:w="110"/>
              <w:bottom w:type="dxa" w:w="90"/>
              <w:right w:type="dxa" w:w="110"/>
            </w:tcMar>
          </w:tcPr>
          <w:p>
            <w:pPr>
              <w:spacing w:after="0" w:before="0" w:line="230"/>
            </w:pPr>
            <w:r>
              <w:rPr>
                <w:rFonts w:ascii="Aptos" w:cs="Aptos" w:eastAsia="Aptos" w:hAnsi="Aptos"/>
                <w:b w:val="false"/>
                <w:bCs w:val="false"/>
                <w:i w:val="false"/>
                <w:iCs w:val="false"/>
                <w:color w:val="16335D"/>
                <w:sz w:val="18"/>
                <w:szCs w:val="18"/>
              </w:rPr>
              <w:t xml:space="preserve">Fictional Intake</w:t>
            </w:r>
          </w:p>
        </w:tc>
        <w:tc>
          <w:tcPr>
            <w:tcW w:type="dxa" w:w="3800"/>
            <w:tcBorders>
              <w:top w:val="single" w:color="B7CBEA" w:sz="6"/>
              <w:left w:val="single" w:color="B7CBEA" w:sz="6"/>
              <w:bottom w:val="single" w:color="B7CBEA" w:sz="6"/>
              <w:right w:val="single" w:color="B7CBEA" w:sz="6"/>
            </w:tcBorders>
            <w:tcMar>
              <w:top w:type="dxa" w:w="90"/>
              <w:left w:type="dxa" w:w="110"/>
              <w:bottom w:type="dxa" w:w="90"/>
              <w:right w:type="dxa" w:w="110"/>
            </w:tcMar>
          </w:tcPr>
          <w:p>
            <w:pPr>
              <w:spacing w:after="0" w:before="0" w:line="230"/>
            </w:pPr>
            <w:r>
              <w:rPr>
                <w:rFonts w:ascii="Aptos" w:cs="Aptos" w:eastAsia="Aptos" w:hAnsi="Aptos"/>
                <w:b w:val="false"/>
                <w:bCs w:val="false"/>
                <w:i w:val="false"/>
                <w:iCs w:val="false"/>
                <w:color w:val="16335D"/>
                <w:sz w:val="18"/>
                <w:szCs w:val="18"/>
              </w:rPr>
              <w:t xml:space="preserve">Show the separate generated packet and its calculated evidence boundary.</w:t>
            </w:r>
          </w:p>
        </w:tc>
        <w:tc>
          <w:tcPr>
            <w:tcW w:type="dxa" w:w="3810"/>
            <w:tcBorders>
              <w:top w:val="single" w:color="B7CBEA" w:sz="6"/>
              <w:left w:val="single" w:color="B7CBEA" w:sz="6"/>
              <w:bottom w:val="single" w:color="B7CBEA" w:sz="6"/>
              <w:right w:val="single" w:color="B7CBEA" w:sz="6"/>
            </w:tcBorders>
            <w:tcMar>
              <w:top w:type="dxa" w:w="90"/>
              <w:left w:type="dxa" w:w="110"/>
              <w:bottom w:type="dxa" w:w="90"/>
              <w:right w:type="dxa" w:w="110"/>
            </w:tcMar>
          </w:tcPr>
          <w:p>
            <w:pPr>
              <w:spacing w:after="0" w:before="0" w:line="230"/>
            </w:pPr>
            <w:r>
              <w:rPr>
                <w:rFonts w:ascii="Aptos" w:cs="Aptos" w:eastAsia="Aptos" w:hAnsi="Aptos"/>
                <w:b w:val="false"/>
                <w:bCs w:val="false"/>
                <w:i w:val="false"/>
                <w:iCs w:val="false"/>
                <w:color w:val="16335D"/>
                <w:sz w:val="18"/>
                <w:szCs w:val="18"/>
              </w:rPr>
              <w:t xml:space="preserve">Generated data is labeled separately from imported alert data.</w:t>
            </w:r>
          </w:p>
        </w:tc>
      </w:tr>
      <w:tr>
        <w:tc>
          <w:tcPr>
            <w:tcW w:type="dxa" w:w="1750"/>
            <w:tcBorders>
              <w:top w:val="single" w:color="B7CBEA" w:sz="6"/>
              <w:left w:val="single" w:color="B7CBEA" w:sz="6"/>
              <w:bottom w:val="single" w:color="B7CBEA" w:sz="6"/>
              <w:right w:val="single" w:color="B7CBEA" w:sz="6"/>
            </w:tcBorders>
            <w:tcMar>
              <w:top w:type="dxa" w:w="90"/>
              <w:left w:type="dxa" w:w="110"/>
              <w:bottom w:type="dxa" w:w="90"/>
              <w:right w:type="dxa" w:w="110"/>
            </w:tcMar>
          </w:tcPr>
          <w:p>
            <w:pPr>
              <w:spacing w:after="0" w:before="0" w:line="230"/>
            </w:pPr>
            <w:r>
              <w:rPr>
                <w:rFonts w:ascii="Aptos" w:cs="Aptos" w:eastAsia="Aptos" w:hAnsi="Aptos"/>
                <w:b w:val="false"/>
                <w:bCs w:val="false"/>
                <w:i w:val="false"/>
                <w:iCs w:val="false"/>
                <w:color w:val="16335D"/>
                <w:sz w:val="18"/>
                <w:szCs w:val="18"/>
              </w:rPr>
              <w:t xml:space="preserve">Source &amp; chunks</w:t>
            </w:r>
          </w:p>
        </w:tc>
        <w:tc>
          <w:tcPr>
            <w:tcW w:type="dxa" w:w="3800"/>
            <w:tcBorders>
              <w:top w:val="single" w:color="B7CBEA" w:sz="6"/>
              <w:left w:val="single" w:color="B7CBEA" w:sz="6"/>
              <w:bottom w:val="single" w:color="B7CBEA" w:sz="6"/>
              <w:right w:val="single" w:color="B7CBEA" w:sz="6"/>
            </w:tcBorders>
            <w:tcMar>
              <w:top w:type="dxa" w:w="90"/>
              <w:left w:type="dxa" w:w="110"/>
              <w:bottom w:type="dxa" w:w="90"/>
              <w:right w:type="dxa" w:w="110"/>
            </w:tcMar>
          </w:tcPr>
          <w:p>
            <w:pPr>
              <w:spacing w:after="0" w:before="0" w:line="230"/>
            </w:pPr>
            <w:r>
              <w:rPr>
                <w:rFonts w:ascii="Aptos" w:cs="Aptos" w:eastAsia="Aptos" w:hAnsi="Aptos"/>
                <w:b w:val="false"/>
                <w:bCs w:val="false"/>
                <w:i w:val="false"/>
                <w:iCs w:val="false"/>
                <w:color w:val="16335D"/>
                <w:sz w:val="18"/>
                <w:szCs w:val="18"/>
              </w:rPr>
              <w:t xml:space="preserve">Open source guidance and exact chunk boundaries.</w:t>
            </w:r>
          </w:p>
        </w:tc>
        <w:tc>
          <w:tcPr>
            <w:tcW w:type="dxa" w:w="3810"/>
            <w:tcBorders>
              <w:top w:val="single" w:color="B7CBEA" w:sz="6"/>
              <w:left w:val="single" w:color="B7CBEA" w:sz="6"/>
              <w:bottom w:val="single" w:color="B7CBEA" w:sz="6"/>
              <w:right w:val="single" w:color="B7CBEA" w:sz="6"/>
            </w:tcBorders>
            <w:tcMar>
              <w:top w:type="dxa" w:w="90"/>
              <w:left w:type="dxa" w:w="110"/>
              <w:bottom w:type="dxa" w:w="90"/>
              <w:right w:type="dxa" w:w="110"/>
            </w:tcMar>
          </w:tcPr>
          <w:p>
            <w:pPr>
              <w:spacing w:after="0" w:before="0" w:line="230"/>
            </w:pPr>
            <w:r>
              <w:rPr>
                <w:rFonts w:ascii="Aptos" w:cs="Aptos" w:eastAsia="Aptos" w:hAnsi="Aptos"/>
                <w:b w:val="false"/>
                <w:bCs w:val="false"/>
                <w:i w:val="false"/>
                <w:iCs w:val="false"/>
                <w:color w:val="16335D"/>
                <w:sz w:val="18"/>
                <w:szCs w:val="18"/>
              </w:rPr>
              <w:t xml:space="preserve">A citation can be traced to exact text.</w:t>
            </w:r>
          </w:p>
        </w:tc>
      </w:tr>
      <w:tr>
        <w:tc>
          <w:tcPr>
            <w:tcW w:type="dxa" w:w="1750"/>
            <w:tcBorders>
              <w:top w:val="single" w:color="B7CBEA" w:sz="6"/>
              <w:left w:val="single" w:color="B7CBEA" w:sz="6"/>
              <w:bottom w:val="single" w:color="B7CBEA" w:sz="6"/>
              <w:right w:val="single" w:color="B7CBEA" w:sz="6"/>
            </w:tcBorders>
            <w:tcMar>
              <w:top w:type="dxa" w:w="90"/>
              <w:left w:type="dxa" w:w="110"/>
              <w:bottom w:type="dxa" w:w="90"/>
              <w:right w:type="dxa" w:w="110"/>
            </w:tcMar>
          </w:tcPr>
          <w:p>
            <w:pPr>
              <w:spacing w:after="0" w:before="0" w:line="230"/>
            </w:pPr>
            <w:r>
              <w:rPr>
                <w:rFonts w:ascii="Aptos" w:cs="Aptos" w:eastAsia="Aptos" w:hAnsi="Aptos"/>
                <w:b w:val="false"/>
                <w:bCs w:val="false"/>
                <w:i w:val="false"/>
                <w:iCs w:val="false"/>
                <w:color w:val="16335D"/>
                <w:sz w:val="18"/>
                <w:szCs w:val="18"/>
              </w:rPr>
              <w:t xml:space="preserve">Search the index</w:t>
            </w:r>
          </w:p>
        </w:tc>
        <w:tc>
          <w:tcPr>
            <w:tcW w:type="dxa" w:w="3800"/>
            <w:tcBorders>
              <w:top w:val="single" w:color="B7CBEA" w:sz="6"/>
              <w:left w:val="single" w:color="B7CBEA" w:sz="6"/>
              <w:bottom w:val="single" w:color="B7CBEA" w:sz="6"/>
              <w:right w:val="single" w:color="B7CBEA" w:sz="6"/>
            </w:tcBorders>
            <w:tcMar>
              <w:top w:type="dxa" w:w="90"/>
              <w:left w:type="dxa" w:w="110"/>
              <w:bottom w:type="dxa" w:w="90"/>
              <w:right w:type="dxa" w:w="110"/>
            </w:tcMar>
          </w:tcPr>
          <w:p>
            <w:pPr>
              <w:spacing w:after="0" w:before="0" w:line="230"/>
            </w:pPr>
            <w:r>
              <w:rPr>
                <w:rFonts w:ascii="Aptos" w:cs="Aptos" w:eastAsia="Aptos" w:hAnsi="Aptos"/>
                <w:b w:val="false"/>
                <w:bCs w:val="false"/>
                <w:i w:val="false"/>
                <w:iCs w:val="false"/>
                <w:color w:val="16335D"/>
                <w:sz w:val="18"/>
                <w:szCs w:val="18"/>
              </w:rPr>
              <w:t xml:space="preserve">Run a keyword query against stored chunks.</w:t>
            </w:r>
          </w:p>
        </w:tc>
        <w:tc>
          <w:tcPr>
            <w:tcW w:type="dxa" w:w="3810"/>
            <w:tcBorders>
              <w:top w:val="single" w:color="B7CBEA" w:sz="6"/>
              <w:left w:val="single" w:color="B7CBEA" w:sz="6"/>
              <w:bottom w:val="single" w:color="B7CBEA" w:sz="6"/>
              <w:right w:val="single" w:color="B7CBEA" w:sz="6"/>
            </w:tcBorders>
            <w:tcMar>
              <w:top w:type="dxa" w:w="90"/>
              <w:left w:type="dxa" w:w="110"/>
              <w:bottom w:type="dxa" w:w="90"/>
              <w:right w:type="dxa" w:w="110"/>
            </w:tcMar>
          </w:tcPr>
          <w:p>
            <w:pPr>
              <w:spacing w:after="0" w:before="0" w:line="230"/>
            </w:pPr>
            <w:r>
              <w:rPr>
                <w:rFonts w:ascii="Aptos" w:cs="Aptos" w:eastAsia="Aptos" w:hAnsi="Aptos"/>
                <w:b w:val="false"/>
                <w:bCs w:val="false"/>
                <w:i w:val="false"/>
                <w:iCs w:val="false"/>
                <w:color w:val="16335D"/>
                <w:sz w:val="18"/>
                <w:szCs w:val="18"/>
              </w:rPr>
              <w:t xml:space="preserve">Search results are inspectable leads, not automatically true answers.</w:t>
            </w:r>
          </w:p>
        </w:tc>
      </w:tr>
      <w:tr>
        <w:tc>
          <w:tcPr>
            <w:tcW w:type="dxa" w:w="1750"/>
            <w:tcBorders>
              <w:top w:val="single" w:color="B7CBEA" w:sz="6"/>
              <w:left w:val="single" w:color="B7CBEA" w:sz="6"/>
              <w:bottom w:val="single" w:color="B7CBEA" w:sz="6"/>
              <w:right w:val="single" w:color="B7CBEA" w:sz="6"/>
            </w:tcBorders>
            <w:tcMar>
              <w:top w:type="dxa" w:w="90"/>
              <w:left w:type="dxa" w:w="110"/>
              <w:bottom w:type="dxa" w:w="90"/>
              <w:right w:type="dxa" w:w="110"/>
            </w:tcMar>
          </w:tcPr>
          <w:p>
            <w:pPr>
              <w:spacing w:after="0" w:before="0" w:line="230"/>
            </w:pPr>
            <w:r>
              <w:rPr>
                <w:rFonts w:ascii="Aptos" w:cs="Aptos" w:eastAsia="Aptos" w:hAnsi="Aptos"/>
                <w:b w:val="false"/>
                <w:bCs w:val="false"/>
                <w:i w:val="false"/>
                <w:iCs w:val="false"/>
                <w:color w:val="16335D"/>
                <w:sz w:val="18"/>
                <w:szCs w:val="18"/>
              </w:rPr>
              <w:t xml:space="preserve">Method &amp; code</w:t>
            </w:r>
          </w:p>
        </w:tc>
        <w:tc>
          <w:tcPr>
            <w:tcW w:type="dxa" w:w="3800"/>
            <w:tcBorders>
              <w:top w:val="single" w:color="B7CBEA" w:sz="6"/>
              <w:left w:val="single" w:color="B7CBEA" w:sz="6"/>
              <w:bottom w:val="single" w:color="B7CBEA" w:sz="6"/>
              <w:right w:val="single" w:color="B7CBEA" w:sz="6"/>
            </w:tcBorders>
            <w:tcMar>
              <w:top w:type="dxa" w:w="90"/>
              <w:left w:type="dxa" w:w="110"/>
              <w:bottom w:type="dxa" w:w="90"/>
              <w:right w:type="dxa" w:w="110"/>
            </w:tcMar>
          </w:tcPr>
          <w:p>
            <w:pPr>
              <w:spacing w:after="0" w:before="0" w:line="230"/>
            </w:pPr>
            <w:r>
              <w:rPr>
                <w:rFonts w:ascii="Aptos" w:cs="Aptos" w:eastAsia="Aptos" w:hAnsi="Aptos"/>
                <w:b w:val="false"/>
                <w:bCs w:val="false"/>
                <w:i w:val="false"/>
                <w:iCs w:val="false"/>
                <w:color w:val="16335D"/>
                <w:sz w:val="18"/>
                <w:szCs w:val="18"/>
              </w:rPr>
              <w:t xml:space="preserve">Explain ingestion, chunking, retrieval, context gathering, and checks.</w:t>
            </w:r>
          </w:p>
        </w:tc>
        <w:tc>
          <w:tcPr>
            <w:tcW w:type="dxa" w:w="3810"/>
            <w:tcBorders>
              <w:top w:val="single" w:color="B7CBEA" w:sz="6"/>
              <w:left w:val="single" w:color="B7CBEA" w:sz="6"/>
              <w:bottom w:val="single" w:color="B7CBEA" w:sz="6"/>
              <w:right w:val="single" w:color="B7CBEA" w:sz="6"/>
            </w:tcBorders>
            <w:tcMar>
              <w:top w:type="dxa" w:w="90"/>
              <w:left w:type="dxa" w:w="110"/>
              <w:bottom w:type="dxa" w:w="90"/>
              <w:right w:type="dxa" w:w="110"/>
            </w:tcMar>
          </w:tcPr>
          <w:p>
            <w:pPr>
              <w:spacing w:after="0" w:before="0" w:line="230"/>
            </w:pPr>
            <w:r>
              <w:rPr>
                <w:rFonts w:ascii="Aptos" w:cs="Aptos" w:eastAsia="Aptos" w:hAnsi="Aptos"/>
                <w:b w:val="false"/>
                <w:bCs w:val="false"/>
                <w:i w:val="false"/>
                <w:iCs w:val="false"/>
                <w:color w:val="16335D"/>
                <w:sz w:val="18"/>
                <w:szCs w:val="18"/>
              </w:rPr>
              <w:t xml:space="preserve">The implementation is visible and its limits are stated.</w:t>
            </w:r>
          </w:p>
        </w:tc>
      </w:tr>
    </w:tbl>
    <w:p>
      <w:pPr>
        <w:spacing w:after="55" w:before="120"/>
        <w:jc w:val="center"/>
      </w:pPr>
      <w:r>
        <w:drawing>
          <wp:inline distT="0" distB="0" distL="0" distR="0">
            <wp:extent cx="6096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096000" cy="3429000"/>
                    </a:xfrm>
                    <a:prstGeom prst="rect">
                      <a:avLst/>
                    </a:prstGeom>
                  </pic:spPr>
                </pic:pic>
              </a:graphicData>
            </a:graphic>
          </wp:inline>
        </w:drawing>
      </w:r>
    </w:p>
    <w:p>
      <w:pPr>
        <w:spacing w:after="180" w:before="0" w:line="230"/>
        <w:jc w:val="center"/>
      </w:pPr>
      <w:r>
        <w:rPr>
          <w:rFonts w:ascii="Aptos" w:cs="Aptos" w:eastAsia="Aptos" w:hAnsi="Aptos"/>
          <w:b w:val="false"/>
          <w:bCs w:val="false"/>
          <w:i/>
          <w:iCs/>
          <w:color w:val="63738D"/>
          <w:sz w:val="17"/>
          <w:szCs w:val="17"/>
        </w:rPr>
        <w:t xml:space="preserve">Figure — Evidence &amp; RAG overview and its four-step evidence-review flow.</w:t>
      </w:r>
    </w:p>
    <w:p>
      <w:pPr>
        <w:spacing w:after="55" w:before="120"/>
        <w:jc w:val="center"/>
      </w:pPr>
      <w:r>
        <w:drawing>
          <wp:inline distT="0" distB="0" distL="0" distR="0">
            <wp:extent cx="6096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096000" cy="3429000"/>
                    </a:xfrm>
                    <a:prstGeom prst="rect">
                      <a:avLst/>
                    </a:prstGeom>
                  </pic:spPr>
                </pic:pic>
              </a:graphicData>
            </a:graphic>
          </wp:inline>
        </w:drawing>
      </w:r>
    </w:p>
    <w:p>
      <w:pPr>
        <w:spacing w:after="180" w:before="0" w:line="230"/>
        <w:jc w:val="center"/>
      </w:pPr>
      <w:r>
        <w:rPr>
          <w:rFonts w:ascii="Aptos" w:cs="Aptos" w:eastAsia="Aptos" w:hAnsi="Aptos"/>
          <w:b w:val="false"/>
          <w:bCs w:val="false"/>
          <w:i/>
          <w:iCs/>
          <w:color w:val="63738D"/>
          <w:sz w:val="17"/>
          <w:szCs w:val="17"/>
        </w:rPr>
        <w:t xml:space="preserve">Figure — Source &amp; chunks shows exact stored chunk boundaries and labels instead of only an AI summary.</w:t>
      </w:r>
    </w:p>
    <w:p>
      <w:pPr>
        <w:pStyle w:val="Heading2"/>
        <w:spacing w:after="130" w:before="210"/>
      </w:pPr>
      <w:r>
        <w:t xml:space="preserve">Retrieval logic in plain language</w:t>
      </w:r>
    </w:p>
    <w:p>
      <w:pPr>
        <w:spacing w:after="140" w:before="0" w:line="276"/>
      </w:pPr>
      <w:r>
        <w:rPr>
          <w:rFonts w:ascii="Aptos" w:cs="Aptos" w:eastAsia="Aptos" w:hAnsi="Aptos"/>
          <w:b w:val="false"/>
          <w:bCs w:val="false"/>
          <w:i w:val="false"/>
          <w:iCs w:val="false"/>
          <w:color w:val="16335D"/>
          <w:sz w:val="21"/>
          <w:szCs w:val="21"/>
        </w:rPr>
        <w:t xml:space="preserve">Guidance documents are stored as synthetic source records. The builder creates metadata chunks and body chunks, indexes their text in SQLite FTS5, and uses BM25 ranking for a keyword query. Case records are also indexed in their own scope. A retrieved identifier can be checked against the selected source set before a cited report element is accepted.</w:t>
      </w:r>
    </w:p>
    <w:p>
      <w:pPr>
        <w:shd w:fill="EAF2FF" w:color="EAF2FF" w:val="clear"/>
        <w:spacing w:after="0" w:before="0" w:line="230"/>
        <w:ind w:left="220" w:right="220"/>
      </w:pPr>
      <w:r>
        <w:rPr>
          <w:rFonts w:ascii="Consolas" w:cs="Consolas" w:eastAsia="Consolas" w:hAnsi="Consolas"/>
          <w:color w:val="17365D"/>
          <w:sz w:val="17"/>
          <w:szCs w:val="17"/>
        </w:rPr>
        <w:t xml:space="preserve">source document  →  metadata/body chunks  →  SQLite FTS5 index</w:t>
      </w:r>
    </w:p>
    <w:p>
      <w:pPr>
        <w:shd w:fill="EAF2FF" w:color="EAF2FF" w:val="clear"/>
        <w:spacing w:after="0" w:before="0" w:line="230"/>
        <w:ind w:left="220" w:right="220"/>
      </w:pPr>
      <w:r>
        <w:rPr>
          <w:rFonts w:ascii="Consolas" w:cs="Consolas" w:eastAsia="Consolas" w:hAnsi="Consolas"/>
          <w:color w:val="17365D"/>
          <w:sz w:val="17"/>
          <w:szCs w:val="17"/>
        </w:rPr>
        <w:t xml:space="preserve">case scenario + question  →  scoped keyword search  →  BM25-ranked passages</w:t>
      </w:r>
    </w:p>
    <w:p>
      <w:pPr>
        <w:shd w:fill="EAF2FF" w:color="EAF2FF" w:val="clear"/>
        <w:spacing w:after="0" w:before="0" w:line="230"/>
        <w:ind w:left="220" w:right="220"/>
      </w:pPr>
      <w:r>
        <w:rPr>
          <w:rFonts w:ascii="Consolas" w:cs="Consolas" w:eastAsia="Consolas" w:hAnsi="Consolas"/>
          <w:color w:val="17365D"/>
          <w:sz w:val="17"/>
          <w:szCs w:val="17"/>
        </w:rPr>
        <w:t xml:space="preserve">retrieved passage IDs  →  draft/answer citations  →  human opens exact text</w:t>
      </w:r>
    </w:p>
    <w:p>
      <w:r>
        <w:br w:type="page"/>
      </w:r>
    </w:p>
    <w:p>
      <w:pPr>
        <w:pStyle w:val="Heading1"/>
        <w:spacing w:after="130" w:before="300"/>
      </w:pPr>
      <w:r>
        <w:t xml:space="preserve">5. The Copilot and human decision boundary</w:t>
      </w:r>
    </w:p>
    <w:p>
      <w:pPr>
        <w:spacing w:after="140" w:before="0" w:line="276"/>
      </w:pPr>
      <w:r>
        <w:rPr>
          <w:rFonts w:ascii="Aptos" w:cs="Aptos" w:eastAsia="Aptos" w:hAnsi="Aptos"/>
          <w:b w:val="false"/>
          <w:bCs w:val="false"/>
          <w:i w:val="false"/>
          <w:iCs w:val="false"/>
          <w:color w:val="16335D"/>
          <w:sz w:val="21"/>
          <w:szCs w:val="21"/>
        </w:rPr>
        <w:t xml:space="preserve">The floating InvestigateIQ Copilot gives a page-aware entry point to bounded case questions. It is intentionally separate from the decision form: a useful answer is not the same thing as a workflow action.</w:t>
      </w:r>
    </w:p>
    <w:p>
      <w:pPr>
        <w:spacing w:after="55" w:before="120"/>
        <w:jc w:val="center"/>
      </w:pPr>
      <w:r>
        <w:drawing>
          <wp:inline distT="0" distB="0" distL="0" distR="0">
            <wp:extent cx="6096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096000" cy="3429000"/>
                    </a:xfrm>
                    <a:prstGeom prst="rect">
                      <a:avLst/>
                    </a:prstGeom>
                  </pic:spPr>
                </pic:pic>
              </a:graphicData>
            </a:graphic>
          </wp:inline>
        </w:drawing>
      </w:r>
    </w:p>
    <w:p>
      <w:pPr>
        <w:spacing w:after="180" w:before="0" w:line="230"/>
        <w:jc w:val="center"/>
      </w:pPr>
      <w:r>
        <w:rPr>
          <w:rFonts w:ascii="Aptos" w:cs="Aptos" w:eastAsia="Aptos" w:hAnsi="Aptos"/>
          <w:b w:val="false"/>
          <w:bCs w:val="false"/>
          <w:i/>
          <w:iCs/>
          <w:color w:val="63738D"/>
          <w:sz w:val="17"/>
          <w:szCs w:val="17"/>
        </w:rPr>
        <w:t xml:space="preserve">Figure — The floating Copilot opens over the current page while retaining the selected case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7CBEA" w:sz="6"/>
              <w:left w:val="single" w:color="B7CBEA" w:sz="6"/>
              <w:bottom w:val="single" w:color="B7CBEA" w:sz="6"/>
              <w:right w:val="single" w:color="B7CBEA" w:sz="6"/>
            </w:tcBorders>
            <w:shd w:fill="16335D" w:color="16335D" w:val="clear"/>
            <w:tcMar>
              <w:top w:type="dxa" w:w="90"/>
              <w:left w:type="dxa" w:w="110"/>
              <w:bottom w:type="dxa" w:w="90"/>
              <w:right w:type="dxa" w:w="110"/>
            </w:tcMar>
          </w:tcPr>
          <w:p>
            <w:pPr>
              <w:spacing w:after="0" w:before="0" w:line="230"/>
            </w:pPr>
            <w:r>
              <w:rPr>
                <w:rFonts w:ascii="Aptos" w:cs="Aptos" w:eastAsia="Aptos" w:hAnsi="Aptos"/>
                <w:b/>
                <w:bCs/>
                <w:i w:val="false"/>
                <w:iCs w:val="false"/>
                <w:color w:val="FFFFFF"/>
                <w:sz w:val="18"/>
                <w:szCs w:val="18"/>
              </w:rPr>
              <w:t xml:space="preserve">Can do</w:t>
            </w:r>
          </w:p>
        </w:tc>
        <w:tc>
          <w:tcPr>
            <w:tcW w:type="dxa" w:w="4680"/>
            <w:tcBorders>
              <w:top w:val="single" w:color="B7CBEA" w:sz="6"/>
              <w:left w:val="single" w:color="B7CBEA" w:sz="6"/>
              <w:bottom w:val="single" w:color="B7CBEA" w:sz="6"/>
              <w:right w:val="single" w:color="B7CBEA" w:sz="6"/>
            </w:tcBorders>
            <w:shd w:fill="16335D" w:color="16335D" w:val="clear"/>
            <w:tcMar>
              <w:top w:type="dxa" w:w="90"/>
              <w:left w:type="dxa" w:w="110"/>
              <w:bottom w:type="dxa" w:w="90"/>
              <w:right w:type="dxa" w:w="110"/>
            </w:tcMar>
          </w:tcPr>
          <w:p>
            <w:pPr>
              <w:spacing w:after="0" w:before="0" w:line="230"/>
            </w:pPr>
            <w:r>
              <w:rPr>
                <w:rFonts w:ascii="Aptos" w:cs="Aptos" w:eastAsia="Aptos" w:hAnsi="Aptos"/>
                <w:b/>
                <w:bCs/>
                <w:i w:val="false"/>
                <w:iCs w:val="false"/>
                <w:color w:val="FFFFFF"/>
                <w:sz w:val="18"/>
                <w:szCs w:val="18"/>
              </w:rPr>
              <w:t xml:space="preserve">Cannot do</w:t>
            </w:r>
          </w:p>
        </w:tc>
      </w:tr>
      <w:tr>
        <w:tc>
          <w:tcPr>
            <w:tcW w:type="dxa" w:w="4680"/>
            <w:tcBorders>
              <w:top w:val="single" w:color="B7CBEA" w:sz="6"/>
              <w:left w:val="single" w:color="B7CBEA" w:sz="6"/>
              <w:bottom w:val="single" w:color="B7CBEA" w:sz="6"/>
              <w:right w:val="single" w:color="B7CBEA" w:sz="6"/>
            </w:tcBorders>
            <w:tcMar>
              <w:top w:type="dxa" w:w="90"/>
              <w:left w:type="dxa" w:w="110"/>
              <w:bottom w:type="dxa" w:w="90"/>
              <w:right w:type="dxa" w:w="110"/>
            </w:tcMar>
          </w:tcPr>
          <w:p>
            <w:pPr>
              <w:spacing w:after="0" w:before="0" w:line="230"/>
            </w:pPr>
            <w:r>
              <w:rPr>
                <w:rFonts w:ascii="Aptos" w:cs="Aptos" w:eastAsia="Aptos" w:hAnsi="Aptos"/>
                <w:b w:val="false"/>
                <w:bCs w:val="false"/>
                <w:i w:val="false"/>
                <w:iCs w:val="false"/>
                <w:color w:val="16335D"/>
                <w:sz w:val="18"/>
                <w:szCs w:val="18"/>
              </w:rPr>
              <w:t xml:space="preserve">Summarize stored fictional records and retrieved source chunks.</w:t>
            </w:r>
          </w:p>
        </w:tc>
        <w:tc>
          <w:tcPr>
            <w:tcW w:type="dxa" w:w="4680"/>
            <w:tcBorders>
              <w:top w:val="single" w:color="B7CBEA" w:sz="6"/>
              <w:left w:val="single" w:color="B7CBEA" w:sz="6"/>
              <w:bottom w:val="single" w:color="B7CBEA" w:sz="6"/>
              <w:right w:val="single" w:color="B7CBEA" w:sz="6"/>
            </w:tcBorders>
            <w:tcMar>
              <w:top w:type="dxa" w:w="90"/>
              <w:left w:type="dxa" w:w="110"/>
              <w:bottom w:type="dxa" w:w="90"/>
              <w:right w:type="dxa" w:w="110"/>
            </w:tcMar>
          </w:tcPr>
          <w:p>
            <w:pPr>
              <w:spacing w:after="0" w:before="0" w:line="230"/>
            </w:pPr>
            <w:r>
              <w:rPr>
                <w:rFonts w:ascii="Aptos" w:cs="Aptos" w:eastAsia="Aptos" w:hAnsi="Aptos"/>
                <w:b w:val="false"/>
                <w:bCs w:val="false"/>
                <w:i w:val="false"/>
                <w:iCs w:val="false"/>
                <w:color w:val="16335D"/>
                <w:sz w:val="18"/>
                <w:szCs w:val="18"/>
              </w:rPr>
              <w:t xml:space="preserve">Verify a source document, counterparty, KYC record, or outside-bank fact.</w:t>
            </w:r>
          </w:p>
        </w:tc>
      </w:tr>
      <w:tr>
        <w:tc>
          <w:tcPr>
            <w:tcW w:type="dxa" w:w="4680"/>
            <w:tcBorders>
              <w:top w:val="single" w:color="B7CBEA" w:sz="6"/>
              <w:left w:val="single" w:color="B7CBEA" w:sz="6"/>
              <w:bottom w:val="single" w:color="B7CBEA" w:sz="6"/>
              <w:right w:val="single" w:color="B7CBEA" w:sz="6"/>
            </w:tcBorders>
            <w:tcMar>
              <w:top w:type="dxa" w:w="90"/>
              <w:left w:type="dxa" w:w="110"/>
              <w:bottom w:type="dxa" w:w="90"/>
              <w:right w:type="dxa" w:w="110"/>
            </w:tcMar>
          </w:tcPr>
          <w:p>
            <w:pPr>
              <w:spacing w:after="0" w:before="0" w:line="230"/>
            </w:pPr>
            <w:r>
              <w:rPr>
                <w:rFonts w:ascii="Aptos" w:cs="Aptos" w:eastAsia="Aptos" w:hAnsi="Aptos"/>
                <w:b w:val="false"/>
                <w:bCs w:val="false"/>
                <w:i w:val="false"/>
                <w:iCs w:val="false"/>
                <w:color w:val="16335D"/>
                <w:sz w:val="18"/>
                <w:szCs w:val="18"/>
              </w:rPr>
              <w:t xml:space="preserve">Point the user to exact IDs, chunks, and evidence gaps.</w:t>
            </w:r>
          </w:p>
        </w:tc>
        <w:tc>
          <w:tcPr>
            <w:tcW w:type="dxa" w:w="4680"/>
            <w:tcBorders>
              <w:top w:val="single" w:color="B7CBEA" w:sz="6"/>
              <w:left w:val="single" w:color="B7CBEA" w:sz="6"/>
              <w:bottom w:val="single" w:color="B7CBEA" w:sz="6"/>
              <w:right w:val="single" w:color="B7CBEA" w:sz="6"/>
            </w:tcBorders>
            <w:tcMar>
              <w:top w:type="dxa" w:w="90"/>
              <w:left w:type="dxa" w:w="110"/>
              <w:bottom w:type="dxa" w:w="90"/>
              <w:right w:type="dxa" w:w="110"/>
            </w:tcMar>
          </w:tcPr>
          <w:p>
            <w:pPr>
              <w:spacing w:after="0" w:before="0" w:line="230"/>
            </w:pPr>
            <w:r>
              <w:rPr>
                <w:rFonts w:ascii="Aptos" w:cs="Aptos" w:eastAsia="Aptos" w:hAnsi="Aptos"/>
                <w:b w:val="false"/>
                <w:bCs w:val="false"/>
                <w:i w:val="false"/>
                <w:iCs w:val="false"/>
                <w:color w:val="16335D"/>
                <w:sz w:val="18"/>
                <w:szCs w:val="18"/>
              </w:rPr>
              <w:t xml:space="preserve">Conclude that funds are lawful, unlawful, fraudulent, or laundered.</w:t>
            </w:r>
          </w:p>
        </w:tc>
      </w:tr>
      <w:tr>
        <w:tc>
          <w:tcPr>
            <w:tcW w:type="dxa" w:w="4680"/>
            <w:tcBorders>
              <w:top w:val="single" w:color="B7CBEA" w:sz="6"/>
              <w:left w:val="single" w:color="B7CBEA" w:sz="6"/>
              <w:bottom w:val="single" w:color="B7CBEA" w:sz="6"/>
              <w:right w:val="single" w:color="B7CBEA" w:sz="6"/>
            </w:tcBorders>
            <w:tcMar>
              <w:top w:type="dxa" w:w="90"/>
              <w:left w:type="dxa" w:w="110"/>
              <w:bottom w:type="dxa" w:w="90"/>
              <w:right w:type="dxa" w:w="110"/>
            </w:tcMar>
          </w:tcPr>
          <w:p>
            <w:pPr>
              <w:spacing w:after="0" w:before="0" w:line="230"/>
            </w:pPr>
            <w:r>
              <w:rPr>
                <w:rFonts w:ascii="Aptos" w:cs="Aptos" w:eastAsia="Aptos" w:hAnsi="Aptos"/>
                <w:b w:val="false"/>
                <w:bCs w:val="false"/>
                <w:i w:val="false"/>
                <w:iCs w:val="false"/>
                <w:color w:val="16335D"/>
                <w:sz w:val="18"/>
                <w:szCs w:val="18"/>
              </w:rPr>
              <w:t xml:space="preserve">Help the user frame a question or understand a result.</w:t>
            </w:r>
          </w:p>
        </w:tc>
        <w:tc>
          <w:tcPr>
            <w:tcW w:type="dxa" w:w="4680"/>
            <w:tcBorders>
              <w:top w:val="single" w:color="B7CBEA" w:sz="6"/>
              <w:left w:val="single" w:color="B7CBEA" w:sz="6"/>
              <w:bottom w:val="single" w:color="B7CBEA" w:sz="6"/>
              <w:right w:val="single" w:color="B7CBEA" w:sz="6"/>
            </w:tcBorders>
            <w:tcMar>
              <w:top w:type="dxa" w:w="90"/>
              <w:left w:type="dxa" w:w="110"/>
              <w:bottom w:type="dxa" w:w="90"/>
              <w:right w:type="dxa" w:w="110"/>
            </w:tcMar>
          </w:tcPr>
          <w:p>
            <w:pPr>
              <w:spacing w:after="0" w:before="0" w:line="230"/>
            </w:pPr>
            <w:r>
              <w:rPr>
                <w:rFonts w:ascii="Aptos" w:cs="Aptos" w:eastAsia="Aptos" w:hAnsi="Aptos"/>
                <w:b w:val="false"/>
                <w:bCs w:val="false"/>
                <w:i w:val="false"/>
                <w:iCs w:val="false"/>
                <w:color w:val="16335D"/>
                <w:sz w:val="18"/>
                <w:szCs w:val="18"/>
              </w:rPr>
              <w:t xml:space="preserve">Close, escalate, refer, submit, or file anything on the user’s behalf.</w:t>
            </w:r>
          </w:p>
        </w:tc>
      </w:tr>
    </w:tbl>
    <w:p>
      <w:pPr>
        <w:pStyle w:val="Heading2"/>
        <w:spacing w:after="130" w:before="210"/>
      </w:pPr>
      <w:r>
        <w:t xml:space="preserve">Human decision logic</w:t>
      </w:r>
    </w:p>
    <w:p>
      <w:pPr>
        <w:spacing w:after="140" w:before="0" w:line="276"/>
      </w:pPr>
      <w:r>
        <w:rPr>
          <w:rFonts w:ascii="Aptos" w:cs="Aptos" w:eastAsia="Aptos" w:hAnsi="Aptos"/>
          <w:b w:val="false"/>
          <w:bCs w:val="false"/>
          <w:i w:val="false"/>
          <w:iCs w:val="false"/>
          <w:color w:val="16335D"/>
          <w:sz w:val="21"/>
          <w:szCs w:val="21"/>
        </w:rPr>
        <w:t xml:space="preserve">Decision controls are enabled only while the case has no final investigator action, or after Compliance returns the case for further information. On submission, the action, investigator display name, rationale, and timestamp are appended to the audit history and the form is replaced by its recorded state.</w:t>
      </w:r>
    </w:p>
    <w:p>
      <w:pPr>
        <w:shd w:fill="EAF2FF" w:color="EAF2FF" w:val="clear"/>
        <w:spacing w:after="0" w:before="0" w:line="230"/>
        <w:ind w:left="220" w:right="220"/>
      </w:pPr>
      <w:r>
        <w:rPr>
          <w:rFonts w:ascii="Consolas" w:cs="Consolas" w:eastAsia="Consolas" w:hAnsi="Consolas"/>
          <w:color w:val="17365D"/>
          <w:sz w:val="17"/>
          <w:szCs w:val="17"/>
        </w:rPr>
        <w:t xml:space="preserve">if latest_action is None or latest_action == 'compliance_return':</w:t>
      </w:r>
    </w:p>
    <w:p>
      <w:pPr>
        <w:shd w:fill="EAF2FF" w:color="EAF2FF" w:val="clear"/>
        <w:spacing w:after="0" w:before="0" w:line="230"/>
        <w:ind w:left="220" w:right="220"/>
      </w:pPr>
      <w:r>
        <w:rPr>
          <w:rFonts w:ascii="Consolas" w:cs="Consolas" w:eastAsia="Consolas" w:hAnsi="Consolas"/>
          <w:color w:val="17365D"/>
          <w:sz w:val="17"/>
          <w:szCs w:val="17"/>
        </w:rPr>
        <w:t xml:space="preserve">    require(investigator_name and rationale)</w:t>
      </w:r>
    </w:p>
    <w:p>
      <w:pPr>
        <w:shd w:fill="EAF2FF" w:color="EAF2FF" w:val="clear"/>
        <w:spacing w:after="0" w:before="0" w:line="230"/>
        <w:ind w:left="220" w:right="220"/>
      </w:pPr>
      <w:r>
        <w:rPr>
          <w:rFonts w:ascii="Consolas" w:cs="Consolas" w:eastAsia="Consolas" w:hAnsi="Consolas"/>
          <w:color w:val="17365D"/>
          <w:sz w:val="17"/>
          <w:szCs w:val="17"/>
        </w:rPr>
        <w:t xml:space="preserve">    append_human_action(case_id, selected_action, rationale)</w:t>
      </w:r>
    </w:p>
    <w:p>
      <w:pPr>
        <w:shd w:fill="EAF2FF" w:color="EAF2FF" w:val="clear"/>
        <w:spacing w:after="0" w:before="0" w:line="230"/>
        <w:ind w:left="220" w:right="220"/>
      </w:pPr>
      <w:r>
        <w:rPr>
          <w:rFonts w:ascii="Consolas" w:cs="Consolas" w:eastAsia="Consolas" w:hAnsi="Consolas"/>
          <w:color w:val="17365D"/>
          <w:sz w:val="17"/>
          <w:szCs w:val="17"/>
        </w:rPr>
        <w:t xml:space="preserve">else: show_recorded_action_and_disable_form()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CBEA" w:sz="6"/>
              <w:left w:val="single" w:color="0B8C88" w:sz="6"/>
              <w:bottom w:val="single" w:color="B7CBEA" w:sz="6"/>
              <w:right w:val="single" w:color="0B8C88" w:sz="6"/>
            </w:tcBorders>
            <w:shd w:fill="F4F8FF" w:color="F4F8FF" w:val="clear"/>
            <w:tcMar>
              <w:top w:type="dxa" w:w="130"/>
              <w:left w:type="dxa" w:w="180"/>
              <w:bottom w:type="dxa" w:w="130"/>
              <w:right w:type="dxa" w:w="180"/>
            </w:tcMar>
          </w:tcPr>
          <w:p>
            <w:pPr>
              <w:spacing w:after="45" w:before="0" w:line="276"/>
            </w:pPr>
            <w:r>
              <w:rPr>
                <w:rFonts w:ascii="Aptos" w:cs="Aptos" w:eastAsia="Aptos" w:hAnsi="Aptos"/>
                <w:b/>
                <w:bCs/>
                <w:i w:val="false"/>
                <w:iCs w:val="false"/>
                <w:color w:val="0B8C88"/>
                <w:sz w:val="20"/>
                <w:szCs w:val="20"/>
              </w:rPr>
              <w:t xml:space="preserve">Why the form locks</w:t>
            </w:r>
          </w:p>
          <w:p>
            <w:pPr>
              <w:spacing w:after="0" w:before="0" w:line="254"/>
            </w:pPr>
            <w:r>
              <w:rPr>
                <w:rFonts w:ascii="Aptos" w:cs="Aptos" w:eastAsia="Aptos" w:hAnsi="Aptos"/>
                <w:b w:val="false"/>
                <w:bCs w:val="false"/>
                <w:i w:val="false"/>
                <w:iCs w:val="false"/>
                <w:color w:val="16335D"/>
                <w:sz w:val="19"/>
                <w:szCs w:val="19"/>
              </w:rPr>
              <w:t xml:space="preserve">A human decision is an accountable audit event, not a chat preference. Locking the completed form prevents a user from silently changing a recorded decision. A new permitted workflow state, such as a Compliance return, creates a new auditable action rather than overwriting the original.</w:t>
            </w:r>
          </w:p>
        </w:tc>
      </w:tr>
    </w:tbl>
    <w:p>
      <w:r>
        <w:br w:type="page"/>
      </w:r>
    </w:p>
    <w:p>
      <w:pPr>
        <w:pStyle w:val="Heading1"/>
        <w:spacing w:after="130" w:before="300"/>
      </w:pPr>
      <w:r>
        <w:t xml:space="preserve">6. Compliance outcomes and state mapping</w:t>
      </w:r>
    </w:p>
    <w:p>
      <w:pPr>
        <w:spacing w:after="140" w:before="0" w:line="276"/>
      </w:pPr>
      <w:r>
        <w:rPr>
          <w:rFonts w:ascii="Aptos" w:cs="Aptos" w:eastAsia="Aptos" w:hAnsi="Aptos"/>
          <w:b w:val="false"/>
          <w:bCs w:val="false"/>
          <w:i w:val="false"/>
          <w:iCs w:val="false"/>
          <w:color w:val="16335D"/>
          <w:sz w:val="21"/>
          <w:szCs w:val="21"/>
        </w:rPr>
        <w:t xml:space="preserve">Compliance is a separate human review of investigator escalations. Its three actions have different operational meaning and need distinct queue labels.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150"/>
        <w:gridCol w:w="3610"/>
      </w:tblGrid>
      <w:tr>
        <w:trPr>
          <w:tblHeader/>
        </w:trPr>
        <w:tc>
          <w:tcPr>
            <w:tcW w:type="dxa" w:w="2600"/>
            <w:tcBorders>
              <w:top w:val="single" w:color="B7CBEA" w:sz="6"/>
              <w:left w:val="single" w:color="B7CBEA" w:sz="6"/>
              <w:bottom w:val="single" w:color="B7CBEA" w:sz="6"/>
              <w:right w:val="single" w:color="B7CBEA" w:sz="6"/>
            </w:tcBorders>
            <w:shd w:fill="16335D" w:color="16335D" w:val="clear"/>
            <w:tcMar>
              <w:top w:type="dxa" w:w="90"/>
              <w:left w:type="dxa" w:w="110"/>
              <w:bottom w:type="dxa" w:w="90"/>
              <w:right w:type="dxa" w:w="110"/>
            </w:tcMar>
          </w:tcPr>
          <w:p>
            <w:pPr>
              <w:spacing w:after="0" w:before="0" w:line="230"/>
            </w:pPr>
            <w:r>
              <w:rPr>
                <w:rFonts w:ascii="Aptos" w:cs="Aptos" w:eastAsia="Aptos" w:hAnsi="Aptos"/>
                <w:b/>
                <w:bCs/>
                <w:i w:val="false"/>
                <w:iCs w:val="false"/>
                <w:color w:val="FFFFFF"/>
                <w:sz w:val="18"/>
                <w:szCs w:val="18"/>
              </w:rPr>
              <w:t xml:space="preserve">Compliance action</w:t>
            </w:r>
          </w:p>
        </w:tc>
        <w:tc>
          <w:tcPr>
            <w:tcW w:type="dxa" w:w="3150"/>
            <w:tcBorders>
              <w:top w:val="single" w:color="B7CBEA" w:sz="6"/>
              <w:left w:val="single" w:color="B7CBEA" w:sz="6"/>
              <w:bottom w:val="single" w:color="B7CBEA" w:sz="6"/>
              <w:right w:val="single" w:color="B7CBEA" w:sz="6"/>
            </w:tcBorders>
            <w:shd w:fill="16335D" w:color="16335D" w:val="clear"/>
            <w:tcMar>
              <w:top w:type="dxa" w:w="90"/>
              <w:left w:type="dxa" w:w="110"/>
              <w:bottom w:type="dxa" w:w="90"/>
              <w:right w:type="dxa" w:w="110"/>
            </w:tcMar>
          </w:tcPr>
          <w:p>
            <w:pPr>
              <w:spacing w:after="0" w:before="0" w:line="230"/>
            </w:pPr>
            <w:r>
              <w:rPr>
                <w:rFonts w:ascii="Aptos" w:cs="Aptos" w:eastAsia="Aptos" w:hAnsi="Aptos"/>
                <w:b/>
                <w:bCs/>
                <w:i w:val="false"/>
                <w:iCs w:val="false"/>
                <w:color w:val="FFFFFF"/>
                <w:sz w:val="18"/>
                <w:szCs w:val="18"/>
              </w:rPr>
              <w:t xml:space="preserve">Queue indication</w:t>
            </w:r>
          </w:p>
        </w:tc>
        <w:tc>
          <w:tcPr>
            <w:tcW w:type="dxa" w:w="3610"/>
            <w:tcBorders>
              <w:top w:val="single" w:color="B7CBEA" w:sz="6"/>
              <w:left w:val="single" w:color="B7CBEA" w:sz="6"/>
              <w:bottom w:val="single" w:color="B7CBEA" w:sz="6"/>
              <w:right w:val="single" w:color="B7CBEA" w:sz="6"/>
            </w:tcBorders>
            <w:shd w:fill="16335D" w:color="16335D" w:val="clear"/>
            <w:tcMar>
              <w:top w:type="dxa" w:w="90"/>
              <w:left w:type="dxa" w:w="110"/>
              <w:bottom w:type="dxa" w:w="90"/>
              <w:right w:type="dxa" w:w="110"/>
            </w:tcMar>
          </w:tcPr>
          <w:p>
            <w:pPr>
              <w:spacing w:after="0" w:before="0" w:line="230"/>
            </w:pPr>
            <w:r>
              <w:rPr>
                <w:rFonts w:ascii="Aptos" w:cs="Aptos" w:eastAsia="Aptos" w:hAnsi="Aptos"/>
                <w:b/>
                <w:bCs/>
                <w:i w:val="false"/>
                <w:iCs w:val="false"/>
                <w:color w:val="FFFFFF"/>
                <w:sz w:val="18"/>
                <w:szCs w:val="18"/>
              </w:rPr>
              <w:t xml:space="preserve">Meaning</w:t>
            </w:r>
          </w:p>
        </w:tc>
      </w:tr>
      <w:tr>
        <w:tc>
          <w:tcPr>
            <w:tcW w:type="dxa" w:w="2600"/>
            <w:tcBorders>
              <w:top w:val="single" w:color="B7CBEA" w:sz="6"/>
              <w:left w:val="single" w:color="B7CBEA" w:sz="6"/>
              <w:bottom w:val="single" w:color="B7CBEA" w:sz="6"/>
              <w:right w:val="single" w:color="B7CBEA" w:sz="6"/>
            </w:tcBorders>
            <w:tcMar>
              <w:top w:type="dxa" w:w="90"/>
              <w:left w:type="dxa" w:w="110"/>
              <w:bottom w:type="dxa" w:w="90"/>
              <w:right w:type="dxa" w:w="110"/>
            </w:tcMar>
          </w:tcPr>
          <w:p>
            <w:pPr>
              <w:spacing w:after="0" w:before="0" w:line="230"/>
            </w:pPr>
            <w:r>
              <w:rPr>
                <w:rFonts w:ascii="Aptos" w:cs="Aptos" w:eastAsia="Aptos" w:hAnsi="Aptos"/>
                <w:b w:val="false"/>
                <w:bCs w:val="false"/>
                <w:i w:val="false"/>
                <w:iCs w:val="false"/>
                <w:color w:val="16335D"/>
                <w:sz w:val="18"/>
                <w:szCs w:val="18"/>
              </w:rPr>
              <w:t xml:space="preserve">Acknowledge — no further action</w:t>
            </w:r>
          </w:p>
        </w:tc>
        <w:tc>
          <w:tcPr>
            <w:tcW w:type="dxa" w:w="3150"/>
            <w:tcBorders>
              <w:top w:val="single" w:color="B7CBEA" w:sz="6"/>
              <w:left w:val="single" w:color="B7CBEA" w:sz="6"/>
              <w:bottom w:val="single" w:color="B7CBEA" w:sz="6"/>
              <w:right w:val="single" w:color="B7CBEA" w:sz="6"/>
            </w:tcBorders>
            <w:tcMar>
              <w:top w:type="dxa" w:w="90"/>
              <w:left w:type="dxa" w:w="110"/>
              <w:bottom w:type="dxa" w:w="90"/>
              <w:right w:type="dxa" w:w="110"/>
            </w:tcMar>
          </w:tcPr>
          <w:p>
            <w:pPr>
              <w:spacing w:after="0" w:before="0" w:line="230"/>
            </w:pPr>
            <w:r>
              <w:rPr>
                <w:rFonts w:ascii="Aptos" w:cs="Aptos" w:eastAsia="Aptos" w:hAnsi="Aptos"/>
                <w:b w:val="false"/>
                <w:bCs w:val="false"/>
                <w:i w:val="false"/>
                <w:iCs w:val="false"/>
                <w:color w:val="16335D"/>
                <w:sz w:val="18"/>
                <w:szCs w:val="18"/>
              </w:rPr>
              <w:t xml:space="preserve">Compliance reviewed — no further action</w:t>
            </w:r>
          </w:p>
        </w:tc>
        <w:tc>
          <w:tcPr>
            <w:tcW w:type="dxa" w:w="3610"/>
            <w:tcBorders>
              <w:top w:val="single" w:color="B7CBEA" w:sz="6"/>
              <w:left w:val="single" w:color="B7CBEA" w:sz="6"/>
              <w:bottom w:val="single" w:color="B7CBEA" w:sz="6"/>
              <w:right w:val="single" w:color="B7CBEA" w:sz="6"/>
            </w:tcBorders>
            <w:tcMar>
              <w:top w:type="dxa" w:w="90"/>
              <w:left w:type="dxa" w:w="110"/>
              <w:bottom w:type="dxa" w:w="90"/>
              <w:right w:type="dxa" w:w="110"/>
            </w:tcMar>
          </w:tcPr>
          <w:p>
            <w:pPr>
              <w:spacing w:after="0" w:before="0" w:line="230"/>
            </w:pPr>
            <w:r>
              <w:rPr>
                <w:rFonts w:ascii="Aptos" w:cs="Aptos" w:eastAsia="Aptos" w:hAnsi="Aptos"/>
                <w:b w:val="false"/>
                <w:bCs w:val="false"/>
                <w:i w:val="false"/>
                <w:iCs w:val="false"/>
                <w:color w:val="16335D"/>
                <w:sz w:val="18"/>
                <w:szCs w:val="18"/>
              </w:rPr>
              <w:t xml:space="preserve">The escalation was reviewed; no additional action is needed in this fictional workflow.</w:t>
            </w:r>
          </w:p>
        </w:tc>
      </w:tr>
      <w:tr>
        <w:tc>
          <w:tcPr>
            <w:tcW w:type="dxa" w:w="2600"/>
            <w:tcBorders>
              <w:top w:val="single" w:color="B7CBEA" w:sz="6"/>
              <w:left w:val="single" w:color="B7CBEA" w:sz="6"/>
              <w:bottom w:val="single" w:color="B7CBEA" w:sz="6"/>
              <w:right w:val="single" w:color="B7CBEA" w:sz="6"/>
            </w:tcBorders>
            <w:tcMar>
              <w:top w:type="dxa" w:w="90"/>
              <w:left w:type="dxa" w:w="110"/>
              <w:bottom w:type="dxa" w:w="90"/>
              <w:right w:type="dxa" w:w="110"/>
            </w:tcMar>
          </w:tcPr>
          <w:p>
            <w:pPr>
              <w:spacing w:after="0" w:before="0" w:line="230"/>
            </w:pPr>
            <w:r>
              <w:rPr>
                <w:rFonts w:ascii="Aptos" w:cs="Aptos" w:eastAsia="Aptos" w:hAnsi="Aptos"/>
                <w:b w:val="false"/>
                <w:bCs w:val="false"/>
                <w:i w:val="false"/>
                <w:iCs w:val="false"/>
                <w:color w:val="16335D"/>
                <w:sz w:val="18"/>
                <w:szCs w:val="18"/>
              </w:rPr>
              <w:t xml:space="preserve">Return to investigator</w:t>
            </w:r>
          </w:p>
        </w:tc>
        <w:tc>
          <w:tcPr>
            <w:tcW w:type="dxa" w:w="3150"/>
            <w:tcBorders>
              <w:top w:val="single" w:color="B7CBEA" w:sz="6"/>
              <w:left w:val="single" w:color="B7CBEA" w:sz="6"/>
              <w:bottom w:val="single" w:color="B7CBEA" w:sz="6"/>
              <w:right w:val="single" w:color="B7CBEA" w:sz="6"/>
            </w:tcBorders>
            <w:tcMar>
              <w:top w:type="dxa" w:w="90"/>
              <w:left w:type="dxa" w:w="110"/>
              <w:bottom w:type="dxa" w:w="90"/>
              <w:right w:type="dxa" w:w="110"/>
            </w:tcMar>
          </w:tcPr>
          <w:p>
            <w:pPr>
              <w:spacing w:after="0" w:before="0" w:line="230"/>
            </w:pPr>
            <w:r>
              <w:rPr>
                <w:rFonts w:ascii="Aptos" w:cs="Aptos" w:eastAsia="Aptos" w:hAnsi="Aptos"/>
                <w:b w:val="false"/>
                <w:bCs w:val="false"/>
                <w:i w:val="false"/>
                <w:iCs w:val="false"/>
                <w:color w:val="16335D"/>
                <w:sz w:val="18"/>
                <w:szCs w:val="18"/>
              </w:rPr>
              <w:t xml:space="preserve">Compliance returned — information needed</w:t>
            </w:r>
          </w:p>
        </w:tc>
        <w:tc>
          <w:tcPr>
            <w:tcW w:type="dxa" w:w="3610"/>
            <w:tcBorders>
              <w:top w:val="single" w:color="B7CBEA" w:sz="6"/>
              <w:left w:val="single" w:color="B7CBEA" w:sz="6"/>
              <w:bottom w:val="single" w:color="B7CBEA" w:sz="6"/>
              <w:right w:val="single" w:color="B7CBEA" w:sz="6"/>
            </w:tcBorders>
            <w:tcMar>
              <w:top w:type="dxa" w:w="90"/>
              <w:left w:type="dxa" w:w="110"/>
              <w:bottom w:type="dxa" w:w="90"/>
              <w:right w:type="dxa" w:w="110"/>
            </w:tcMar>
          </w:tcPr>
          <w:p>
            <w:pPr>
              <w:spacing w:after="0" w:before="0" w:line="230"/>
            </w:pPr>
            <w:r>
              <w:rPr>
                <w:rFonts w:ascii="Aptos" w:cs="Aptos" w:eastAsia="Aptos" w:hAnsi="Aptos"/>
                <w:b w:val="false"/>
                <w:bCs w:val="false"/>
                <w:i w:val="false"/>
                <w:iCs w:val="false"/>
                <w:color w:val="16335D"/>
                <w:sz w:val="18"/>
                <w:szCs w:val="18"/>
              </w:rPr>
              <w:t xml:space="preserve">The case goes back for more evidence or explanation before Compliance can decide.</w:t>
            </w:r>
          </w:p>
        </w:tc>
      </w:tr>
      <w:tr>
        <w:tc>
          <w:tcPr>
            <w:tcW w:type="dxa" w:w="2600"/>
            <w:tcBorders>
              <w:top w:val="single" w:color="B7CBEA" w:sz="6"/>
              <w:left w:val="single" w:color="B7CBEA" w:sz="6"/>
              <w:bottom w:val="single" w:color="B7CBEA" w:sz="6"/>
              <w:right w:val="single" w:color="B7CBEA" w:sz="6"/>
            </w:tcBorders>
            <w:tcMar>
              <w:top w:type="dxa" w:w="90"/>
              <w:left w:type="dxa" w:w="110"/>
              <w:bottom w:type="dxa" w:w="90"/>
              <w:right w:type="dxa" w:w="110"/>
            </w:tcMar>
          </w:tcPr>
          <w:p>
            <w:pPr>
              <w:spacing w:after="0" w:before="0" w:line="230"/>
            </w:pPr>
            <w:r>
              <w:rPr>
                <w:rFonts w:ascii="Aptos" w:cs="Aptos" w:eastAsia="Aptos" w:hAnsi="Aptos"/>
                <w:b w:val="false"/>
                <w:bCs w:val="false"/>
                <w:i w:val="false"/>
                <w:iCs w:val="false"/>
                <w:color w:val="16335D"/>
                <w:sz w:val="18"/>
                <w:szCs w:val="18"/>
              </w:rPr>
              <w:t xml:space="preserve">Referred onward</w:t>
            </w:r>
          </w:p>
        </w:tc>
        <w:tc>
          <w:tcPr>
            <w:tcW w:type="dxa" w:w="3150"/>
            <w:tcBorders>
              <w:top w:val="single" w:color="B7CBEA" w:sz="6"/>
              <w:left w:val="single" w:color="B7CBEA" w:sz="6"/>
              <w:bottom w:val="single" w:color="B7CBEA" w:sz="6"/>
              <w:right w:val="single" w:color="B7CBEA" w:sz="6"/>
            </w:tcBorders>
            <w:tcMar>
              <w:top w:type="dxa" w:w="90"/>
              <w:left w:type="dxa" w:w="110"/>
              <w:bottom w:type="dxa" w:w="90"/>
              <w:right w:type="dxa" w:w="110"/>
            </w:tcMar>
          </w:tcPr>
          <w:p>
            <w:pPr>
              <w:spacing w:after="0" w:before="0" w:line="230"/>
            </w:pPr>
            <w:r>
              <w:rPr>
                <w:rFonts w:ascii="Aptos" w:cs="Aptos" w:eastAsia="Aptos" w:hAnsi="Aptos"/>
                <w:b w:val="false"/>
                <w:bCs w:val="false"/>
                <w:i w:val="false"/>
                <w:iCs w:val="false"/>
                <w:color w:val="16335D"/>
                <w:sz w:val="18"/>
                <w:szCs w:val="18"/>
              </w:rPr>
              <w:t xml:space="preserve">Compliance referred onward — recorded</w:t>
            </w:r>
          </w:p>
        </w:tc>
        <w:tc>
          <w:tcPr>
            <w:tcW w:type="dxa" w:w="3610"/>
            <w:tcBorders>
              <w:top w:val="single" w:color="B7CBEA" w:sz="6"/>
              <w:left w:val="single" w:color="B7CBEA" w:sz="6"/>
              <w:bottom w:val="single" w:color="B7CBEA" w:sz="6"/>
              <w:right w:val="single" w:color="B7CBEA" w:sz="6"/>
            </w:tcBorders>
            <w:tcMar>
              <w:top w:type="dxa" w:w="90"/>
              <w:left w:type="dxa" w:w="110"/>
              <w:bottom w:type="dxa" w:w="90"/>
              <w:right w:type="dxa" w:w="110"/>
            </w:tcMar>
          </w:tcPr>
          <w:p>
            <w:pPr>
              <w:spacing w:after="0" w:before="0" w:line="230"/>
            </w:pPr>
            <w:r>
              <w:rPr>
                <w:rFonts w:ascii="Aptos" w:cs="Aptos" w:eastAsia="Aptos" w:hAnsi="Aptos"/>
                <w:b w:val="false"/>
                <w:bCs w:val="false"/>
                <w:i w:val="false"/>
                <w:iCs w:val="false"/>
                <w:color w:val="16335D"/>
                <w:sz w:val="18"/>
                <w:szCs w:val="18"/>
              </w:rPr>
              <w:t xml:space="preserve">A human recorded an onward referral. The tool itself does not file anything with a regulator.</w:t>
            </w:r>
          </w:p>
        </w:tc>
      </w:tr>
    </w:tbl>
    <w:p>
      <w:pPr>
        <w:spacing w:after="55" w:before="120"/>
        <w:jc w:val="center"/>
      </w:pPr>
      <w:r>
        <w:drawing>
          <wp:inline distT="0" distB="0" distL="0" distR="0">
            <wp:extent cx="6096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096000" cy="3429000"/>
                    </a:xfrm>
                    <a:prstGeom prst="rect">
                      <a:avLst/>
                    </a:prstGeom>
                  </pic:spPr>
                </pic:pic>
              </a:graphicData>
            </a:graphic>
          </wp:inline>
        </w:drawing>
      </w:r>
    </w:p>
    <w:p>
      <w:pPr>
        <w:spacing w:after="180" w:before="0" w:line="230"/>
        <w:jc w:val="center"/>
      </w:pPr>
      <w:r>
        <w:rPr>
          <w:rFonts w:ascii="Aptos" w:cs="Aptos" w:eastAsia="Aptos" w:hAnsi="Aptos"/>
          <w:b w:val="false"/>
          <w:bCs w:val="false"/>
          <w:i/>
          <w:iCs/>
          <w:color w:val="63738D"/>
          <w:sz w:val="17"/>
          <w:szCs w:val="17"/>
        </w:rPr>
        <w:t xml:space="preserve">Figure — Compliance Queue makes the separate second-review boundary visible.</w:t>
      </w:r>
    </w:p>
    <w:p>
      <w:r>
        <w:br w:type="page"/>
      </w:r>
    </w:p>
    <w:p>
      <w:pPr>
        <w:pStyle w:val="Heading1"/>
        <w:spacing w:after="130" w:before="300"/>
      </w:pPr>
      <w:r>
        <w:t xml:space="preserve">7. Analytics and Global Search</w:t>
      </w:r>
    </w:p>
    <w:p>
      <w:pPr>
        <w:spacing w:after="140" w:before="0" w:line="276"/>
      </w:pPr>
      <w:r>
        <w:rPr>
          <w:rFonts w:ascii="Aptos" w:cs="Aptos" w:eastAsia="Aptos" w:hAnsi="Aptos"/>
          <w:b w:val="false"/>
          <w:bCs w:val="false"/>
          <w:i w:val="false"/>
          <w:iCs w:val="false"/>
          <w:color w:val="16335D"/>
          <w:sz w:val="21"/>
          <w:szCs w:val="21"/>
        </w:rPr>
        <w:t xml:space="preserve">Analytics is descriptive and uses carefully named axes. The graphs show counts and proportions in the stored fictional dataset; they are not model-quality statistics or probability estimates.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000"/>
        <w:gridCol w:w="3660"/>
      </w:tblGrid>
      <w:tr>
        <w:trPr>
          <w:tblHeader/>
        </w:trPr>
        <w:tc>
          <w:tcPr>
            <w:tcW w:type="dxa" w:w="2700"/>
            <w:tcBorders>
              <w:top w:val="single" w:color="B7CBEA" w:sz="6"/>
              <w:left w:val="single" w:color="B7CBEA" w:sz="6"/>
              <w:bottom w:val="single" w:color="B7CBEA" w:sz="6"/>
              <w:right w:val="single" w:color="B7CBEA" w:sz="6"/>
            </w:tcBorders>
            <w:shd w:fill="16335D" w:color="16335D" w:val="clear"/>
            <w:tcMar>
              <w:top w:type="dxa" w:w="90"/>
              <w:left w:type="dxa" w:w="110"/>
              <w:bottom w:type="dxa" w:w="90"/>
              <w:right w:type="dxa" w:w="110"/>
            </w:tcMar>
          </w:tcPr>
          <w:p>
            <w:pPr>
              <w:spacing w:after="0" w:before="0" w:line="230"/>
            </w:pPr>
            <w:r>
              <w:rPr>
                <w:rFonts w:ascii="Aptos" w:cs="Aptos" w:eastAsia="Aptos" w:hAnsi="Aptos"/>
                <w:b/>
                <w:bCs/>
                <w:i w:val="false"/>
                <w:iCs w:val="false"/>
                <w:color w:val="FFFFFF"/>
                <w:sz w:val="18"/>
                <w:szCs w:val="18"/>
              </w:rPr>
              <w:t xml:space="preserve">Graph</w:t>
            </w:r>
          </w:p>
        </w:tc>
        <w:tc>
          <w:tcPr>
            <w:tcW w:type="dxa" w:w="3000"/>
            <w:tcBorders>
              <w:top w:val="single" w:color="B7CBEA" w:sz="6"/>
              <w:left w:val="single" w:color="B7CBEA" w:sz="6"/>
              <w:bottom w:val="single" w:color="B7CBEA" w:sz="6"/>
              <w:right w:val="single" w:color="B7CBEA" w:sz="6"/>
            </w:tcBorders>
            <w:shd w:fill="16335D" w:color="16335D" w:val="clear"/>
            <w:tcMar>
              <w:top w:type="dxa" w:w="90"/>
              <w:left w:type="dxa" w:w="110"/>
              <w:bottom w:type="dxa" w:w="90"/>
              <w:right w:type="dxa" w:w="110"/>
            </w:tcMar>
          </w:tcPr>
          <w:p>
            <w:pPr>
              <w:spacing w:after="0" w:before="0" w:line="230"/>
            </w:pPr>
            <w:r>
              <w:rPr>
                <w:rFonts w:ascii="Aptos" w:cs="Aptos" w:eastAsia="Aptos" w:hAnsi="Aptos"/>
                <w:b/>
                <w:bCs/>
                <w:i w:val="false"/>
                <w:iCs w:val="false"/>
                <w:color w:val="FFFFFF"/>
                <w:sz w:val="18"/>
                <w:szCs w:val="18"/>
              </w:rPr>
              <w:t xml:space="preserve">X-axis / measure</w:t>
            </w:r>
          </w:p>
        </w:tc>
        <w:tc>
          <w:tcPr>
            <w:tcW w:type="dxa" w:w="3660"/>
            <w:tcBorders>
              <w:top w:val="single" w:color="B7CBEA" w:sz="6"/>
              <w:left w:val="single" w:color="B7CBEA" w:sz="6"/>
              <w:bottom w:val="single" w:color="B7CBEA" w:sz="6"/>
              <w:right w:val="single" w:color="B7CBEA" w:sz="6"/>
            </w:tcBorders>
            <w:shd w:fill="16335D" w:color="16335D" w:val="clear"/>
            <w:tcMar>
              <w:top w:type="dxa" w:w="90"/>
              <w:left w:type="dxa" w:w="110"/>
              <w:bottom w:type="dxa" w:w="90"/>
              <w:right w:type="dxa" w:w="110"/>
            </w:tcMar>
          </w:tcPr>
          <w:p>
            <w:pPr>
              <w:spacing w:after="0" w:before="0" w:line="230"/>
            </w:pPr>
            <w:r>
              <w:rPr>
                <w:rFonts w:ascii="Aptos" w:cs="Aptos" w:eastAsia="Aptos" w:hAnsi="Aptos"/>
                <w:b/>
                <w:bCs/>
                <w:i w:val="false"/>
                <w:iCs w:val="false"/>
                <w:color w:val="FFFFFF"/>
                <w:sz w:val="18"/>
                <w:szCs w:val="18"/>
              </w:rPr>
              <w:t xml:space="preserve">Interpretation guardrail</w:t>
            </w:r>
          </w:p>
        </w:tc>
      </w:tr>
      <w:tr>
        <w:tc>
          <w:tcPr>
            <w:tcW w:type="dxa" w:w="2700"/>
            <w:tcBorders>
              <w:top w:val="single" w:color="B7CBEA" w:sz="6"/>
              <w:left w:val="single" w:color="B7CBEA" w:sz="6"/>
              <w:bottom w:val="single" w:color="B7CBEA" w:sz="6"/>
              <w:right w:val="single" w:color="B7CBEA" w:sz="6"/>
            </w:tcBorders>
            <w:tcMar>
              <w:top w:type="dxa" w:w="90"/>
              <w:left w:type="dxa" w:w="110"/>
              <w:bottom w:type="dxa" w:w="90"/>
              <w:right w:type="dxa" w:w="110"/>
            </w:tcMar>
          </w:tcPr>
          <w:p>
            <w:pPr>
              <w:spacing w:after="0" w:before="0" w:line="230"/>
            </w:pPr>
            <w:r>
              <w:rPr>
                <w:rFonts w:ascii="Aptos" w:cs="Aptos" w:eastAsia="Aptos" w:hAnsi="Aptos"/>
                <w:b w:val="false"/>
                <w:bCs w:val="false"/>
                <w:i w:val="false"/>
                <w:iCs w:val="false"/>
                <w:color w:val="16335D"/>
                <w:sz w:val="18"/>
                <w:szCs w:val="18"/>
              </w:rPr>
              <w:t xml:space="preserve">Alerts by severity</w:t>
            </w:r>
          </w:p>
        </w:tc>
        <w:tc>
          <w:tcPr>
            <w:tcW w:type="dxa" w:w="3000"/>
            <w:tcBorders>
              <w:top w:val="single" w:color="B7CBEA" w:sz="6"/>
              <w:left w:val="single" w:color="B7CBEA" w:sz="6"/>
              <w:bottom w:val="single" w:color="B7CBEA" w:sz="6"/>
              <w:right w:val="single" w:color="B7CBEA" w:sz="6"/>
            </w:tcBorders>
            <w:tcMar>
              <w:top w:type="dxa" w:w="90"/>
              <w:left w:type="dxa" w:w="110"/>
              <w:bottom w:type="dxa" w:w="90"/>
              <w:right w:type="dxa" w:w="110"/>
            </w:tcMar>
          </w:tcPr>
          <w:p>
            <w:pPr>
              <w:spacing w:after="0" w:before="0" w:line="230"/>
            </w:pPr>
            <w:r>
              <w:rPr>
                <w:rFonts w:ascii="Aptos" w:cs="Aptos" w:eastAsia="Aptos" w:hAnsi="Aptos"/>
                <w:b w:val="false"/>
                <w:bCs w:val="false"/>
                <w:i w:val="false"/>
                <w:iCs w:val="false"/>
                <w:color w:val="16335D"/>
                <w:sz w:val="18"/>
                <w:szCs w:val="18"/>
              </w:rPr>
              <w:t xml:space="preserve">Number of stored alerts</w:t>
            </w:r>
          </w:p>
        </w:tc>
        <w:tc>
          <w:tcPr>
            <w:tcW w:type="dxa" w:w="3660"/>
            <w:tcBorders>
              <w:top w:val="single" w:color="B7CBEA" w:sz="6"/>
              <w:left w:val="single" w:color="B7CBEA" w:sz="6"/>
              <w:bottom w:val="single" w:color="B7CBEA" w:sz="6"/>
              <w:right w:val="single" w:color="B7CBEA" w:sz="6"/>
            </w:tcBorders>
            <w:tcMar>
              <w:top w:type="dxa" w:w="90"/>
              <w:left w:type="dxa" w:w="110"/>
              <w:bottom w:type="dxa" w:w="90"/>
              <w:right w:type="dxa" w:w="110"/>
            </w:tcMar>
          </w:tcPr>
          <w:p>
            <w:pPr>
              <w:spacing w:after="0" w:before="0" w:line="230"/>
            </w:pPr>
            <w:r>
              <w:rPr>
                <w:rFonts w:ascii="Aptos" w:cs="Aptos" w:eastAsia="Aptos" w:hAnsi="Aptos"/>
                <w:b w:val="false"/>
                <w:bCs w:val="false"/>
                <w:i w:val="false"/>
                <w:iCs w:val="false"/>
                <w:color w:val="16335D"/>
                <w:sz w:val="18"/>
                <w:szCs w:val="18"/>
              </w:rPr>
              <w:t xml:space="preserve">Counts High, Medium, and Low labels.</w:t>
            </w:r>
          </w:p>
        </w:tc>
      </w:tr>
      <w:tr>
        <w:tc>
          <w:tcPr>
            <w:tcW w:type="dxa" w:w="2700"/>
            <w:tcBorders>
              <w:top w:val="single" w:color="B7CBEA" w:sz="6"/>
              <w:left w:val="single" w:color="B7CBEA" w:sz="6"/>
              <w:bottom w:val="single" w:color="B7CBEA" w:sz="6"/>
              <w:right w:val="single" w:color="B7CBEA" w:sz="6"/>
            </w:tcBorders>
            <w:tcMar>
              <w:top w:type="dxa" w:w="90"/>
              <w:left w:type="dxa" w:w="110"/>
              <w:bottom w:type="dxa" w:w="90"/>
              <w:right w:type="dxa" w:w="110"/>
            </w:tcMar>
          </w:tcPr>
          <w:p>
            <w:pPr>
              <w:spacing w:after="0" w:before="0" w:line="230"/>
            </w:pPr>
            <w:r>
              <w:rPr>
                <w:rFonts w:ascii="Aptos" w:cs="Aptos" w:eastAsia="Aptos" w:hAnsi="Aptos"/>
                <w:b w:val="false"/>
                <w:bCs w:val="false"/>
                <w:i w:val="false"/>
                <w:iCs w:val="false"/>
                <w:color w:val="16335D"/>
                <w:sz w:val="18"/>
                <w:szCs w:val="18"/>
              </w:rPr>
              <w:t xml:space="preserve">Alerts by typology</w:t>
            </w:r>
          </w:p>
        </w:tc>
        <w:tc>
          <w:tcPr>
            <w:tcW w:type="dxa" w:w="3000"/>
            <w:tcBorders>
              <w:top w:val="single" w:color="B7CBEA" w:sz="6"/>
              <w:left w:val="single" w:color="B7CBEA" w:sz="6"/>
              <w:bottom w:val="single" w:color="B7CBEA" w:sz="6"/>
              <w:right w:val="single" w:color="B7CBEA" w:sz="6"/>
            </w:tcBorders>
            <w:tcMar>
              <w:top w:type="dxa" w:w="90"/>
              <w:left w:type="dxa" w:w="110"/>
              <w:bottom w:type="dxa" w:w="90"/>
              <w:right w:type="dxa" w:w="110"/>
            </w:tcMar>
          </w:tcPr>
          <w:p>
            <w:pPr>
              <w:spacing w:after="0" w:before="0" w:line="230"/>
            </w:pPr>
            <w:r>
              <w:rPr>
                <w:rFonts w:ascii="Aptos" w:cs="Aptos" w:eastAsia="Aptos" w:hAnsi="Aptos"/>
                <w:b w:val="false"/>
                <w:bCs w:val="false"/>
                <w:i w:val="false"/>
                <w:iCs w:val="false"/>
                <w:color w:val="16335D"/>
                <w:sz w:val="18"/>
                <w:szCs w:val="18"/>
              </w:rPr>
              <w:t xml:space="preserve">Number of stored alerts</w:t>
            </w:r>
          </w:p>
        </w:tc>
        <w:tc>
          <w:tcPr>
            <w:tcW w:type="dxa" w:w="3660"/>
            <w:tcBorders>
              <w:top w:val="single" w:color="B7CBEA" w:sz="6"/>
              <w:left w:val="single" w:color="B7CBEA" w:sz="6"/>
              <w:bottom w:val="single" w:color="B7CBEA" w:sz="6"/>
              <w:right w:val="single" w:color="B7CBEA" w:sz="6"/>
            </w:tcBorders>
            <w:tcMar>
              <w:top w:type="dxa" w:w="90"/>
              <w:left w:type="dxa" w:w="110"/>
              <w:bottom w:type="dxa" w:w="90"/>
              <w:right w:type="dxa" w:w="110"/>
            </w:tcMar>
          </w:tcPr>
          <w:p>
            <w:pPr>
              <w:spacing w:after="0" w:before="0" w:line="230"/>
            </w:pPr>
            <w:r>
              <w:rPr>
                <w:rFonts w:ascii="Aptos" w:cs="Aptos" w:eastAsia="Aptos" w:hAnsi="Aptos"/>
                <w:b w:val="false"/>
                <w:bCs w:val="false"/>
                <w:i w:val="false"/>
                <w:iCs w:val="false"/>
                <w:color w:val="16335D"/>
                <w:sz w:val="18"/>
                <w:szCs w:val="18"/>
              </w:rPr>
              <w:t xml:space="preserve">Counts categories such as velocity or structuring.</w:t>
            </w:r>
          </w:p>
        </w:tc>
      </w:tr>
      <w:tr>
        <w:tc>
          <w:tcPr>
            <w:tcW w:type="dxa" w:w="2700"/>
            <w:tcBorders>
              <w:top w:val="single" w:color="B7CBEA" w:sz="6"/>
              <w:left w:val="single" w:color="B7CBEA" w:sz="6"/>
              <w:bottom w:val="single" w:color="B7CBEA" w:sz="6"/>
              <w:right w:val="single" w:color="B7CBEA" w:sz="6"/>
            </w:tcBorders>
            <w:tcMar>
              <w:top w:type="dxa" w:w="90"/>
              <w:left w:type="dxa" w:w="110"/>
              <w:bottom w:type="dxa" w:w="90"/>
              <w:right w:type="dxa" w:w="110"/>
            </w:tcMar>
          </w:tcPr>
          <w:p>
            <w:pPr>
              <w:spacing w:after="0" w:before="0" w:line="230"/>
            </w:pPr>
            <w:r>
              <w:rPr>
                <w:rFonts w:ascii="Aptos" w:cs="Aptos" w:eastAsia="Aptos" w:hAnsi="Aptos"/>
                <w:b w:val="false"/>
                <w:bCs w:val="false"/>
                <w:i w:val="false"/>
                <w:iCs w:val="false"/>
                <w:color w:val="16335D"/>
                <w:sz w:val="18"/>
                <w:szCs w:val="18"/>
              </w:rPr>
              <w:t xml:space="preserve">Alerts by current status</w:t>
            </w:r>
          </w:p>
        </w:tc>
        <w:tc>
          <w:tcPr>
            <w:tcW w:type="dxa" w:w="3000"/>
            <w:tcBorders>
              <w:top w:val="single" w:color="B7CBEA" w:sz="6"/>
              <w:left w:val="single" w:color="B7CBEA" w:sz="6"/>
              <w:bottom w:val="single" w:color="B7CBEA" w:sz="6"/>
              <w:right w:val="single" w:color="B7CBEA" w:sz="6"/>
            </w:tcBorders>
            <w:tcMar>
              <w:top w:type="dxa" w:w="90"/>
              <w:left w:type="dxa" w:w="110"/>
              <w:bottom w:type="dxa" w:w="90"/>
              <w:right w:type="dxa" w:w="110"/>
            </w:tcMar>
          </w:tcPr>
          <w:p>
            <w:pPr>
              <w:spacing w:after="0" w:before="0" w:line="230"/>
            </w:pPr>
            <w:r>
              <w:rPr>
                <w:rFonts w:ascii="Aptos" w:cs="Aptos" w:eastAsia="Aptos" w:hAnsi="Aptos"/>
                <w:b w:val="false"/>
                <w:bCs w:val="false"/>
                <w:i w:val="false"/>
                <w:iCs w:val="false"/>
                <w:color w:val="16335D"/>
                <w:sz w:val="18"/>
                <w:szCs w:val="18"/>
              </w:rPr>
              <w:t xml:space="preserve">Number of cases</w:t>
            </w:r>
          </w:p>
        </w:tc>
        <w:tc>
          <w:tcPr>
            <w:tcW w:type="dxa" w:w="3660"/>
            <w:tcBorders>
              <w:top w:val="single" w:color="B7CBEA" w:sz="6"/>
              <w:left w:val="single" w:color="B7CBEA" w:sz="6"/>
              <w:bottom w:val="single" w:color="B7CBEA" w:sz="6"/>
              <w:right w:val="single" w:color="B7CBEA" w:sz="6"/>
            </w:tcBorders>
            <w:tcMar>
              <w:top w:type="dxa" w:w="90"/>
              <w:left w:type="dxa" w:w="110"/>
              <w:bottom w:type="dxa" w:w="90"/>
              <w:right w:type="dxa" w:w="110"/>
            </w:tcMar>
          </w:tcPr>
          <w:p>
            <w:pPr>
              <w:spacing w:after="0" w:before="0" w:line="230"/>
            </w:pPr>
            <w:r>
              <w:rPr>
                <w:rFonts w:ascii="Aptos" w:cs="Aptos" w:eastAsia="Aptos" w:hAnsi="Aptos"/>
                <w:b w:val="false"/>
                <w:bCs w:val="false"/>
                <w:i w:val="false"/>
                <w:iCs w:val="false"/>
                <w:color w:val="16335D"/>
                <w:sz w:val="18"/>
                <w:szCs w:val="18"/>
              </w:rPr>
              <w:t xml:space="preserve">Counts current workflow states; source status and human state are distinct.</w:t>
            </w:r>
          </w:p>
        </w:tc>
      </w:tr>
      <w:tr>
        <w:tc>
          <w:tcPr>
            <w:tcW w:type="dxa" w:w="2700"/>
            <w:tcBorders>
              <w:top w:val="single" w:color="B7CBEA" w:sz="6"/>
              <w:left w:val="single" w:color="B7CBEA" w:sz="6"/>
              <w:bottom w:val="single" w:color="B7CBEA" w:sz="6"/>
              <w:right w:val="single" w:color="B7CBEA" w:sz="6"/>
            </w:tcBorders>
            <w:tcMar>
              <w:top w:type="dxa" w:w="90"/>
              <w:left w:type="dxa" w:w="110"/>
              <w:bottom w:type="dxa" w:w="90"/>
              <w:right w:type="dxa" w:w="110"/>
            </w:tcMar>
          </w:tcPr>
          <w:p>
            <w:pPr>
              <w:spacing w:after="0" w:before="0" w:line="230"/>
            </w:pPr>
            <w:r>
              <w:rPr>
                <w:rFonts w:ascii="Aptos" w:cs="Aptos" w:eastAsia="Aptos" w:hAnsi="Aptos"/>
                <w:b w:val="false"/>
                <w:bCs w:val="false"/>
                <w:i w:val="false"/>
                <w:iCs w:val="false"/>
                <w:color w:val="16335D"/>
                <w:sz w:val="18"/>
                <w:szCs w:val="18"/>
              </w:rPr>
              <w:t xml:space="preserve">High-severity share</w:t>
            </w:r>
          </w:p>
        </w:tc>
        <w:tc>
          <w:tcPr>
            <w:tcW w:type="dxa" w:w="3000"/>
            <w:tcBorders>
              <w:top w:val="single" w:color="B7CBEA" w:sz="6"/>
              <w:left w:val="single" w:color="B7CBEA" w:sz="6"/>
              <w:bottom w:val="single" w:color="B7CBEA" w:sz="6"/>
              <w:right w:val="single" w:color="B7CBEA" w:sz="6"/>
            </w:tcBorders>
            <w:tcMar>
              <w:top w:type="dxa" w:w="90"/>
              <w:left w:type="dxa" w:w="110"/>
              <w:bottom w:type="dxa" w:w="90"/>
              <w:right w:type="dxa" w:w="110"/>
            </w:tcMar>
          </w:tcPr>
          <w:p>
            <w:pPr>
              <w:spacing w:after="0" w:before="0" w:line="230"/>
            </w:pPr>
            <w:r>
              <w:rPr>
                <w:rFonts w:ascii="Aptos" w:cs="Aptos" w:eastAsia="Aptos" w:hAnsi="Aptos"/>
                <w:b w:val="false"/>
                <w:bCs w:val="false"/>
                <w:i w:val="false"/>
                <w:iCs w:val="false"/>
                <w:color w:val="16335D"/>
                <w:sz w:val="18"/>
                <w:szCs w:val="18"/>
              </w:rPr>
              <w:t xml:space="preserve">Percentage</w:t>
            </w:r>
          </w:p>
        </w:tc>
        <w:tc>
          <w:tcPr>
            <w:tcW w:type="dxa" w:w="3660"/>
            <w:tcBorders>
              <w:top w:val="single" w:color="B7CBEA" w:sz="6"/>
              <w:left w:val="single" w:color="B7CBEA" w:sz="6"/>
              <w:bottom w:val="single" w:color="B7CBEA" w:sz="6"/>
              <w:right w:val="single" w:color="B7CBEA" w:sz="6"/>
            </w:tcBorders>
            <w:tcMar>
              <w:top w:type="dxa" w:w="90"/>
              <w:left w:type="dxa" w:w="110"/>
              <w:bottom w:type="dxa" w:w="90"/>
              <w:right w:type="dxa" w:w="110"/>
            </w:tcMar>
          </w:tcPr>
          <w:p>
            <w:pPr>
              <w:spacing w:after="0" w:before="0" w:line="230"/>
            </w:pPr>
            <w:r>
              <w:rPr>
                <w:rFonts w:ascii="Aptos" w:cs="Aptos" w:eastAsia="Aptos" w:hAnsi="Aptos"/>
                <w:b w:val="false"/>
                <w:bCs w:val="false"/>
                <w:i w:val="false"/>
                <w:iCs w:val="false"/>
                <w:color w:val="16335D"/>
                <w:sz w:val="18"/>
                <w:szCs w:val="18"/>
              </w:rPr>
              <w:t xml:space="preserve">Share labeled High within a typology; not probability of crime.</w:t>
            </w:r>
          </w:p>
        </w:tc>
      </w:tr>
      <w:tr>
        <w:tc>
          <w:tcPr>
            <w:tcW w:type="dxa" w:w="2700"/>
            <w:tcBorders>
              <w:top w:val="single" w:color="B7CBEA" w:sz="6"/>
              <w:left w:val="single" w:color="B7CBEA" w:sz="6"/>
              <w:bottom w:val="single" w:color="B7CBEA" w:sz="6"/>
              <w:right w:val="single" w:color="B7CBEA" w:sz="6"/>
            </w:tcBorders>
            <w:tcMar>
              <w:top w:type="dxa" w:w="90"/>
              <w:left w:type="dxa" w:w="110"/>
              <w:bottom w:type="dxa" w:w="90"/>
              <w:right w:type="dxa" w:w="110"/>
            </w:tcMar>
          </w:tcPr>
          <w:p>
            <w:pPr>
              <w:spacing w:after="0" w:before="0" w:line="230"/>
            </w:pPr>
            <w:r>
              <w:rPr>
                <w:rFonts w:ascii="Aptos" w:cs="Aptos" w:eastAsia="Aptos" w:hAnsi="Aptos"/>
                <w:b w:val="false"/>
                <w:bCs w:val="false"/>
                <w:i w:val="false"/>
                <w:iCs w:val="false"/>
                <w:color w:val="16335D"/>
                <w:sz w:val="18"/>
                <w:szCs w:val="18"/>
              </w:rPr>
              <w:t xml:space="preserve">Stored records by month</w:t>
            </w:r>
          </w:p>
        </w:tc>
        <w:tc>
          <w:tcPr>
            <w:tcW w:type="dxa" w:w="3000"/>
            <w:tcBorders>
              <w:top w:val="single" w:color="B7CBEA" w:sz="6"/>
              <w:left w:val="single" w:color="B7CBEA" w:sz="6"/>
              <w:bottom w:val="single" w:color="B7CBEA" w:sz="6"/>
              <w:right w:val="single" w:color="B7CBEA" w:sz="6"/>
            </w:tcBorders>
            <w:tcMar>
              <w:top w:type="dxa" w:w="90"/>
              <w:left w:type="dxa" w:w="110"/>
              <w:bottom w:type="dxa" w:w="90"/>
              <w:right w:type="dxa" w:w="110"/>
            </w:tcMar>
          </w:tcPr>
          <w:p>
            <w:pPr>
              <w:spacing w:after="0" w:before="0" w:line="230"/>
            </w:pPr>
            <w:r>
              <w:rPr>
                <w:rFonts w:ascii="Aptos" w:cs="Aptos" w:eastAsia="Aptos" w:hAnsi="Aptos"/>
                <w:b w:val="false"/>
                <w:bCs w:val="false"/>
                <w:i w:val="false"/>
                <w:iCs w:val="false"/>
                <w:color w:val="16335D"/>
                <w:sz w:val="18"/>
                <w:szCs w:val="18"/>
              </w:rPr>
              <w:t xml:space="preserve">Number of alerts per time bucket</w:t>
            </w:r>
          </w:p>
        </w:tc>
        <w:tc>
          <w:tcPr>
            <w:tcW w:type="dxa" w:w="3660"/>
            <w:tcBorders>
              <w:top w:val="single" w:color="B7CBEA" w:sz="6"/>
              <w:left w:val="single" w:color="B7CBEA" w:sz="6"/>
              <w:bottom w:val="single" w:color="B7CBEA" w:sz="6"/>
              <w:right w:val="single" w:color="B7CBEA" w:sz="6"/>
            </w:tcBorders>
            <w:tcMar>
              <w:top w:type="dxa" w:w="90"/>
              <w:left w:type="dxa" w:w="110"/>
              <w:bottom w:type="dxa" w:w="90"/>
              <w:right w:type="dxa" w:w="110"/>
            </w:tcMar>
          </w:tcPr>
          <w:p>
            <w:pPr>
              <w:spacing w:after="0" w:before="0" w:line="230"/>
            </w:pPr>
            <w:r>
              <w:rPr>
                <w:rFonts w:ascii="Aptos" w:cs="Aptos" w:eastAsia="Aptos" w:hAnsi="Aptos"/>
                <w:b w:val="false"/>
                <w:bCs w:val="false"/>
                <w:i w:val="false"/>
                <w:iCs w:val="false"/>
                <w:color w:val="16335D"/>
                <w:sz w:val="18"/>
                <w:szCs w:val="18"/>
              </w:rPr>
              <w:t xml:space="preserve">Describes fictional source dates; not a risk forecast.</w:t>
            </w:r>
          </w:p>
        </w:tc>
      </w:tr>
      <w:tr>
        <w:tc>
          <w:tcPr>
            <w:tcW w:type="dxa" w:w="2700"/>
            <w:tcBorders>
              <w:top w:val="single" w:color="B7CBEA" w:sz="6"/>
              <w:left w:val="single" w:color="B7CBEA" w:sz="6"/>
              <w:bottom w:val="single" w:color="B7CBEA" w:sz="6"/>
              <w:right w:val="single" w:color="B7CBEA" w:sz="6"/>
            </w:tcBorders>
            <w:tcMar>
              <w:top w:type="dxa" w:w="90"/>
              <w:left w:type="dxa" w:w="110"/>
              <w:bottom w:type="dxa" w:w="90"/>
              <w:right w:type="dxa" w:w="110"/>
            </w:tcMar>
          </w:tcPr>
          <w:p>
            <w:pPr>
              <w:spacing w:after="0" w:before="0" w:line="230"/>
            </w:pPr>
            <w:r>
              <w:rPr>
                <w:rFonts w:ascii="Aptos" w:cs="Aptos" w:eastAsia="Aptos" w:hAnsi="Aptos"/>
                <w:b w:val="false"/>
                <w:bCs w:val="false"/>
                <w:i w:val="false"/>
                <w:iCs w:val="false"/>
                <w:color w:val="16335D"/>
                <w:sz w:val="18"/>
                <w:szCs w:val="18"/>
              </w:rPr>
              <w:t xml:space="preserve">Recorded decisions/actions</w:t>
            </w:r>
          </w:p>
        </w:tc>
        <w:tc>
          <w:tcPr>
            <w:tcW w:type="dxa" w:w="3000"/>
            <w:tcBorders>
              <w:top w:val="single" w:color="B7CBEA" w:sz="6"/>
              <w:left w:val="single" w:color="B7CBEA" w:sz="6"/>
              <w:bottom w:val="single" w:color="B7CBEA" w:sz="6"/>
              <w:right w:val="single" w:color="B7CBEA" w:sz="6"/>
            </w:tcBorders>
            <w:tcMar>
              <w:top w:type="dxa" w:w="90"/>
              <w:left w:type="dxa" w:w="110"/>
              <w:bottom w:type="dxa" w:w="90"/>
              <w:right w:type="dxa" w:w="110"/>
            </w:tcMar>
          </w:tcPr>
          <w:p>
            <w:pPr>
              <w:spacing w:after="0" w:before="0" w:line="230"/>
            </w:pPr>
            <w:r>
              <w:rPr>
                <w:rFonts w:ascii="Aptos" w:cs="Aptos" w:eastAsia="Aptos" w:hAnsi="Aptos"/>
                <w:b w:val="false"/>
                <w:bCs w:val="false"/>
                <w:i w:val="false"/>
                <w:iCs w:val="false"/>
                <w:color w:val="16335D"/>
                <w:sz w:val="18"/>
                <w:szCs w:val="18"/>
              </w:rPr>
              <w:t xml:space="preserve">Saved action count</w:t>
            </w:r>
          </w:p>
        </w:tc>
        <w:tc>
          <w:tcPr>
            <w:tcW w:type="dxa" w:w="3660"/>
            <w:tcBorders>
              <w:top w:val="single" w:color="B7CBEA" w:sz="6"/>
              <w:left w:val="single" w:color="B7CBEA" w:sz="6"/>
              <w:bottom w:val="single" w:color="B7CBEA" w:sz="6"/>
              <w:right w:val="single" w:color="B7CBEA" w:sz="6"/>
            </w:tcBorders>
            <w:tcMar>
              <w:top w:type="dxa" w:w="90"/>
              <w:left w:type="dxa" w:w="110"/>
              <w:bottom w:type="dxa" w:w="90"/>
              <w:right w:type="dxa" w:w="110"/>
            </w:tcMar>
          </w:tcPr>
          <w:p>
            <w:pPr>
              <w:spacing w:after="0" w:before="0" w:line="230"/>
            </w:pPr>
            <w:r>
              <w:rPr>
                <w:rFonts w:ascii="Aptos" w:cs="Aptos" w:eastAsia="Aptos" w:hAnsi="Aptos"/>
                <w:b w:val="false"/>
                <w:bCs w:val="false"/>
                <w:i w:val="false"/>
                <w:iCs w:val="false"/>
                <w:color w:val="16335D"/>
                <w:sz w:val="18"/>
                <w:szCs w:val="18"/>
              </w:rPr>
              <w:t xml:space="preserve">Counts workflow events; not productivity, accuracy, or outcome quality.</w:t>
            </w:r>
          </w:p>
        </w:tc>
      </w:tr>
    </w:tbl>
    <w:p>
      <w:pPr>
        <w:spacing w:after="55" w:before="120"/>
        <w:jc w:val="center"/>
      </w:pPr>
      <w:r>
        <w:drawing>
          <wp:inline distT="0" distB="0" distL="0" distR="0">
            <wp:extent cx="6096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096000" cy="3429000"/>
                    </a:xfrm>
                    <a:prstGeom prst="rect">
                      <a:avLst/>
                    </a:prstGeom>
                  </pic:spPr>
                </pic:pic>
              </a:graphicData>
            </a:graphic>
          </wp:inline>
        </w:drawing>
      </w:r>
    </w:p>
    <w:p>
      <w:pPr>
        <w:spacing w:after="180" w:before="0" w:line="230"/>
        <w:jc w:val="center"/>
      </w:pPr>
      <w:r>
        <w:rPr>
          <w:rFonts w:ascii="Aptos" w:cs="Aptos" w:eastAsia="Aptos" w:hAnsi="Aptos"/>
          <w:b w:val="false"/>
          <w:bCs w:val="false"/>
          <w:i/>
          <w:iCs/>
          <w:color w:val="63738D"/>
          <w:sz w:val="17"/>
          <w:szCs w:val="17"/>
        </w:rPr>
        <w:t xml:space="preserve">Figure — Analytics graphs with readable axes and explanatory units.</w:t>
      </w:r>
    </w:p>
    <w:p>
      <w:pPr>
        <w:spacing w:after="55" w:before="120"/>
        <w:jc w:val="center"/>
      </w:pPr>
      <w:r>
        <w:drawing>
          <wp:inline distT="0" distB="0" distL="0" distR="0">
            <wp:extent cx="6096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096000" cy="3429000"/>
                    </a:xfrm>
                    <a:prstGeom prst="rect">
                      <a:avLst/>
                    </a:prstGeom>
                  </pic:spPr>
                </pic:pic>
              </a:graphicData>
            </a:graphic>
          </wp:inline>
        </w:drawing>
      </w:r>
    </w:p>
    <w:p>
      <w:pPr>
        <w:spacing w:after="180" w:before="0" w:line="230"/>
        <w:jc w:val="center"/>
      </w:pPr>
      <w:r>
        <w:rPr>
          <w:rFonts w:ascii="Aptos" w:cs="Aptos" w:eastAsia="Aptos" w:hAnsi="Aptos"/>
          <w:b w:val="false"/>
          <w:bCs w:val="false"/>
          <w:i/>
          <w:iCs/>
          <w:color w:val="63738D"/>
          <w:sz w:val="17"/>
          <w:szCs w:val="17"/>
        </w:rPr>
        <w:t xml:space="preserve">Figure — Global Search returns linked fictional customers, accounts, transactions, and cases as a context-finding tool.</w:t>
      </w:r>
    </w:p>
    <w:p>
      <w:r>
        <w:br w:type="page"/>
      </w:r>
    </w:p>
    <w:p>
      <w:pPr>
        <w:pStyle w:val="Heading1"/>
        <w:spacing w:after="130" w:before="300"/>
      </w:pPr>
      <w:r>
        <w:t xml:space="preserve">8. Project roles and protected administration</w:t>
      </w:r>
    </w:p>
    <w:p>
      <w:pPr>
        <w:spacing w:after="140" w:before="0" w:line="276"/>
      </w:pPr>
      <w:r>
        <w:rPr>
          <w:rFonts w:ascii="Aptos" w:cs="Aptos" w:eastAsia="Aptos" w:hAnsi="Aptos"/>
          <w:b w:val="false"/>
          <w:bCs w:val="false"/>
          <w:i w:val="false"/>
          <w:iCs w:val="false"/>
          <w:color w:val="16335D"/>
          <w:sz w:val="21"/>
          <w:szCs w:val="21"/>
        </w:rPr>
        <w:t xml:space="preserve">Project &amp; Team makes responsibilities visible and keeps names separate from email addresses. The selected UI role is a display/workflow label; it is not identity authentication or an authorization grant.</w:t>
      </w:r>
    </w:p>
    <w:p>
      <w:pPr>
        <w:spacing w:after="55" w:before="120"/>
        <w:jc w:val="center"/>
      </w:pPr>
      <w:r>
        <w:drawing>
          <wp:inline distT="0" distB="0" distL="0" distR="0">
            <wp:extent cx="6096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096000" cy="3429000"/>
                    </a:xfrm>
                    <a:prstGeom prst="rect">
                      <a:avLst/>
                    </a:prstGeom>
                  </pic:spPr>
                </pic:pic>
              </a:graphicData>
            </a:graphic>
          </wp:inline>
        </w:drawing>
      </w:r>
    </w:p>
    <w:p>
      <w:pPr>
        <w:spacing w:after="180" w:before="0" w:line="230"/>
        <w:jc w:val="center"/>
      </w:pPr>
      <w:r>
        <w:rPr>
          <w:rFonts w:ascii="Aptos" w:cs="Aptos" w:eastAsia="Aptos" w:hAnsi="Aptos"/>
          <w:b w:val="false"/>
          <w:bCs w:val="false"/>
          <w:i/>
          <w:iCs/>
          <w:color w:val="63738D"/>
          <w:sz w:val="17"/>
          <w:szCs w:val="17"/>
        </w:rPr>
        <w:t xml:space="preserve">Figure — The role guide: Investigator, Team Lead, Compliance Officer, and Admin.</w:t>
      </w:r>
    </w:p>
    <w:p>
      <w:pPr>
        <w:pStyle w:val="Heading2"/>
        <w:spacing w:after="130" w:before="210"/>
      </w:pPr>
      <w:r>
        <w:t xml:space="preserve">Admin boundaries</w:t>
      </w:r>
    </w:p>
    <w:p>
      <w:pPr>
        <w:spacing w:after="140" w:before="0" w:line="276"/>
      </w:pPr>
      <w:r>
        <w:rPr>
          <w:rFonts w:ascii="Aptos" w:cs="Aptos" w:eastAsia="Aptos" w:hAnsi="Aptos"/>
          <w:b w:val="false"/>
          <w:bCs w:val="false"/>
          <w:i w:val="false"/>
          <w:iCs w:val="false"/>
          <w:color w:val="16335D"/>
          <w:sz w:val="21"/>
          <w:szCs w:val="21"/>
        </w:rPr>
        <w:t xml:space="preserve">Knowledge Base and Rule Config are gated by a separate masked passcode. The passcode is never included in this Blueprint or automated capture. The locked screen makes the boundary apparent without turning a coursework environment into an authentication claim.</w:t>
      </w:r>
    </w:p>
    <w:p>
      <w:pPr>
        <w:spacing w:after="55" w:before="120"/>
        <w:jc w:val="center"/>
      </w:pPr>
      <w:r>
        <w:drawing>
          <wp:inline distT="0" distB="0" distL="0" distR="0">
            <wp:extent cx="6096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6096000" cy="3429000"/>
                    </a:xfrm>
                    <a:prstGeom prst="rect">
                      <a:avLst/>
                    </a:prstGeom>
                  </pic:spPr>
                </pic:pic>
              </a:graphicData>
            </a:graphic>
          </wp:inline>
        </w:drawing>
      </w:r>
    </w:p>
    <w:p>
      <w:pPr>
        <w:spacing w:after="180" w:before="0" w:line="230"/>
        <w:jc w:val="center"/>
      </w:pPr>
      <w:r>
        <w:rPr>
          <w:rFonts w:ascii="Aptos" w:cs="Aptos" w:eastAsia="Aptos" w:hAnsi="Aptos"/>
          <w:b w:val="false"/>
          <w:bCs w:val="false"/>
          <w:i/>
          <w:iCs/>
          <w:color w:val="63738D"/>
          <w:sz w:val="17"/>
          <w:szCs w:val="17"/>
        </w:rPr>
        <w:t xml:space="preserve">Figure — Knowledge Base locked state. The protected source-inspection area remains visibly separate from ordinary workflow pages.</w:t>
      </w:r>
    </w:p>
    <w:p>
      <w:r>
        <w:br w:type="page"/>
      </w:r>
    </w:p>
    <w:p>
      <w:pPr>
        <w:pStyle w:val="Heading1"/>
        <w:spacing w:after="130" w:before="300"/>
      </w:pPr>
      <w:r>
        <w:t xml:space="preserve">9. Technical architecture and code map</w:t>
      </w:r>
    </w:p>
    <w:p>
      <w:pPr>
        <w:spacing w:after="140" w:before="0" w:line="276"/>
      </w:pPr>
      <w:r>
        <w:rPr>
          <w:rFonts w:ascii="Aptos" w:cs="Aptos" w:eastAsia="Aptos" w:hAnsi="Aptos"/>
          <w:b w:val="false"/>
          <w:bCs w:val="false"/>
          <w:i w:val="false"/>
          <w:iCs w:val="false"/>
          <w:color w:val="16335D"/>
          <w:sz w:val="21"/>
          <w:szCs w:val="21"/>
        </w:rPr>
        <w:t xml:space="preserve">The current product is a Streamlit application with an explicit navigation router, page modules, shared UI helpers, SQLite-backed fictional stores, and static assets. The structure favors transparent page-level logic that can be inspected during a demonstration.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250"/>
        <w:gridCol w:w="3210"/>
      </w:tblGrid>
      <w:tr>
        <w:trPr>
          <w:tblHeader/>
        </w:trPr>
        <w:tc>
          <w:tcPr>
            <w:tcW w:type="dxa" w:w="1900"/>
            <w:tcBorders>
              <w:top w:val="single" w:color="B7CBEA" w:sz="6"/>
              <w:left w:val="single" w:color="B7CBEA" w:sz="6"/>
              <w:bottom w:val="single" w:color="B7CBEA" w:sz="6"/>
              <w:right w:val="single" w:color="B7CBEA" w:sz="6"/>
            </w:tcBorders>
            <w:shd w:fill="16335D" w:color="16335D" w:val="clear"/>
            <w:tcMar>
              <w:top w:type="dxa" w:w="90"/>
              <w:left w:type="dxa" w:w="110"/>
              <w:bottom w:type="dxa" w:w="90"/>
              <w:right w:type="dxa" w:w="110"/>
            </w:tcMar>
          </w:tcPr>
          <w:p>
            <w:pPr>
              <w:spacing w:after="0" w:before="0" w:line="230"/>
            </w:pPr>
            <w:r>
              <w:rPr>
                <w:rFonts w:ascii="Aptos" w:cs="Aptos" w:eastAsia="Aptos" w:hAnsi="Aptos"/>
                <w:b/>
                <w:bCs/>
                <w:i w:val="false"/>
                <w:iCs w:val="false"/>
                <w:color w:val="FFFFFF"/>
                <w:sz w:val="18"/>
                <w:szCs w:val="18"/>
              </w:rPr>
              <w:t xml:space="preserve">Layer</w:t>
            </w:r>
          </w:p>
        </w:tc>
        <w:tc>
          <w:tcPr>
            <w:tcW w:type="dxa" w:w="4250"/>
            <w:tcBorders>
              <w:top w:val="single" w:color="B7CBEA" w:sz="6"/>
              <w:left w:val="single" w:color="B7CBEA" w:sz="6"/>
              <w:bottom w:val="single" w:color="B7CBEA" w:sz="6"/>
              <w:right w:val="single" w:color="B7CBEA" w:sz="6"/>
            </w:tcBorders>
            <w:shd w:fill="16335D" w:color="16335D" w:val="clear"/>
            <w:tcMar>
              <w:top w:type="dxa" w:w="90"/>
              <w:left w:type="dxa" w:w="110"/>
              <w:bottom w:type="dxa" w:w="90"/>
              <w:right w:type="dxa" w:w="110"/>
            </w:tcMar>
          </w:tcPr>
          <w:p>
            <w:pPr>
              <w:spacing w:after="0" w:before="0" w:line="230"/>
            </w:pPr>
            <w:r>
              <w:rPr>
                <w:rFonts w:ascii="Aptos" w:cs="Aptos" w:eastAsia="Aptos" w:hAnsi="Aptos"/>
                <w:b/>
                <w:bCs/>
                <w:i w:val="false"/>
                <w:iCs w:val="false"/>
                <w:color w:val="FFFFFF"/>
                <w:sz w:val="18"/>
                <w:szCs w:val="18"/>
              </w:rPr>
              <w:t xml:space="preserve">Representative responsibility</w:t>
            </w:r>
          </w:p>
        </w:tc>
        <w:tc>
          <w:tcPr>
            <w:tcW w:type="dxa" w:w="3210"/>
            <w:tcBorders>
              <w:top w:val="single" w:color="B7CBEA" w:sz="6"/>
              <w:left w:val="single" w:color="B7CBEA" w:sz="6"/>
              <w:bottom w:val="single" w:color="B7CBEA" w:sz="6"/>
              <w:right w:val="single" w:color="B7CBEA" w:sz="6"/>
            </w:tcBorders>
            <w:shd w:fill="16335D" w:color="16335D" w:val="clear"/>
            <w:tcMar>
              <w:top w:type="dxa" w:w="90"/>
              <w:left w:type="dxa" w:w="110"/>
              <w:bottom w:type="dxa" w:w="90"/>
              <w:right w:type="dxa" w:w="110"/>
            </w:tcMar>
          </w:tcPr>
          <w:p>
            <w:pPr>
              <w:spacing w:after="0" w:before="0" w:line="230"/>
            </w:pPr>
            <w:r>
              <w:rPr>
                <w:rFonts w:ascii="Aptos" w:cs="Aptos" w:eastAsia="Aptos" w:hAnsi="Aptos"/>
                <w:b/>
                <w:bCs/>
                <w:i w:val="false"/>
                <w:iCs w:val="false"/>
                <w:color w:val="FFFFFF"/>
                <w:sz w:val="18"/>
                <w:szCs w:val="18"/>
              </w:rPr>
              <w:t xml:space="preserve">Examples</w:t>
            </w:r>
          </w:p>
        </w:tc>
      </w:tr>
      <w:tr>
        <w:tc>
          <w:tcPr>
            <w:tcW w:type="dxa" w:w="1900"/>
            <w:tcBorders>
              <w:top w:val="single" w:color="B7CBEA" w:sz="6"/>
              <w:left w:val="single" w:color="B7CBEA" w:sz="6"/>
              <w:bottom w:val="single" w:color="B7CBEA" w:sz="6"/>
              <w:right w:val="single" w:color="B7CBEA" w:sz="6"/>
            </w:tcBorders>
            <w:tcMar>
              <w:top w:type="dxa" w:w="90"/>
              <w:left w:type="dxa" w:w="110"/>
              <w:bottom w:type="dxa" w:w="90"/>
              <w:right w:type="dxa" w:w="110"/>
            </w:tcMar>
          </w:tcPr>
          <w:p>
            <w:pPr>
              <w:spacing w:after="0" w:before="0" w:line="230"/>
            </w:pPr>
            <w:r>
              <w:rPr>
                <w:rFonts w:ascii="Aptos" w:cs="Aptos" w:eastAsia="Aptos" w:hAnsi="Aptos"/>
                <w:b w:val="false"/>
                <w:bCs w:val="false"/>
                <w:i w:val="false"/>
                <w:iCs w:val="false"/>
                <w:color w:val="16335D"/>
                <w:sz w:val="18"/>
                <w:szCs w:val="18"/>
              </w:rPr>
              <w:t xml:space="preserve">App router</w:t>
            </w:r>
          </w:p>
        </w:tc>
        <w:tc>
          <w:tcPr>
            <w:tcW w:type="dxa" w:w="4250"/>
            <w:tcBorders>
              <w:top w:val="single" w:color="B7CBEA" w:sz="6"/>
              <w:left w:val="single" w:color="B7CBEA" w:sz="6"/>
              <w:bottom w:val="single" w:color="B7CBEA" w:sz="6"/>
              <w:right w:val="single" w:color="B7CBEA" w:sz="6"/>
            </w:tcBorders>
            <w:tcMar>
              <w:top w:type="dxa" w:w="90"/>
              <w:left w:type="dxa" w:w="110"/>
              <w:bottom w:type="dxa" w:w="90"/>
              <w:right w:type="dxa" w:w="110"/>
            </w:tcMar>
          </w:tcPr>
          <w:p>
            <w:pPr>
              <w:spacing w:after="0" w:before="0" w:line="230"/>
            </w:pPr>
            <w:r>
              <w:rPr>
                <w:rFonts w:ascii="Aptos" w:cs="Aptos" w:eastAsia="Aptos" w:hAnsi="Aptos"/>
                <w:b w:val="false"/>
                <w:bCs w:val="false"/>
                <w:i w:val="false"/>
                <w:iCs w:val="false"/>
                <w:color w:val="16335D"/>
                <w:sz w:val="18"/>
                <w:szCs w:val="18"/>
              </w:rPr>
              <w:t xml:space="preserve">Defines the visible order and labels of the left navigation.</w:t>
            </w:r>
          </w:p>
        </w:tc>
        <w:tc>
          <w:tcPr>
            <w:tcW w:type="dxa" w:w="3210"/>
            <w:tcBorders>
              <w:top w:val="single" w:color="B7CBEA" w:sz="6"/>
              <w:left w:val="single" w:color="B7CBEA" w:sz="6"/>
              <w:bottom w:val="single" w:color="B7CBEA" w:sz="6"/>
              <w:right w:val="single" w:color="B7CBEA" w:sz="6"/>
            </w:tcBorders>
            <w:tcMar>
              <w:top w:type="dxa" w:w="90"/>
              <w:left w:type="dxa" w:w="110"/>
              <w:bottom w:type="dxa" w:w="90"/>
              <w:right w:type="dxa" w:w="110"/>
            </w:tcMar>
          </w:tcPr>
          <w:p>
            <w:pPr>
              <w:spacing w:after="0" w:before="0" w:line="230"/>
            </w:pPr>
            <w:r>
              <w:rPr>
                <w:rFonts w:ascii="Aptos" w:cs="Aptos" w:eastAsia="Aptos" w:hAnsi="Aptos"/>
                <w:b w:val="false"/>
                <w:bCs w:val="false"/>
                <w:i w:val="false"/>
                <w:iCs w:val="false"/>
                <w:color w:val="16335D"/>
                <w:sz w:val="18"/>
                <w:szCs w:val="18"/>
              </w:rPr>
              <w:t xml:space="preserve">Home; Project &amp; Team; Case Queue; Investigation Workspace; Evidence &amp; RAG; Compliance; Analytics; Search; Admin.</w:t>
            </w:r>
          </w:p>
        </w:tc>
      </w:tr>
      <w:tr>
        <w:tc>
          <w:tcPr>
            <w:tcW w:type="dxa" w:w="1900"/>
            <w:tcBorders>
              <w:top w:val="single" w:color="B7CBEA" w:sz="6"/>
              <w:left w:val="single" w:color="B7CBEA" w:sz="6"/>
              <w:bottom w:val="single" w:color="B7CBEA" w:sz="6"/>
              <w:right w:val="single" w:color="B7CBEA" w:sz="6"/>
            </w:tcBorders>
            <w:tcMar>
              <w:top w:type="dxa" w:w="90"/>
              <w:left w:type="dxa" w:w="110"/>
              <w:bottom w:type="dxa" w:w="90"/>
              <w:right w:type="dxa" w:w="110"/>
            </w:tcMar>
          </w:tcPr>
          <w:p>
            <w:pPr>
              <w:spacing w:after="0" w:before="0" w:line="230"/>
            </w:pPr>
            <w:r>
              <w:rPr>
                <w:rFonts w:ascii="Aptos" w:cs="Aptos" w:eastAsia="Aptos" w:hAnsi="Aptos"/>
                <w:b w:val="false"/>
                <w:bCs w:val="false"/>
                <w:i w:val="false"/>
                <w:iCs w:val="false"/>
                <w:color w:val="16335D"/>
                <w:sz w:val="18"/>
                <w:szCs w:val="18"/>
              </w:rPr>
              <w:t xml:space="preserve">Page modules</w:t>
            </w:r>
          </w:p>
        </w:tc>
        <w:tc>
          <w:tcPr>
            <w:tcW w:type="dxa" w:w="4250"/>
            <w:tcBorders>
              <w:top w:val="single" w:color="B7CBEA" w:sz="6"/>
              <w:left w:val="single" w:color="B7CBEA" w:sz="6"/>
              <w:bottom w:val="single" w:color="B7CBEA" w:sz="6"/>
              <w:right w:val="single" w:color="B7CBEA" w:sz="6"/>
            </w:tcBorders>
            <w:tcMar>
              <w:top w:type="dxa" w:w="90"/>
              <w:left w:type="dxa" w:w="110"/>
              <w:bottom w:type="dxa" w:w="90"/>
              <w:right w:type="dxa" w:w="110"/>
            </w:tcMar>
          </w:tcPr>
          <w:p>
            <w:pPr>
              <w:spacing w:after="0" w:before="0" w:line="230"/>
            </w:pPr>
            <w:r>
              <w:rPr>
                <w:rFonts w:ascii="Aptos" w:cs="Aptos" w:eastAsia="Aptos" w:hAnsi="Aptos"/>
                <w:b w:val="false"/>
                <w:bCs w:val="false"/>
                <w:i w:val="false"/>
                <w:iCs w:val="false"/>
                <w:color w:val="16335D"/>
                <w:sz w:val="18"/>
                <w:szCs w:val="18"/>
              </w:rPr>
              <w:t xml:space="preserve">Render the task-specific controls, tables, charts, and bounded workflow actions.</w:t>
            </w:r>
          </w:p>
        </w:tc>
        <w:tc>
          <w:tcPr>
            <w:tcW w:type="dxa" w:w="3210"/>
            <w:tcBorders>
              <w:top w:val="single" w:color="B7CBEA" w:sz="6"/>
              <w:left w:val="single" w:color="B7CBEA" w:sz="6"/>
              <w:bottom w:val="single" w:color="B7CBEA" w:sz="6"/>
              <w:right w:val="single" w:color="B7CBEA" w:sz="6"/>
            </w:tcBorders>
            <w:tcMar>
              <w:top w:type="dxa" w:w="90"/>
              <w:left w:type="dxa" w:w="110"/>
              <w:bottom w:type="dxa" w:w="90"/>
              <w:right w:type="dxa" w:w="110"/>
            </w:tcMar>
          </w:tcPr>
          <w:p>
            <w:pPr>
              <w:spacing w:after="0" w:before="0" w:line="230"/>
            </w:pPr>
            <w:r>
              <w:rPr>
                <w:rFonts w:ascii="Aptos" w:cs="Aptos" w:eastAsia="Aptos" w:hAnsi="Aptos"/>
                <w:b w:val="false"/>
                <w:bCs w:val="false"/>
                <w:i w:val="false"/>
                <w:iCs w:val="false"/>
                <w:color w:val="16335D"/>
                <w:sz w:val="18"/>
                <w:szCs w:val="18"/>
              </w:rPr>
              <w:t xml:space="preserve">0_Case_Queue.py, 2_Investigation_Demo.py, 8_Evidence_RAG.py, 5_Analytics.py.</w:t>
            </w:r>
          </w:p>
        </w:tc>
      </w:tr>
      <w:tr>
        <w:tc>
          <w:tcPr>
            <w:tcW w:type="dxa" w:w="1900"/>
            <w:tcBorders>
              <w:top w:val="single" w:color="B7CBEA" w:sz="6"/>
              <w:left w:val="single" w:color="B7CBEA" w:sz="6"/>
              <w:bottom w:val="single" w:color="B7CBEA" w:sz="6"/>
              <w:right w:val="single" w:color="B7CBEA" w:sz="6"/>
            </w:tcBorders>
            <w:tcMar>
              <w:top w:type="dxa" w:w="90"/>
              <w:left w:type="dxa" w:w="110"/>
              <w:bottom w:type="dxa" w:w="90"/>
              <w:right w:type="dxa" w:w="110"/>
            </w:tcMar>
          </w:tcPr>
          <w:p>
            <w:pPr>
              <w:spacing w:after="0" w:before="0" w:line="230"/>
            </w:pPr>
            <w:r>
              <w:rPr>
                <w:rFonts w:ascii="Aptos" w:cs="Aptos" w:eastAsia="Aptos" w:hAnsi="Aptos"/>
                <w:b w:val="false"/>
                <w:bCs w:val="false"/>
                <w:i w:val="false"/>
                <w:iCs w:val="false"/>
                <w:color w:val="16335D"/>
                <w:sz w:val="18"/>
                <w:szCs w:val="18"/>
              </w:rPr>
              <w:t xml:space="preserve">Shared UI</w:t>
            </w:r>
          </w:p>
        </w:tc>
        <w:tc>
          <w:tcPr>
            <w:tcW w:type="dxa" w:w="4250"/>
            <w:tcBorders>
              <w:top w:val="single" w:color="B7CBEA" w:sz="6"/>
              <w:left w:val="single" w:color="B7CBEA" w:sz="6"/>
              <w:bottom w:val="single" w:color="B7CBEA" w:sz="6"/>
              <w:right w:val="single" w:color="B7CBEA" w:sz="6"/>
            </w:tcBorders>
            <w:tcMar>
              <w:top w:type="dxa" w:w="90"/>
              <w:left w:type="dxa" w:w="110"/>
              <w:bottom w:type="dxa" w:w="90"/>
              <w:right w:type="dxa" w:w="110"/>
            </w:tcMar>
          </w:tcPr>
          <w:p>
            <w:pPr>
              <w:spacing w:after="0" w:before="0" w:line="230"/>
            </w:pPr>
            <w:r>
              <w:rPr>
                <w:rFonts w:ascii="Aptos" w:cs="Aptos" w:eastAsia="Aptos" w:hAnsi="Aptos"/>
                <w:b w:val="false"/>
                <w:bCs w:val="false"/>
                <w:i w:val="false"/>
                <w:iCs w:val="false"/>
                <w:color w:val="16335D"/>
                <w:sz w:val="18"/>
                <w:szCs w:val="18"/>
              </w:rPr>
              <w:t xml:space="preserve">Banners, compact flows, status badges, help text, role behavior, theme styling, and the Copilot launcher.</w:t>
            </w:r>
          </w:p>
        </w:tc>
        <w:tc>
          <w:tcPr>
            <w:tcW w:type="dxa" w:w="3210"/>
            <w:tcBorders>
              <w:top w:val="single" w:color="B7CBEA" w:sz="6"/>
              <w:left w:val="single" w:color="B7CBEA" w:sz="6"/>
              <w:bottom w:val="single" w:color="B7CBEA" w:sz="6"/>
              <w:right w:val="single" w:color="B7CBEA" w:sz="6"/>
            </w:tcBorders>
            <w:tcMar>
              <w:top w:type="dxa" w:w="90"/>
              <w:left w:type="dxa" w:w="110"/>
              <w:bottom w:type="dxa" w:w="90"/>
              <w:right w:type="dxa" w:w="110"/>
            </w:tcMar>
          </w:tcPr>
          <w:p>
            <w:pPr>
              <w:spacing w:after="0" w:before="0" w:line="230"/>
            </w:pPr>
            <w:r>
              <w:rPr>
                <w:rFonts w:ascii="Aptos" w:cs="Aptos" w:eastAsia="Aptos" w:hAnsi="Aptos"/>
                <w:b w:val="false"/>
                <w:bCs w:val="false"/>
                <w:i w:val="false"/>
                <w:iCs w:val="false"/>
                <w:color w:val="16335D"/>
                <w:sz w:val="18"/>
                <w:szCs w:val="18"/>
              </w:rPr>
              <w:t xml:space="preserve">ui_common helpers and shared CSS.</w:t>
            </w:r>
          </w:p>
        </w:tc>
      </w:tr>
      <w:tr>
        <w:tc>
          <w:tcPr>
            <w:tcW w:type="dxa" w:w="1900"/>
            <w:tcBorders>
              <w:top w:val="single" w:color="B7CBEA" w:sz="6"/>
              <w:left w:val="single" w:color="B7CBEA" w:sz="6"/>
              <w:bottom w:val="single" w:color="B7CBEA" w:sz="6"/>
              <w:right w:val="single" w:color="B7CBEA" w:sz="6"/>
            </w:tcBorders>
            <w:tcMar>
              <w:top w:type="dxa" w:w="90"/>
              <w:left w:type="dxa" w:w="110"/>
              <w:bottom w:type="dxa" w:w="90"/>
              <w:right w:type="dxa" w:w="110"/>
            </w:tcMar>
          </w:tcPr>
          <w:p>
            <w:pPr>
              <w:spacing w:after="0" w:before="0" w:line="230"/>
            </w:pPr>
            <w:r>
              <w:rPr>
                <w:rFonts w:ascii="Aptos" w:cs="Aptos" w:eastAsia="Aptos" w:hAnsi="Aptos"/>
                <w:b w:val="false"/>
                <w:bCs w:val="false"/>
                <w:i w:val="false"/>
                <w:iCs w:val="false"/>
                <w:color w:val="16335D"/>
                <w:sz w:val="18"/>
                <w:szCs w:val="18"/>
              </w:rPr>
              <w:t xml:space="preserve">Data and search</w:t>
            </w:r>
          </w:p>
        </w:tc>
        <w:tc>
          <w:tcPr>
            <w:tcW w:type="dxa" w:w="4250"/>
            <w:tcBorders>
              <w:top w:val="single" w:color="B7CBEA" w:sz="6"/>
              <w:left w:val="single" w:color="B7CBEA" w:sz="6"/>
              <w:bottom w:val="single" w:color="B7CBEA" w:sz="6"/>
              <w:right w:val="single" w:color="B7CBEA" w:sz="6"/>
            </w:tcBorders>
            <w:tcMar>
              <w:top w:type="dxa" w:w="90"/>
              <w:left w:type="dxa" w:w="110"/>
              <w:bottom w:type="dxa" w:w="90"/>
              <w:right w:type="dxa" w:w="110"/>
            </w:tcMar>
          </w:tcPr>
          <w:p>
            <w:pPr>
              <w:spacing w:after="0" w:before="0" w:line="230"/>
            </w:pPr>
            <w:r>
              <w:rPr>
                <w:rFonts w:ascii="Aptos" w:cs="Aptos" w:eastAsia="Aptos" w:hAnsi="Aptos"/>
                <w:b w:val="false"/>
                <w:bCs w:val="false"/>
                <w:i w:val="false"/>
                <w:iCs w:val="false"/>
                <w:color w:val="16335D"/>
                <w:sz w:val="18"/>
                <w:szCs w:val="18"/>
              </w:rPr>
              <w:t xml:space="preserve">Fictional case records, audit actions, documents, chunks, retrieval index, and calculated metrics.</w:t>
            </w:r>
          </w:p>
        </w:tc>
        <w:tc>
          <w:tcPr>
            <w:tcW w:type="dxa" w:w="3210"/>
            <w:tcBorders>
              <w:top w:val="single" w:color="B7CBEA" w:sz="6"/>
              <w:left w:val="single" w:color="B7CBEA" w:sz="6"/>
              <w:bottom w:val="single" w:color="B7CBEA" w:sz="6"/>
              <w:right w:val="single" w:color="B7CBEA" w:sz="6"/>
            </w:tcBorders>
            <w:tcMar>
              <w:top w:type="dxa" w:w="90"/>
              <w:left w:type="dxa" w:w="110"/>
              <w:bottom w:type="dxa" w:w="90"/>
              <w:right w:type="dxa" w:w="110"/>
            </w:tcMar>
          </w:tcPr>
          <w:p>
            <w:pPr>
              <w:spacing w:after="0" w:before="0" w:line="230"/>
            </w:pPr>
            <w:r>
              <w:rPr>
                <w:rFonts w:ascii="Aptos" w:cs="Aptos" w:eastAsia="Aptos" w:hAnsi="Aptos"/>
                <w:b w:val="false"/>
                <w:bCs w:val="false"/>
                <w:i w:val="false"/>
                <w:iCs w:val="false"/>
                <w:color w:val="16335D"/>
                <w:sz w:val="18"/>
                <w:szCs w:val="18"/>
              </w:rPr>
              <w:t xml:space="preserve">SQLite, FTS5 keyword search, BM25 ranking, deterministic calculations.</w:t>
            </w:r>
          </w:p>
        </w:tc>
      </w:tr>
      <w:tr>
        <w:tc>
          <w:tcPr>
            <w:tcW w:type="dxa" w:w="1900"/>
            <w:tcBorders>
              <w:top w:val="single" w:color="B7CBEA" w:sz="6"/>
              <w:left w:val="single" w:color="B7CBEA" w:sz="6"/>
              <w:bottom w:val="single" w:color="B7CBEA" w:sz="6"/>
              <w:right w:val="single" w:color="B7CBEA" w:sz="6"/>
            </w:tcBorders>
            <w:tcMar>
              <w:top w:type="dxa" w:w="90"/>
              <w:left w:type="dxa" w:w="110"/>
              <w:bottom w:type="dxa" w:w="90"/>
              <w:right w:type="dxa" w:w="110"/>
            </w:tcMar>
          </w:tcPr>
          <w:p>
            <w:pPr>
              <w:spacing w:after="0" w:before="0" w:line="230"/>
            </w:pPr>
            <w:r>
              <w:rPr>
                <w:rFonts w:ascii="Aptos" w:cs="Aptos" w:eastAsia="Aptos" w:hAnsi="Aptos"/>
                <w:b w:val="false"/>
                <w:bCs w:val="false"/>
                <w:i w:val="false"/>
                <w:iCs w:val="false"/>
                <w:color w:val="16335D"/>
                <w:sz w:val="18"/>
                <w:szCs w:val="18"/>
              </w:rPr>
              <w:t xml:space="preserve">Assets and release</w:t>
            </w:r>
          </w:p>
        </w:tc>
        <w:tc>
          <w:tcPr>
            <w:tcW w:type="dxa" w:w="4250"/>
            <w:tcBorders>
              <w:top w:val="single" w:color="B7CBEA" w:sz="6"/>
              <w:left w:val="single" w:color="B7CBEA" w:sz="6"/>
              <w:bottom w:val="single" w:color="B7CBEA" w:sz="6"/>
              <w:right w:val="single" w:color="B7CBEA" w:sz="6"/>
            </w:tcBorders>
            <w:tcMar>
              <w:top w:type="dxa" w:w="90"/>
              <w:left w:type="dxa" w:w="110"/>
              <w:bottom w:type="dxa" w:w="90"/>
              <w:right w:type="dxa" w:w="110"/>
            </w:tcMar>
          </w:tcPr>
          <w:p>
            <w:pPr>
              <w:spacing w:after="0" w:before="0" w:line="230"/>
            </w:pPr>
            <w:r>
              <w:rPr>
                <w:rFonts w:ascii="Aptos" w:cs="Aptos" w:eastAsia="Aptos" w:hAnsi="Aptos"/>
                <w:b w:val="false"/>
                <w:bCs w:val="false"/>
                <w:i w:val="false"/>
                <w:iCs w:val="false"/>
                <w:color w:val="16335D"/>
                <w:sz w:val="18"/>
                <w:szCs w:val="18"/>
              </w:rPr>
              <w:t xml:space="preserve">Walkthrough media, screenshots, captions, deployment configuration, and reproducible builders.</w:t>
            </w:r>
          </w:p>
        </w:tc>
        <w:tc>
          <w:tcPr>
            <w:tcW w:type="dxa" w:w="3210"/>
            <w:tcBorders>
              <w:top w:val="single" w:color="B7CBEA" w:sz="6"/>
              <w:left w:val="single" w:color="B7CBEA" w:sz="6"/>
              <w:bottom w:val="single" w:color="B7CBEA" w:sz="6"/>
              <w:right w:val="single" w:color="B7CBEA" w:sz="6"/>
            </w:tcBorders>
            <w:tcMar>
              <w:top w:type="dxa" w:w="90"/>
              <w:left w:type="dxa" w:w="110"/>
              <w:bottom w:type="dxa" w:w="90"/>
              <w:right w:type="dxa" w:w="110"/>
            </w:tcMar>
          </w:tcPr>
          <w:p>
            <w:pPr>
              <w:spacing w:after="0" w:before="0" w:line="230"/>
            </w:pPr>
            <w:r>
              <w:rPr>
                <w:rFonts w:ascii="Aptos" w:cs="Aptos" w:eastAsia="Aptos" w:hAnsi="Aptos"/>
                <w:b w:val="false"/>
                <w:bCs w:val="false"/>
                <w:i w:val="false"/>
                <w:iCs w:val="false"/>
                <w:color w:val="16335D"/>
                <w:sz w:val="18"/>
                <w:szCs w:val="18"/>
              </w:rPr>
              <w:t xml:space="preserve">assets/, scripts/, Procfile, GitHub main branch → Railway.</w:t>
            </w:r>
          </w:p>
        </w:tc>
      </w:tr>
    </w:tbl>
    <w:p>
      <w:pPr>
        <w:pStyle w:val="Heading2"/>
        <w:spacing w:after="130" w:before="210"/>
      </w:pPr>
      <w:r>
        <w:t xml:space="preserve">9.1 Detailed architecture: where technology and AI are used</w:t>
      </w:r>
    </w:p>
    <w:p>
      <w:pPr>
        <w:spacing w:after="140" w:before="0" w:line="276"/>
      </w:pPr>
      <w:r>
        <w:rPr>
          <w:rFonts w:ascii="Aptos" w:cs="Aptos" w:eastAsia="Aptos" w:hAnsi="Aptos"/>
          <w:b w:val="false"/>
          <w:bCs w:val="false"/>
          <w:i w:val="false"/>
          <w:iCs w:val="false"/>
          <w:color w:val="16335D"/>
          <w:sz w:val="21"/>
          <w:szCs w:val="21"/>
        </w:rPr>
        <w:t xml:space="preserve">The architecture intentionally separates evidence retrieval, deterministic calculations, optional drafting, validation, and human workflow. This makes it possible to show what is computed from stored fictional data, what may be drafted with a model, and what remains a human responsibility.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50"/>
        <w:gridCol w:w="4850"/>
        <w:gridCol w:w="3660"/>
      </w:tblGrid>
      <w:tr>
        <w:trPr>
          <w:tblHeader/>
        </w:trPr>
        <w:tc>
          <w:tcPr>
            <w:tcW w:type="dxa" w:w="1850"/>
            <w:tcBorders>
              <w:top w:val="single" w:color="B7CBEA" w:sz="6"/>
              <w:left w:val="single" w:color="B7CBEA" w:sz="6"/>
              <w:bottom w:val="single" w:color="B7CBEA" w:sz="6"/>
              <w:right w:val="single" w:color="B7CBEA" w:sz="6"/>
            </w:tcBorders>
            <w:shd w:fill="16335D" w:color="16335D" w:val="clear"/>
            <w:tcMar>
              <w:top w:type="dxa" w:w="90"/>
              <w:left w:type="dxa" w:w="110"/>
              <w:bottom w:type="dxa" w:w="90"/>
              <w:right w:type="dxa" w:w="110"/>
            </w:tcMar>
          </w:tcPr>
          <w:p>
            <w:pPr>
              <w:spacing w:after="0" w:before="0" w:line="230"/>
            </w:pPr>
            <w:r>
              <w:rPr>
                <w:rFonts w:ascii="Aptos" w:cs="Aptos" w:eastAsia="Aptos" w:hAnsi="Aptos"/>
                <w:b/>
                <w:bCs/>
                <w:i w:val="false"/>
                <w:iCs w:val="false"/>
                <w:color w:val="FFFFFF"/>
                <w:sz w:val="18"/>
                <w:szCs w:val="18"/>
              </w:rPr>
              <w:t xml:space="preserve">Stage</w:t>
            </w:r>
          </w:p>
        </w:tc>
        <w:tc>
          <w:tcPr>
            <w:tcW w:type="dxa" w:w="4850"/>
            <w:tcBorders>
              <w:top w:val="single" w:color="B7CBEA" w:sz="6"/>
              <w:left w:val="single" w:color="B7CBEA" w:sz="6"/>
              <w:bottom w:val="single" w:color="B7CBEA" w:sz="6"/>
              <w:right w:val="single" w:color="B7CBEA" w:sz="6"/>
            </w:tcBorders>
            <w:shd w:fill="16335D" w:color="16335D" w:val="clear"/>
            <w:tcMar>
              <w:top w:type="dxa" w:w="90"/>
              <w:left w:type="dxa" w:w="110"/>
              <w:bottom w:type="dxa" w:w="90"/>
              <w:right w:type="dxa" w:w="110"/>
            </w:tcMar>
          </w:tcPr>
          <w:p>
            <w:pPr>
              <w:spacing w:after="0" w:before="0" w:line="230"/>
            </w:pPr>
            <w:r>
              <w:rPr>
                <w:rFonts w:ascii="Aptos" w:cs="Aptos" w:eastAsia="Aptos" w:hAnsi="Aptos"/>
                <w:b/>
                <w:bCs/>
                <w:i w:val="false"/>
                <w:iCs w:val="false"/>
                <w:color w:val="FFFFFF"/>
                <w:sz w:val="18"/>
                <w:szCs w:val="18"/>
              </w:rPr>
              <w:t xml:space="preserve">Actual component / logic</w:t>
            </w:r>
          </w:p>
        </w:tc>
        <w:tc>
          <w:tcPr>
            <w:tcW w:type="dxa" w:w="3660"/>
            <w:tcBorders>
              <w:top w:val="single" w:color="B7CBEA" w:sz="6"/>
              <w:left w:val="single" w:color="B7CBEA" w:sz="6"/>
              <w:bottom w:val="single" w:color="B7CBEA" w:sz="6"/>
              <w:right w:val="single" w:color="B7CBEA" w:sz="6"/>
            </w:tcBorders>
            <w:shd w:fill="16335D" w:color="16335D" w:val="clear"/>
            <w:tcMar>
              <w:top w:type="dxa" w:w="90"/>
              <w:left w:type="dxa" w:w="110"/>
              <w:bottom w:type="dxa" w:w="90"/>
              <w:right w:type="dxa" w:w="110"/>
            </w:tcMar>
          </w:tcPr>
          <w:p>
            <w:pPr>
              <w:spacing w:after="0" w:before="0" w:line="230"/>
            </w:pPr>
            <w:r>
              <w:rPr>
                <w:rFonts w:ascii="Aptos" w:cs="Aptos" w:eastAsia="Aptos" w:hAnsi="Aptos"/>
                <w:b/>
                <w:bCs/>
                <w:i w:val="false"/>
                <w:iCs w:val="false"/>
                <w:color w:val="FFFFFF"/>
                <w:sz w:val="18"/>
                <w:szCs w:val="18"/>
              </w:rPr>
              <w:t xml:space="preserve">Output and control</w:t>
            </w:r>
          </w:p>
        </w:tc>
      </w:tr>
      <w:tr>
        <w:tc>
          <w:tcPr>
            <w:tcW w:type="dxa" w:w="1850"/>
            <w:tcBorders>
              <w:top w:val="single" w:color="B7CBEA" w:sz="6"/>
              <w:left w:val="single" w:color="B7CBEA" w:sz="6"/>
              <w:bottom w:val="single" w:color="B7CBEA" w:sz="6"/>
              <w:right w:val="single" w:color="B7CBEA" w:sz="6"/>
            </w:tcBorders>
            <w:tcMar>
              <w:top w:type="dxa" w:w="90"/>
              <w:left w:type="dxa" w:w="110"/>
              <w:bottom w:type="dxa" w:w="90"/>
              <w:right w:type="dxa" w:w="110"/>
            </w:tcMar>
          </w:tcPr>
          <w:p>
            <w:pPr>
              <w:spacing w:after="0" w:before="0" w:line="230"/>
            </w:pPr>
            <w:r>
              <w:rPr>
                <w:rFonts w:ascii="Aptos" w:cs="Aptos" w:eastAsia="Aptos" w:hAnsi="Aptos"/>
                <w:b w:val="false"/>
                <w:bCs w:val="false"/>
                <w:i w:val="false"/>
                <w:iCs w:val="false"/>
                <w:color w:val="16335D"/>
                <w:sz w:val="18"/>
                <w:szCs w:val="18"/>
              </w:rPr>
              <w:t xml:space="preserve">1. Stored fictional data and index</w:t>
            </w:r>
          </w:p>
        </w:tc>
        <w:tc>
          <w:tcPr>
            <w:tcW w:type="dxa" w:w="4850"/>
            <w:tcBorders>
              <w:top w:val="single" w:color="B7CBEA" w:sz="6"/>
              <w:left w:val="single" w:color="B7CBEA" w:sz="6"/>
              <w:bottom w:val="single" w:color="B7CBEA" w:sz="6"/>
              <w:right w:val="single" w:color="B7CBEA" w:sz="6"/>
            </w:tcBorders>
            <w:tcMar>
              <w:top w:type="dxa" w:w="90"/>
              <w:left w:type="dxa" w:w="110"/>
              <w:bottom w:type="dxa" w:w="90"/>
              <w:right w:type="dxa" w:w="110"/>
            </w:tcMar>
          </w:tcPr>
          <w:p>
            <w:pPr>
              <w:spacing w:after="0" w:before="0" w:line="230"/>
            </w:pPr>
            <w:r>
              <w:rPr>
                <w:rFonts w:ascii="Aptos" w:cs="Aptos" w:eastAsia="Aptos" w:hAnsi="Aptos"/>
                <w:b w:val="false"/>
                <w:bCs w:val="false"/>
                <w:i w:val="false"/>
                <w:iCs w:val="false"/>
                <w:color w:val="16335D"/>
                <w:sz w:val="18"/>
                <w:szCs w:val="18"/>
              </w:rPr>
              <w:t xml:space="preserve">SQLite stores the fictional case, alert, evidence, audit, OKF-source, and chunk records. FTS5 performs lexical keyword matching and BM25 ranks matching passages; no vector embedding index is used.</w:t>
            </w:r>
          </w:p>
        </w:tc>
        <w:tc>
          <w:tcPr>
            <w:tcW w:type="dxa" w:w="3660"/>
            <w:tcBorders>
              <w:top w:val="single" w:color="B7CBEA" w:sz="6"/>
              <w:left w:val="single" w:color="B7CBEA" w:sz="6"/>
              <w:bottom w:val="single" w:color="B7CBEA" w:sz="6"/>
              <w:right w:val="single" w:color="B7CBEA" w:sz="6"/>
            </w:tcBorders>
            <w:tcMar>
              <w:top w:type="dxa" w:w="90"/>
              <w:left w:type="dxa" w:w="110"/>
              <w:bottom w:type="dxa" w:w="90"/>
              <w:right w:type="dxa" w:w="110"/>
            </w:tcMar>
          </w:tcPr>
          <w:p>
            <w:pPr>
              <w:spacing w:after="0" w:before="0" w:line="230"/>
            </w:pPr>
            <w:r>
              <w:rPr>
                <w:rFonts w:ascii="Aptos" w:cs="Aptos" w:eastAsia="Aptos" w:hAnsi="Aptos"/>
                <w:b w:val="false"/>
                <w:bCs w:val="false"/>
                <w:i w:val="false"/>
                <w:iCs w:val="false"/>
                <w:color w:val="16335D"/>
                <w:sz w:val="18"/>
                <w:szCs w:val="18"/>
              </w:rPr>
              <w:t xml:space="preserve">A case-scoped set of inspectable rows and chunks. Retrieval finds supplied text; it does not verify truth.</w:t>
            </w:r>
          </w:p>
        </w:tc>
      </w:tr>
      <w:tr>
        <w:tc>
          <w:tcPr>
            <w:tcW w:type="dxa" w:w="1850"/>
            <w:tcBorders>
              <w:top w:val="single" w:color="B7CBEA" w:sz="6"/>
              <w:left w:val="single" w:color="B7CBEA" w:sz="6"/>
              <w:bottom w:val="single" w:color="B7CBEA" w:sz="6"/>
              <w:right w:val="single" w:color="B7CBEA" w:sz="6"/>
            </w:tcBorders>
            <w:tcMar>
              <w:top w:type="dxa" w:w="90"/>
              <w:left w:type="dxa" w:w="110"/>
              <w:bottom w:type="dxa" w:w="90"/>
              <w:right w:type="dxa" w:w="110"/>
            </w:tcMar>
          </w:tcPr>
          <w:p>
            <w:pPr>
              <w:spacing w:after="0" w:before="0" w:line="230"/>
            </w:pPr>
            <w:r>
              <w:rPr>
                <w:rFonts w:ascii="Aptos" w:cs="Aptos" w:eastAsia="Aptos" w:hAnsi="Aptos"/>
                <w:b w:val="false"/>
                <w:bCs w:val="false"/>
                <w:i w:val="false"/>
                <w:iCs w:val="false"/>
                <w:color w:val="16335D"/>
                <w:sz w:val="18"/>
                <w:szCs w:val="18"/>
              </w:rPr>
              <w:t xml:space="preserve">2. Evidence-gathering specialists</w:t>
            </w:r>
          </w:p>
        </w:tc>
        <w:tc>
          <w:tcPr>
            <w:tcW w:type="dxa" w:w="4850"/>
            <w:tcBorders>
              <w:top w:val="single" w:color="B7CBEA" w:sz="6"/>
              <w:left w:val="single" w:color="B7CBEA" w:sz="6"/>
              <w:bottom w:val="single" w:color="B7CBEA" w:sz="6"/>
              <w:right w:val="single" w:color="B7CBEA" w:sz="6"/>
            </w:tcBorders>
            <w:tcMar>
              <w:top w:type="dxa" w:w="90"/>
              <w:left w:type="dxa" w:w="110"/>
              <w:bottom w:type="dxa" w:w="90"/>
              <w:right w:type="dxa" w:w="110"/>
            </w:tcMar>
          </w:tcPr>
          <w:p>
            <w:pPr>
              <w:spacing w:after="0" w:before="0" w:line="230"/>
            </w:pPr>
            <w:r>
              <w:rPr>
                <w:rFonts w:ascii="Aptos" w:cs="Aptos" w:eastAsia="Aptos" w:hAnsi="Aptos"/>
                <w:b w:val="false"/>
                <w:bCs w:val="false"/>
                <w:i w:val="false"/>
                <w:iCs w:val="false"/>
                <w:color w:val="16335D"/>
                <w:sz w:val="18"/>
                <w:szCs w:val="18"/>
              </w:rPr>
              <w:t xml:space="preserve">Alert Triage, Customer/KYC, Transaction Investigation, Relationship, and Evidence specialists read the active case and calculate or collect structured findings.</w:t>
            </w:r>
          </w:p>
        </w:tc>
        <w:tc>
          <w:tcPr>
            <w:tcW w:type="dxa" w:w="3660"/>
            <w:tcBorders>
              <w:top w:val="single" w:color="B7CBEA" w:sz="6"/>
              <w:left w:val="single" w:color="B7CBEA" w:sz="6"/>
              <w:bottom w:val="single" w:color="B7CBEA" w:sz="6"/>
              <w:right w:val="single" w:color="B7CBEA" w:sz="6"/>
            </w:tcBorders>
            <w:tcMar>
              <w:top w:type="dxa" w:w="90"/>
              <w:left w:type="dxa" w:w="110"/>
              <w:bottom w:type="dxa" w:w="90"/>
              <w:right w:type="dxa" w:w="110"/>
            </w:tcMar>
          </w:tcPr>
          <w:p>
            <w:pPr>
              <w:spacing w:after="0" w:before="0" w:line="230"/>
            </w:pPr>
            <w:r>
              <w:rPr>
                <w:rFonts w:ascii="Aptos" w:cs="Aptos" w:eastAsia="Aptos" w:hAnsi="Aptos"/>
                <w:b w:val="false"/>
                <w:bCs w:val="false"/>
                <w:i w:val="false"/>
                <w:iCs w:val="false"/>
                <w:color w:val="16335D"/>
                <w:sz w:val="18"/>
                <w:szCs w:val="18"/>
              </w:rPr>
              <w:t xml:space="preserve">Structured evidence and limitation inputs. These are specialist components, not CEO/CFO persona agents.</w:t>
            </w:r>
          </w:p>
        </w:tc>
      </w:tr>
      <w:tr>
        <w:tc>
          <w:tcPr>
            <w:tcW w:type="dxa" w:w="1850"/>
            <w:tcBorders>
              <w:top w:val="single" w:color="B7CBEA" w:sz="6"/>
              <w:left w:val="single" w:color="B7CBEA" w:sz="6"/>
              <w:bottom w:val="single" w:color="B7CBEA" w:sz="6"/>
              <w:right w:val="single" w:color="B7CBEA" w:sz="6"/>
            </w:tcBorders>
            <w:tcMar>
              <w:top w:type="dxa" w:w="90"/>
              <w:left w:type="dxa" w:w="110"/>
              <w:bottom w:type="dxa" w:w="90"/>
              <w:right w:type="dxa" w:w="110"/>
            </w:tcMar>
          </w:tcPr>
          <w:p>
            <w:pPr>
              <w:spacing w:after="0" w:before="0" w:line="230"/>
            </w:pPr>
            <w:r>
              <w:rPr>
                <w:rFonts w:ascii="Aptos" w:cs="Aptos" w:eastAsia="Aptos" w:hAnsi="Aptos"/>
                <w:b w:val="false"/>
                <w:bCs w:val="false"/>
                <w:i w:val="false"/>
                <w:iCs w:val="false"/>
                <w:color w:val="16335D"/>
                <w:sz w:val="18"/>
                <w:szCs w:val="18"/>
              </w:rPr>
              <w:t xml:space="preserve">3. Investigation Summary Agent</w:t>
            </w:r>
          </w:p>
        </w:tc>
        <w:tc>
          <w:tcPr>
            <w:tcW w:type="dxa" w:w="4850"/>
            <w:tcBorders>
              <w:top w:val="single" w:color="B7CBEA" w:sz="6"/>
              <w:left w:val="single" w:color="B7CBEA" w:sz="6"/>
              <w:bottom w:val="single" w:color="B7CBEA" w:sz="6"/>
              <w:right w:val="single" w:color="B7CBEA" w:sz="6"/>
            </w:tcBorders>
            <w:tcMar>
              <w:top w:type="dxa" w:w="90"/>
              <w:left w:type="dxa" w:w="110"/>
              <w:bottom w:type="dxa" w:w="90"/>
              <w:right w:type="dxa" w:w="110"/>
            </w:tcMar>
          </w:tcPr>
          <w:p>
            <w:pPr>
              <w:spacing w:after="0" w:before="0" w:line="230"/>
            </w:pPr>
            <w:r>
              <w:rPr>
                <w:rFonts w:ascii="Aptos" w:cs="Aptos" w:eastAsia="Aptos" w:hAnsi="Aptos"/>
                <w:b w:val="false"/>
                <w:bCs w:val="false"/>
                <w:i w:val="false"/>
                <w:iCs w:val="false"/>
                <w:color w:val="16335D"/>
                <w:sz w:val="18"/>
                <w:szCs w:val="18"/>
              </w:rPr>
              <w:t xml:space="preserve">Combines the structured specialist outputs into a report. In optional model mode it can call Gemini; in calculated mode it creates the report without a model call.</w:t>
            </w:r>
          </w:p>
        </w:tc>
        <w:tc>
          <w:tcPr>
            <w:tcW w:type="dxa" w:w="3660"/>
            <w:tcBorders>
              <w:top w:val="single" w:color="B7CBEA" w:sz="6"/>
              <w:left w:val="single" w:color="B7CBEA" w:sz="6"/>
              <w:bottom w:val="single" w:color="B7CBEA" w:sz="6"/>
              <w:right w:val="single" w:color="B7CBEA" w:sz="6"/>
            </w:tcBorders>
            <w:tcMar>
              <w:top w:type="dxa" w:w="90"/>
              <w:left w:type="dxa" w:w="110"/>
              <w:bottom w:type="dxa" w:w="90"/>
              <w:right w:type="dxa" w:w="110"/>
            </w:tcMar>
          </w:tcPr>
          <w:p>
            <w:pPr>
              <w:spacing w:after="0" w:before="0" w:line="230"/>
            </w:pPr>
            <w:r>
              <w:rPr>
                <w:rFonts w:ascii="Aptos" w:cs="Aptos" w:eastAsia="Aptos" w:hAnsi="Aptos"/>
                <w:b w:val="false"/>
                <w:bCs w:val="false"/>
                <w:i w:val="false"/>
                <w:iCs w:val="false"/>
                <w:color w:val="16335D"/>
                <w:sz w:val="18"/>
                <w:szCs w:val="18"/>
              </w:rPr>
              <w:t xml:space="preserve">A clearly labelled advisory draft, never an automatic case action or final outcome.</w:t>
            </w:r>
          </w:p>
        </w:tc>
      </w:tr>
      <w:tr>
        <w:tc>
          <w:tcPr>
            <w:tcW w:type="dxa" w:w="1850"/>
            <w:tcBorders>
              <w:top w:val="single" w:color="B7CBEA" w:sz="6"/>
              <w:left w:val="single" w:color="B7CBEA" w:sz="6"/>
              <w:bottom w:val="single" w:color="B7CBEA" w:sz="6"/>
              <w:right w:val="single" w:color="B7CBEA" w:sz="6"/>
            </w:tcBorders>
            <w:tcMar>
              <w:top w:type="dxa" w:w="90"/>
              <w:left w:type="dxa" w:w="110"/>
              <w:bottom w:type="dxa" w:w="90"/>
              <w:right w:type="dxa" w:w="110"/>
            </w:tcMar>
          </w:tcPr>
          <w:p>
            <w:pPr>
              <w:spacing w:after="0" w:before="0" w:line="230"/>
            </w:pPr>
            <w:r>
              <w:rPr>
                <w:rFonts w:ascii="Aptos" w:cs="Aptos" w:eastAsia="Aptos" w:hAnsi="Aptos"/>
                <w:b w:val="false"/>
                <w:bCs w:val="false"/>
                <w:i w:val="false"/>
                <w:iCs w:val="false"/>
                <w:color w:val="16335D"/>
                <w:sz w:val="18"/>
                <w:szCs w:val="18"/>
              </w:rPr>
              <w:t xml:space="preserve">4. Grounding Validator</w:t>
            </w:r>
          </w:p>
        </w:tc>
        <w:tc>
          <w:tcPr>
            <w:tcW w:type="dxa" w:w="4850"/>
            <w:tcBorders>
              <w:top w:val="single" w:color="B7CBEA" w:sz="6"/>
              <w:left w:val="single" w:color="B7CBEA" w:sz="6"/>
              <w:bottom w:val="single" w:color="B7CBEA" w:sz="6"/>
              <w:right w:val="single" w:color="B7CBEA" w:sz="6"/>
            </w:tcBorders>
            <w:tcMar>
              <w:top w:type="dxa" w:w="90"/>
              <w:left w:type="dxa" w:w="110"/>
              <w:bottom w:type="dxa" w:w="90"/>
              <w:right w:type="dxa" w:w="110"/>
            </w:tcMar>
          </w:tcPr>
          <w:p>
            <w:pPr>
              <w:spacing w:after="0" w:before="0" w:line="230"/>
            </w:pPr>
            <w:r>
              <w:rPr>
                <w:rFonts w:ascii="Aptos" w:cs="Aptos" w:eastAsia="Aptos" w:hAnsi="Aptos"/>
                <w:b w:val="false"/>
                <w:bCs w:val="false"/>
                <w:i w:val="false"/>
                <w:iCs w:val="false"/>
                <w:color w:val="16335D"/>
                <w:sz w:val="18"/>
                <w:szCs w:val="18"/>
              </w:rPr>
              <w:t xml:space="preserve">Checks known citation IDs, selected ratio claims, forbidden verdict wording, and obvious prompt-like text in supplied fields. It can downgrade unsupported verified language or remove unsafe output elements.</w:t>
            </w:r>
          </w:p>
        </w:tc>
        <w:tc>
          <w:tcPr>
            <w:tcW w:type="dxa" w:w="3660"/>
            <w:tcBorders>
              <w:top w:val="single" w:color="B7CBEA" w:sz="6"/>
              <w:left w:val="single" w:color="B7CBEA" w:sz="6"/>
              <w:bottom w:val="single" w:color="B7CBEA" w:sz="6"/>
              <w:right w:val="single" w:color="B7CBEA" w:sz="6"/>
            </w:tcBorders>
            <w:tcMar>
              <w:top w:type="dxa" w:w="90"/>
              <w:left w:type="dxa" w:w="110"/>
              <w:bottom w:type="dxa" w:w="90"/>
              <w:right w:type="dxa" w:w="110"/>
            </w:tcMar>
          </w:tcPr>
          <w:p>
            <w:pPr>
              <w:spacing w:after="0" w:before="0" w:line="230"/>
            </w:pPr>
            <w:r>
              <w:rPr>
                <w:rFonts w:ascii="Aptos" w:cs="Aptos" w:eastAsia="Aptos" w:hAnsi="Aptos"/>
                <w:b w:val="false"/>
                <w:bCs w:val="false"/>
                <w:i w:val="false"/>
                <w:iCs w:val="false"/>
                <w:color w:val="16335D"/>
                <w:sz w:val="18"/>
                <w:szCs w:val="18"/>
              </w:rPr>
              <w:t xml:space="preserve">Visible validation notes and safer wording. It reduces selected failure modes; it cannot guarantee factual truth or completeness.</w:t>
            </w:r>
          </w:p>
        </w:tc>
      </w:tr>
      <w:tr>
        <w:tc>
          <w:tcPr>
            <w:tcW w:type="dxa" w:w="1850"/>
            <w:tcBorders>
              <w:top w:val="single" w:color="B7CBEA" w:sz="6"/>
              <w:left w:val="single" w:color="B7CBEA" w:sz="6"/>
              <w:bottom w:val="single" w:color="B7CBEA" w:sz="6"/>
              <w:right w:val="single" w:color="B7CBEA" w:sz="6"/>
            </w:tcBorders>
            <w:tcMar>
              <w:top w:type="dxa" w:w="90"/>
              <w:left w:type="dxa" w:w="110"/>
              <w:bottom w:type="dxa" w:w="90"/>
              <w:right w:type="dxa" w:w="110"/>
            </w:tcMar>
          </w:tcPr>
          <w:p>
            <w:pPr>
              <w:spacing w:after="0" w:before="0" w:line="230"/>
            </w:pPr>
            <w:r>
              <w:rPr>
                <w:rFonts w:ascii="Aptos" w:cs="Aptos" w:eastAsia="Aptos" w:hAnsi="Aptos"/>
                <w:b w:val="false"/>
                <w:bCs w:val="false"/>
                <w:i w:val="false"/>
                <w:iCs w:val="false"/>
                <w:color w:val="16335D"/>
                <w:sz w:val="18"/>
                <w:szCs w:val="18"/>
              </w:rPr>
              <w:t xml:space="preserve">5. Human action and audit</w:t>
            </w:r>
          </w:p>
        </w:tc>
        <w:tc>
          <w:tcPr>
            <w:tcW w:type="dxa" w:w="4850"/>
            <w:tcBorders>
              <w:top w:val="single" w:color="B7CBEA" w:sz="6"/>
              <w:left w:val="single" w:color="B7CBEA" w:sz="6"/>
              <w:bottom w:val="single" w:color="B7CBEA" w:sz="6"/>
              <w:right w:val="single" w:color="B7CBEA" w:sz="6"/>
            </w:tcBorders>
            <w:tcMar>
              <w:top w:type="dxa" w:w="90"/>
              <w:left w:type="dxa" w:w="110"/>
              <w:bottom w:type="dxa" w:w="90"/>
              <w:right w:type="dxa" w:w="110"/>
            </w:tcMar>
          </w:tcPr>
          <w:p>
            <w:pPr>
              <w:spacing w:after="0" w:before="0" w:line="230"/>
            </w:pPr>
            <w:r>
              <w:rPr>
                <w:rFonts w:ascii="Aptos" w:cs="Aptos" w:eastAsia="Aptos" w:hAnsi="Aptos"/>
                <w:b w:val="false"/>
                <w:bCs w:val="false"/>
                <w:i w:val="false"/>
                <w:iCs w:val="false"/>
                <w:color w:val="16335D"/>
                <w:sz w:val="18"/>
                <w:szCs w:val="18"/>
              </w:rPr>
              <w:t xml:space="preserve">A person supplies a display name and required rationale before a permitted decision is appended. Compliance can acknowledge, return, or record an onward referral as a separate human step.</w:t>
            </w:r>
          </w:p>
        </w:tc>
        <w:tc>
          <w:tcPr>
            <w:tcW w:type="dxa" w:w="3660"/>
            <w:tcBorders>
              <w:top w:val="single" w:color="B7CBEA" w:sz="6"/>
              <w:left w:val="single" w:color="B7CBEA" w:sz="6"/>
              <w:bottom w:val="single" w:color="B7CBEA" w:sz="6"/>
              <w:right w:val="single" w:color="B7CBEA" w:sz="6"/>
            </w:tcBorders>
            <w:tcMar>
              <w:top w:type="dxa" w:w="90"/>
              <w:left w:type="dxa" w:w="110"/>
              <w:bottom w:type="dxa" w:w="90"/>
              <w:right w:type="dxa" w:w="110"/>
            </w:tcMar>
          </w:tcPr>
          <w:p>
            <w:pPr>
              <w:spacing w:after="0" w:before="0" w:line="230"/>
            </w:pPr>
            <w:r>
              <w:rPr>
                <w:rFonts w:ascii="Aptos" w:cs="Aptos" w:eastAsia="Aptos" w:hAnsi="Aptos"/>
                <w:b w:val="false"/>
                <w:bCs w:val="false"/>
                <w:i w:val="false"/>
                <w:iCs w:val="false"/>
                <w:color w:val="16335D"/>
                <w:sz w:val="18"/>
                <w:szCs w:val="18"/>
              </w:rPr>
              <w:t xml:space="preserve">Recorded workflow state and auditable history. The display name is not authenticated identity or production RBAC.</w:t>
            </w:r>
          </w:p>
        </w:tc>
      </w:tr>
    </w:tbl>
    <w:p>
      <w:pPr>
        <w:spacing w:after="55" w:before="120"/>
        <w:jc w:val="center"/>
      </w:pPr>
      <w:r>
        <w:drawing>
          <wp:inline distT="0" distB="0" distL="0" distR="0">
            <wp:extent cx="6096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6096000" cy="3429000"/>
                    </a:xfrm>
                    <a:prstGeom prst="rect">
                      <a:avLst/>
                    </a:prstGeom>
                  </pic:spPr>
                </pic:pic>
              </a:graphicData>
            </a:graphic>
          </wp:inline>
        </w:drawing>
      </w:r>
    </w:p>
    <w:p>
      <w:pPr>
        <w:spacing w:after="180" w:before="0" w:line="230"/>
        <w:jc w:val="center"/>
      </w:pPr>
      <w:r>
        <w:rPr>
          <w:rFonts w:ascii="Aptos" w:cs="Aptos" w:eastAsia="Aptos" w:hAnsi="Aptos"/>
          <w:b w:val="false"/>
          <w:bCs w:val="false"/>
          <w:i/>
          <w:iCs/>
          <w:color w:val="63738D"/>
          <w:sz w:val="17"/>
          <w:szCs w:val="17"/>
        </w:rPr>
        <w:t xml:space="preserve">Figure — Implemented architecture: deterministic specialist evidence gathering, optional Summary Agent drafting, Grounding Validator controls, and the final human/audit boundary.</w:t>
      </w:r>
    </w:p>
    <w:p>
      <w:pPr>
        <w:pStyle w:val="Heading2"/>
        <w:spacing w:after="130" w:before="210"/>
      </w:pPr>
      <w:r>
        <w:t xml:space="preserve">9.2 Architecture execution path</w:t>
      </w:r>
    </w:p>
    <w:p>
      <w:pPr>
        <w:spacing w:after="140" w:before="0" w:line="276"/>
      </w:pPr>
      <w:r>
        <w:rPr>
          <w:rFonts w:ascii="Aptos" w:cs="Aptos" w:eastAsia="Aptos" w:hAnsi="Aptos"/>
          <w:b w:val="false"/>
          <w:bCs w:val="false"/>
          <w:i w:val="false"/>
          <w:iCs w:val="false"/>
          <w:color w:val="16335D"/>
          <w:sz w:val="21"/>
          <w:szCs w:val="21"/>
        </w:rPr>
        <w:t xml:space="preserve">The code-level path below is the most important explanation for a faculty reviewer: specialist outputs are assembled first; an optional model can draft a summary; a validator checks the draft against controlled rules; and only then does the UI present the material for a human decision.</w:t>
      </w:r>
    </w:p>
    <w:p>
      <w:pPr>
        <w:shd w:fill="EAF2FF" w:color="EAF2FF" w:val="clear"/>
        <w:spacing w:after="0" w:before="0" w:line="230"/>
        <w:ind w:left="220" w:right="220"/>
      </w:pPr>
      <w:r>
        <w:rPr>
          <w:rFonts w:ascii="Consolas" w:cs="Consolas" w:eastAsia="Consolas" w:hAnsi="Consolas"/>
          <w:color w:val="17365D"/>
          <w:sz w:val="17"/>
          <w:szCs w:val="17"/>
        </w:rPr>
        <w:t xml:space="preserve">triage → kyc → transactions → relationships → evidence → structured_inputs</w:t>
      </w:r>
    </w:p>
    <w:p>
      <w:pPr>
        <w:shd w:fill="EAF2FF" w:color="EAF2FF" w:val="clear"/>
        <w:spacing w:after="0" w:before="0" w:line="230"/>
        <w:ind w:left="220" w:right="220"/>
      </w:pPr>
      <w:r>
        <w:rPr>
          <w:rFonts w:ascii="Consolas" w:cs="Consolas" w:eastAsia="Consolas" w:hAnsi="Consolas"/>
          <w:color w:val="17365D"/>
          <w:sz w:val="17"/>
          <w:szCs w:val="17"/>
        </w:rPr>
        <w:t xml:space="preserve">raw_report = summary_agent(structured_inputs)  # optional Gemini, or calculated mode</w:t>
      </w:r>
    </w:p>
    <w:p>
      <w:pPr>
        <w:shd w:fill="EAF2FF" w:color="EAF2FF" w:val="clear"/>
        <w:spacing w:after="0" w:before="0" w:line="230"/>
        <w:ind w:left="220" w:right="220"/>
      </w:pPr>
      <w:r>
        <w:rPr>
          <w:rFonts w:ascii="Consolas" w:cs="Consolas" w:eastAsia="Consolas" w:hAnsi="Consolas"/>
          <w:color w:val="17365D"/>
          <w:sz w:val="17"/>
          <w:szCs w:val="17"/>
        </w:rPr>
        <w:t xml:space="preserve">validated_report = grounding_validator(raw_report, known_ids, ratios, safe_text_rules)</w:t>
      </w:r>
    </w:p>
    <w:p>
      <w:pPr>
        <w:shd w:fill="EAF2FF" w:color="EAF2FF" w:val="clear"/>
        <w:spacing w:after="0" w:before="0" w:line="230"/>
        <w:ind w:left="220" w:right="220"/>
      </w:pPr>
      <w:r>
        <w:rPr>
          <w:rFonts w:ascii="Consolas" w:cs="Consolas" w:eastAsia="Consolas" w:hAnsi="Consolas"/>
          <w:color w:val="17365D"/>
          <w:sz w:val="17"/>
          <w:szCs w:val="17"/>
        </w:rPr>
        <w:t xml:space="preserve">show(validated_report, evidence_confidence, limitations); human_records_rationale()</w:t>
      </w:r>
    </w:p>
    <w:p>
      <w:pPr>
        <w:pStyle w:val="Heading2"/>
        <w:spacing w:after="130" w:before="210"/>
      </w:pPr>
      <w:r>
        <w:t xml:space="preserve">Navigation router</w:t>
      </w:r>
    </w:p>
    <w:p>
      <w:pPr>
        <w:shd w:fill="EAF2FF" w:color="EAF2FF" w:val="clear"/>
        <w:spacing w:after="0" w:before="0" w:line="230"/>
        <w:ind w:left="220" w:right="220"/>
      </w:pPr>
      <w:r>
        <w:rPr>
          <w:rFonts w:ascii="Consolas" w:cs="Consolas" w:eastAsia="Consolas" w:hAnsi="Consolas"/>
          <w:color w:val="17365D"/>
          <w:sz w:val="17"/>
          <w:szCs w:val="17"/>
        </w:rPr>
        <w:t xml:space="preserve">st.navigation([Home, Project &amp; Team, Case Queue, Investigation Workspace,</w:t>
      </w:r>
    </w:p>
    <w:p>
      <w:pPr>
        <w:shd w:fill="EAF2FF" w:color="EAF2FF" w:val="clear"/>
        <w:spacing w:after="0" w:before="0" w:line="230"/>
        <w:ind w:left="220" w:right="220"/>
      </w:pPr>
      <w:r>
        <w:rPr>
          <w:rFonts w:ascii="Consolas" w:cs="Consolas" w:eastAsia="Consolas" w:hAnsi="Consolas"/>
          <w:color w:val="17365D"/>
          <w:sz w:val="17"/>
          <w:szCs w:val="17"/>
        </w:rPr>
        <w:t xml:space="preserve">               Evidence &amp; RAG, Compliance Queue, Analytics, Global Search,</w:t>
      </w:r>
    </w:p>
    <w:p>
      <w:pPr>
        <w:shd w:fill="EAF2FF" w:color="EAF2FF" w:val="clear"/>
        <w:spacing w:after="0" w:before="0" w:line="230"/>
        <w:ind w:left="220" w:right="220"/>
      </w:pPr>
      <w:r>
        <w:rPr>
          <w:rFonts w:ascii="Consolas" w:cs="Consolas" w:eastAsia="Consolas" w:hAnsi="Consolas"/>
          <w:color w:val="17365D"/>
          <w:sz w:val="17"/>
          <w:szCs w:val="17"/>
        </w:rPr>
        <w:t xml:space="preserve">               Admin: Knowledge Base, Admin: Rule Config]).run()</w:t>
      </w:r>
    </w:p>
    <w:p>
      <w:pPr>
        <w:pStyle w:val="Heading2"/>
        <w:spacing w:after="130" w:before="210"/>
      </w:pPr>
      <w:r>
        <w:t xml:space="preserve">Confidence-score concept</w:t>
      </w:r>
    </w:p>
    <w:p>
      <w:pPr>
        <w:spacing w:after="140" w:before="0" w:line="276"/>
      </w:pPr>
      <w:r>
        <w:rPr>
          <w:rFonts w:ascii="Aptos" w:cs="Aptos" w:eastAsia="Aptos" w:hAnsi="Aptos"/>
          <w:b w:val="false"/>
          <w:bCs w:val="false"/>
          <w:i w:val="false"/>
          <w:iCs w:val="false"/>
          <w:color w:val="16335D"/>
          <w:sz w:val="21"/>
          <w:szCs w:val="21"/>
        </w:rPr>
        <w:t xml:space="preserve">The score is calculated after a report is available. It uses deterministic support and limitation checks over the draft, supplied evidence, and retrieved guidance. Its job is to surface coverage gaps before the decision—not to rank people or forecast misconduct.</w:t>
      </w:r>
    </w:p>
    <w:p>
      <w:pPr>
        <w:shd w:fill="EAF2FF" w:color="EAF2FF" w:val="clear"/>
        <w:spacing w:after="0" w:before="0" w:line="230"/>
        <w:ind w:left="220" w:right="220"/>
      </w:pPr>
      <w:r>
        <w:rPr>
          <w:rFonts w:ascii="Consolas" w:cs="Consolas" w:eastAsia="Consolas" w:hAnsi="Consolas"/>
          <w:color w:val="17365D"/>
          <w:sz w:val="17"/>
          <w:szCs w:val="17"/>
        </w:rPr>
        <w:t xml:space="preserve">confidence = calculate_evidence_confidence(report, evidence, guidance)</w:t>
      </w:r>
    </w:p>
    <w:p>
      <w:pPr>
        <w:shd w:fill="EAF2FF" w:color="EAF2FF" w:val="clear"/>
        <w:spacing w:after="0" w:before="0" w:line="230"/>
        <w:ind w:left="220" w:right="220"/>
      </w:pPr>
      <w:r>
        <w:rPr>
          <w:rFonts w:ascii="Consolas" w:cs="Consolas" w:eastAsia="Consolas" w:hAnsi="Consolas"/>
          <w:color w:val="17365D"/>
          <w:sz w:val="17"/>
          <w:szCs w:val="17"/>
        </w:rPr>
        <w:t xml:space="preserve">display(score, support_label, known_limitations, explanation)</w:t>
      </w:r>
    </w:p>
    <w:p>
      <w:pPr>
        <w:shd w:fill="EAF2FF" w:color="EAF2FF" w:val="clear"/>
        <w:spacing w:after="0" w:before="0" w:line="230"/>
        <w:ind w:left="220" w:right="220"/>
      </w:pPr>
      <w:r>
        <w:rPr>
          <w:rFonts w:ascii="Consolas" w:cs="Consolas" w:eastAsia="Consolas" w:hAnsi="Consolas"/>
          <w:color w:val="17365D"/>
          <w:sz w:val="17"/>
          <w:szCs w:val="17"/>
        </w:rPr>
        <w:t xml:space="preserve">never interpret confidence as crime_probability or recommended_outcome</w:t>
      </w:r>
    </w:p>
    <w:p>
      <w:r>
        <w:br w:type="page"/>
      </w:r>
    </w:p>
    <w:p>
      <w:pPr>
        <w:pStyle w:val="Heading1"/>
        <w:spacing w:after="130" w:before="300"/>
      </w:pPr>
      <w:r>
        <w:t xml:space="preserve">10. Implementation logic: from source to auditable action</w:t>
      </w:r>
    </w:p>
    <w:p>
      <w:pPr>
        <w:spacing w:after="140" w:before="0" w:line="276"/>
      </w:pPr>
      <w:r>
        <w:rPr>
          <w:rFonts w:ascii="Aptos" w:cs="Aptos" w:eastAsia="Aptos" w:hAnsi="Aptos"/>
          <w:b w:val="false"/>
          <w:bCs w:val="false"/>
          <w:i w:val="false"/>
          <w:iCs w:val="false"/>
          <w:color w:val="16335D"/>
          <w:sz w:val="21"/>
          <w:szCs w:val="21"/>
        </w:rPr>
        <w:t xml:space="preserve">This section describes the product logic at code level. The intent is not to claim a production AML control; it is to make the demo’s data flow, retrieval logic, and workflow safeguards inspectable.</w:t>
      </w:r>
    </w:p>
    <w:p>
      <w:pPr>
        <w:pStyle w:val="Heading2"/>
        <w:spacing w:after="130" w:before="210"/>
      </w:pPr>
      <w:r>
        <w:t xml:space="preserve">10.1 Page routing and session context</w:t>
      </w:r>
    </w:p>
    <w:p>
      <w:pPr>
        <w:spacing w:after="140" w:before="0" w:line="276"/>
      </w:pPr>
      <w:r>
        <w:rPr>
          <w:rFonts w:ascii="Aptos" w:cs="Aptos" w:eastAsia="Aptos" w:hAnsi="Aptos"/>
          <w:b w:val="false"/>
          <w:bCs w:val="false"/>
          <w:i w:val="false"/>
          <w:iCs w:val="false"/>
          <w:color w:val="16335D"/>
          <w:sz w:val="21"/>
          <w:szCs w:val="21"/>
        </w:rPr>
        <w:t xml:space="preserve">app.py declares the left-navigation pages and runs the selected page module. The workspace entry page stores a display name and role in Streamlit session state so an audit entry can be attributed during the fictional demo. This is a UI/session convenience, not sign-in or authorization.</w:t>
      </w:r>
    </w:p>
    <w:p>
      <w:pPr>
        <w:shd w:fill="EAF2FF" w:color="EAF2FF" w:val="clear"/>
        <w:spacing w:after="0" w:before="0" w:line="230"/>
        <w:ind w:left="220" w:right="220"/>
      </w:pPr>
      <w:r>
        <w:rPr>
          <w:rFonts w:ascii="Consolas" w:cs="Consolas" w:eastAsia="Consolas" w:hAnsi="Consolas"/>
          <w:color w:val="17365D"/>
          <w:sz w:val="17"/>
          <w:szCs w:val="17"/>
        </w:rPr>
        <w:t xml:space="preserve">selected_page = st.navigation(page_definitions).run()</w:t>
      </w:r>
    </w:p>
    <w:p>
      <w:pPr>
        <w:shd w:fill="EAF2FF" w:color="EAF2FF" w:val="clear"/>
        <w:spacing w:after="0" w:before="0" w:line="230"/>
        <w:ind w:left="220" w:right="220"/>
      </w:pPr>
      <w:r>
        <w:rPr>
          <w:rFonts w:ascii="Consolas" w:cs="Consolas" w:eastAsia="Consolas" w:hAnsi="Consolas"/>
          <w:color w:val="17365D"/>
          <w:sz w:val="17"/>
          <w:szCs w:val="17"/>
        </w:rPr>
        <w:t xml:space="preserve">st.session_state['display_name'] = entered_name     # display attribution only</w:t>
      </w:r>
    </w:p>
    <w:p>
      <w:pPr>
        <w:shd w:fill="EAF2FF" w:color="EAF2FF" w:val="clear"/>
        <w:spacing w:after="0" w:before="0" w:line="230"/>
        <w:ind w:left="220" w:right="220"/>
      </w:pPr>
      <w:r>
        <w:rPr>
          <w:rFonts w:ascii="Consolas" w:cs="Consolas" w:eastAsia="Consolas" w:hAnsi="Consolas"/>
          <w:color w:val="17365D"/>
          <w:sz w:val="17"/>
          <w:szCs w:val="17"/>
        </w:rPr>
        <w:t xml:space="preserve">st.session_state['active_case_id'] = selected_case_id</w:t>
      </w:r>
    </w:p>
    <w:p>
      <w:pPr>
        <w:pStyle w:val="Heading2"/>
        <w:spacing w:after="130" w:before="210"/>
      </w:pPr>
      <w:r>
        <w:t xml:space="preserve">10.2 Data model and case scoping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700"/>
        <w:gridCol w:w="3660"/>
      </w:tblGrid>
      <w:tr>
        <w:trPr>
          <w:tblHeader/>
        </w:trPr>
        <w:tc>
          <w:tcPr>
            <w:tcW w:type="dxa" w:w="2000"/>
            <w:tcBorders>
              <w:top w:val="single" w:color="B7CBEA" w:sz="6"/>
              <w:left w:val="single" w:color="B7CBEA" w:sz="6"/>
              <w:bottom w:val="single" w:color="B7CBEA" w:sz="6"/>
              <w:right w:val="single" w:color="B7CBEA" w:sz="6"/>
            </w:tcBorders>
            <w:shd w:fill="16335D" w:color="16335D" w:val="clear"/>
            <w:tcMar>
              <w:top w:type="dxa" w:w="90"/>
              <w:left w:type="dxa" w:w="110"/>
              <w:bottom w:type="dxa" w:w="90"/>
              <w:right w:type="dxa" w:w="110"/>
            </w:tcMar>
          </w:tcPr>
          <w:p>
            <w:pPr>
              <w:spacing w:after="0" w:before="0" w:line="230"/>
            </w:pPr>
            <w:r>
              <w:rPr>
                <w:rFonts w:ascii="Aptos" w:cs="Aptos" w:eastAsia="Aptos" w:hAnsi="Aptos"/>
                <w:b/>
                <w:bCs/>
                <w:i w:val="false"/>
                <w:iCs w:val="false"/>
                <w:color w:val="FFFFFF"/>
                <w:sz w:val="18"/>
                <w:szCs w:val="18"/>
              </w:rPr>
              <w:t xml:space="preserve">Store / entity</w:t>
            </w:r>
          </w:p>
        </w:tc>
        <w:tc>
          <w:tcPr>
            <w:tcW w:type="dxa" w:w="3700"/>
            <w:tcBorders>
              <w:top w:val="single" w:color="B7CBEA" w:sz="6"/>
              <w:left w:val="single" w:color="B7CBEA" w:sz="6"/>
              <w:bottom w:val="single" w:color="B7CBEA" w:sz="6"/>
              <w:right w:val="single" w:color="B7CBEA" w:sz="6"/>
            </w:tcBorders>
            <w:shd w:fill="16335D" w:color="16335D" w:val="clear"/>
            <w:tcMar>
              <w:top w:type="dxa" w:w="90"/>
              <w:left w:type="dxa" w:w="110"/>
              <w:bottom w:type="dxa" w:w="90"/>
              <w:right w:type="dxa" w:w="110"/>
            </w:tcMar>
          </w:tcPr>
          <w:p>
            <w:pPr>
              <w:spacing w:after="0" w:before="0" w:line="230"/>
            </w:pPr>
            <w:r>
              <w:rPr>
                <w:rFonts w:ascii="Aptos" w:cs="Aptos" w:eastAsia="Aptos" w:hAnsi="Aptos"/>
                <w:b/>
                <w:bCs/>
                <w:i w:val="false"/>
                <w:iCs w:val="false"/>
                <w:color w:val="FFFFFF"/>
                <w:sz w:val="18"/>
                <w:szCs w:val="18"/>
              </w:rPr>
              <w:t xml:space="preserve">What is kept</w:t>
            </w:r>
          </w:p>
        </w:tc>
        <w:tc>
          <w:tcPr>
            <w:tcW w:type="dxa" w:w="3660"/>
            <w:tcBorders>
              <w:top w:val="single" w:color="B7CBEA" w:sz="6"/>
              <w:left w:val="single" w:color="B7CBEA" w:sz="6"/>
              <w:bottom w:val="single" w:color="B7CBEA" w:sz="6"/>
              <w:right w:val="single" w:color="B7CBEA" w:sz="6"/>
            </w:tcBorders>
            <w:shd w:fill="16335D" w:color="16335D" w:val="clear"/>
            <w:tcMar>
              <w:top w:type="dxa" w:w="90"/>
              <w:left w:type="dxa" w:w="110"/>
              <w:bottom w:type="dxa" w:w="90"/>
              <w:right w:type="dxa" w:w="110"/>
            </w:tcMar>
          </w:tcPr>
          <w:p>
            <w:pPr>
              <w:spacing w:after="0" w:before="0" w:line="230"/>
            </w:pPr>
            <w:r>
              <w:rPr>
                <w:rFonts w:ascii="Aptos" w:cs="Aptos" w:eastAsia="Aptos" w:hAnsi="Aptos"/>
                <w:b/>
                <w:bCs/>
                <w:i w:val="false"/>
                <w:iCs w:val="false"/>
                <w:color w:val="FFFFFF"/>
                <w:sz w:val="18"/>
                <w:szCs w:val="18"/>
              </w:rPr>
              <w:t xml:space="preserve">How it is used</w:t>
            </w:r>
          </w:p>
        </w:tc>
      </w:tr>
      <w:tr>
        <w:tc>
          <w:tcPr>
            <w:tcW w:type="dxa" w:w="2000"/>
            <w:tcBorders>
              <w:top w:val="single" w:color="B7CBEA" w:sz="6"/>
              <w:left w:val="single" w:color="B7CBEA" w:sz="6"/>
              <w:bottom w:val="single" w:color="B7CBEA" w:sz="6"/>
              <w:right w:val="single" w:color="B7CBEA" w:sz="6"/>
            </w:tcBorders>
            <w:tcMar>
              <w:top w:type="dxa" w:w="90"/>
              <w:left w:type="dxa" w:w="110"/>
              <w:bottom w:type="dxa" w:w="90"/>
              <w:right w:type="dxa" w:w="110"/>
            </w:tcMar>
          </w:tcPr>
          <w:p>
            <w:pPr>
              <w:spacing w:after="0" w:before="0" w:line="230"/>
            </w:pPr>
            <w:r>
              <w:rPr>
                <w:rFonts w:ascii="Aptos" w:cs="Aptos" w:eastAsia="Aptos" w:hAnsi="Aptos"/>
                <w:b w:val="false"/>
                <w:bCs w:val="false"/>
                <w:i w:val="false"/>
                <w:iCs w:val="false"/>
                <w:color w:val="16335D"/>
                <w:sz w:val="18"/>
                <w:szCs w:val="18"/>
              </w:rPr>
              <w:t xml:space="preserve">Case and alert rows</w:t>
            </w:r>
          </w:p>
        </w:tc>
        <w:tc>
          <w:tcPr>
            <w:tcW w:type="dxa" w:w="3700"/>
            <w:tcBorders>
              <w:top w:val="single" w:color="B7CBEA" w:sz="6"/>
              <w:left w:val="single" w:color="B7CBEA" w:sz="6"/>
              <w:bottom w:val="single" w:color="B7CBEA" w:sz="6"/>
              <w:right w:val="single" w:color="B7CBEA" w:sz="6"/>
            </w:tcBorders>
            <w:tcMar>
              <w:top w:type="dxa" w:w="90"/>
              <w:left w:type="dxa" w:w="110"/>
              <w:bottom w:type="dxa" w:w="90"/>
              <w:right w:type="dxa" w:w="110"/>
            </w:tcMar>
          </w:tcPr>
          <w:p>
            <w:pPr>
              <w:spacing w:after="0" w:before="0" w:line="230"/>
            </w:pPr>
            <w:r>
              <w:rPr>
                <w:rFonts w:ascii="Aptos" w:cs="Aptos" w:eastAsia="Aptos" w:hAnsi="Aptos"/>
                <w:b w:val="false"/>
                <w:bCs w:val="false"/>
                <w:i w:val="false"/>
                <w:iCs w:val="false"/>
                <w:color w:val="16335D"/>
                <w:sz w:val="18"/>
                <w:szCs w:val="18"/>
              </w:rPr>
              <w:t xml:space="preserve">Fictional case ID, customer label, status, severity, rules, and scenario.</w:t>
            </w:r>
          </w:p>
        </w:tc>
        <w:tc>
          <w:tcPr>
            <w:tcW w:type="dxa" w:w="3660"/>
            <w:tcBorders>
              <w:top w:val="single" w:color="B7CBEA" w:sz="6"/>
              <w:left w:val="single" w:color="B7CBEA" w:sz="6"/>
              <w:bottom w:val="single" w:color="B7CBEA" w:sz="6"/>
              <w:right w:val="single" w:color="B7CBEA" w:sz="6"/>
            </w:tcBorders>
            <w:tcMar>
              <w:top w:type="dxa" w:w="90"/>
              <w:left w:type="dxa" w:w="110"/>
              <w:bottom w:type="dxa" w:w="90"/>
              <w:right w:type="dxa" w:w="110"/>
            </w:tcMar>
          </w:tcPr>
          <w:p>
            <w:pPr>
              <w:spacing w:after="0" w:before="0" w:line="230"/>
            </w:pPr>
            <w:r>
              <w:rPr>
                <w:rFonts w:ascii="Aptos" w:cs="Aptos" w:eastAsia="Aptos" w:hAnsi="Aptos"/>
                <w:b w:val="false"/>
                <w:bCs w:val="false"/>
                <w:i w:val="false"/>
                <w:iCs w:val="false"/>
                <w:color w:val="16335D"/>
                <w:sz w:val="18"/>
                <w:szCs w:val="18"/>
              </w:rPr>
              <w:t xml:space="preserve">Drives Case Queue filters and determines the active case context.</w:t>
            </w:r>
          </w:p>
        </w:tc>
      </w:tr>
      <w:tr>
        <w:tc>
          <w:tcPr>
            <w:tcW w:type="dxa" w:w="2000"/>
            <w:tcBorders>
              <w:top w:val="single" w:color="B7CBEA" w:sz="6"/>
              <w:left w:val="single" w:color="B7CBEA" w:sz="6"/>
              <w:bottom w:val="single" w:color="B7CBEA" w:sz="6"/>
              <w:right w:val="single" w:color="B7CBEA" w:sz="6"/>
            </w:tcBorders>
            <w:tcMar>
              <w:top w:type="dxa" w:w="90"/>
              <w:left w:type="dxa" w:w="110"/>
              <w:bottom w:type="dxa" w:w="90"/>
              <w:right w:type="dxa" w:w="110"/>
            </w:tcMar>
          </w:tcPr>
          <w:p>
            <w:pPr>
              <w:spacing w:after="0" w:before="0" w:line="230"/>
            </w:pPr>
            <w:r>
              <w:rPr>
                <w:rFonts w:ascii="Aptos" w:cs="Aptos" w:eastAsia="Aptos" w:hAnsi="Aptos"/>
                <w:b w:val="false"/>
                <w:bCs w:val="false"/>
                <w:i w:val="false"/>
                <w:iCs w:val="false"/>
                <w:color w:val="16335D"/>
                <w:sz w:val="18"/>
                <w:szCs w:val="18"/>
              </w:rPr>
              <w:t xml:space="preserve">Case evidence</w:t>
            </w:r>
          </w:p>
        </w:tc>
        <w:tc>
          <w:tcPr>
            <w:tcW w:type="dxa" w:w="3700"/>
            <w:tcBorders>
              <w:top w:val="single" w:color="B7CBEA" w:sz="6"/>
              <w:left w:val="single" w:color="B7CBEA" w:sz="6"/>
              <w:bottom w:val="single" w:color="B7CBEA" w:sz="6"/>
              <w:right w:val="single" w:color="B7CBEA" w:sz="6"/>
            </w:tcBorders>
            <w:tcMar>
              <w:top w:type="dxa" w:w="90"/>
              <w:left w:type="dxa" w:w="110"/>
              <w:bottom w:type="dxa" w:w="90"/>
              <w:right w:type="dxa" w:w="110"/>
            </w:tcMar>
          </w:tcPr>
          <w:p>
            <w:pPr>
              <w:spacing w:after="0" w:before="0" w:line="230"/>
            </w:pPr>
            <w:r>
              <w:rPr>
                <w:rFonts w:ascii="Aptos" w:cs="Aptos" w:eastAsia="Aptos" w:hAnsi="Aptos"/>
                <w:b w:val="false"/>
                <w:bCs w:val="false"/>
                <w:i w:val="false"/>
                <w:iCs w:val="false"/>
                <w:color w:val="16335D"/>
                <w:sz w:val="18"/>
                <w:szCs w:val="18"/>
              </w:rPr>
              <w:t xml:space="preserve">Fictional customer, account, transaction, document, and evidence-gap rows.</w:t>
            </w:r>
          </w:p>
        </w:tc>
        <w:tc>
          <w:tcPr>
            <w:tcW w:type="dxa" w:w="3660"/>
            <w:tcBorders>
              <w:top w:val="single" w:color="B7CBEA" w:sz="6"/>
              <w:left w:val="single" w:color="B7CBEA" w:sz="6"/>
              <w:bottom w:val="single" w:color="B7CBEA" w:sz="6"/>
              <w:right w:val="single" w:color="B7CBEA" w:sz="6"/>
            </w:tcBorders>
            <w:tcMar>
              <w:top w:type="dxa" w:w="90"/>
              <w:left w:type="dxa" w:w="110"/>
              <w:bottom w:type="dxa" w:w="90"/>
              <w:right w:type="dxa" w:w="110"/>
            </w:tcMar>
          </w:tcPr>
          <w:p>
            <w:pPr>
              <w:spacing w:after="0" w:before="0" w:line="230"/>
            </w:pPr>
            <w:r>
              <w:rPr>
                <w:rFonts w:ascii="Aptos" w:cs="Aptos" w:eastAsia="Aptos" w:hAnsi="Aptos"/>
                <w:b w:val="false"/>
                <w:bCs w:val="false"/>
                <w:i w:val="false"/>
                <w:iCs w:val="false"/>
                <w:color w:val="16335D"/>
                <w:sz w:val="18"/>
                <w:szCs w:val="18"/>
              </w:rPr>
              <w:t xml:space="preserve">Supplies the visible report and the supporting / missing-evidence checks.</w:t>
            </w:r>
          </w:p>
        </w:tc>
      </w:tr>
      <w:tr>
        <w:tc>
          <w:tcPr>
            <w:tcW w:type="dxa" w:w="2000"/>
            <w:tcBorders>
              <w:top w:val="single" w:color="B7CBEA" w:sz="6"/>
              <w:left w:val="single" w:color="B7CBEA" w:sz="6"/>
              <w:bottom w:val="single" w:color="B7CBEA" w:sz="6"/>
              <w:right w:val="single" w:color="B7CBEA" w:sz="6"/>
            </w:tcBorders>
            <w:tcMar>
              <w:top w:type="dxa" w:w="90"/>
              <w:left w:type="dxa" w:w="110"/>
              <w:bottom w:type="dxa" w:w="90"/>
              <w:right w:type="dxa" w:w="110"/>
            </w:tcMar>
          </w:tcPr>
          <w:p>
            <w:pPr>
              <w:spacing w:after="0" w:before="0" w:line="230"/>
            </w:pPr>
            <w:r>
              <w:rPr>
                <w:rFonts w:ascii="Aptos" w:cs="Aptos" w:eastAsia="Aptos" w:hAnsi="Aptos"/>
                <w:b w:val="false"/>
                <w:bCs w:val="false"/>
                <w:i w:val="false"/>
                <w:iCs w:val="false"/>
                <w:color w:val="16335D"/>
                <w:sz w:val="18"/>
                <w:szCs w:val="18"/>
              </w:rPr>
              <w:t xml:space="preserve">Knowledge sources</w:t>
            </w:r>
          </w:p>
        </w:tc>
        <w:tc>
          <w:tcPr>
            <w:tcW w:type="dxa" w:w="3700"/>
            <w:tcBorders>
              <w:top w:val="single" w:color="B7CBEA" w:sz="6"/>
              <w:left w:val="single" w:color="B7CBEA" w:sz="6"/>
              <w:bottom w:val="single" w:color="B7CBEA" w:sz="6"/>
              <w:right w:val="single" w:color="B7CBEA" w:sz="6"/>
            </w:tcBorders>
            <w:tcMar>
              <w:top w:type="dxa" w:w="90"/>
              <w:left w:type="dxa" w:w="110"/>
              <w:bottom w:type="dxa" w:w="90"/>
              <w:right w:type="dxa" w:w="110"/>
            </w:tcMar>
          </w:tcPr>
          <w:p>
            <w:pPr>
              <w:spacing w:after="0" w:before="0" w:line="230"/>
            </w:pPr>
            <w:r>
              <w:rPr>
                <w:rFonts w:ascii="Aptos" w:cs="Aptos" w:eastAsia="Aptos" w:hAnsi="Aptos"/>
                <w:b w:val="false"/>
                <w:bCs w:val="false"/>
                <w:i w:val="false"/>
                <w:iCs w:val="false"/>
                <w:color w:val="16335D"/>
                <w:sz w:val="18"/>
                <w:szCs w:val="18"/>
              </w:rPr>
              <w:t xml:space="preserve">OKF source metadata plus chunk text and chunk IDs.</w:t>
            </w:r>
          </w:p>
        </w:tc>
        <w:tc>
          <w:tcPr>
            <w:tcW w:type="dxa" w:w="3660"/>
            <w:tcBorders>
              <w:top w:val="single" w:color="B7CBEA" w:sz="6"/>
              <w:left w:val="single" w:color="B7CBEA" w:sz="6"/>
              <w:bottom w:val="single" w:color="B7CBEA" w:sz="6"/>
              <w:right w:val="single" w:color="B7CBEA" w:sz="6"/>
            </w:tcBorders>
            <w:tcMar>
              <w:top w:type="dxa" w:w="90"/>
              <w:left w:type="dxa" w:w="110"/>
              <w:bottom w:type="dxa" w:w="90"/>
              <w:right w:type="dxa" w:w="110"/>
            </w:tcMar>
          </w:tcPr>
          <w:p>
            <w:pPr>
              <w:spacing w:after="0" w:before="0" w:line="230"/>
            </w:pPr>
            <w:r>
              <w:rPr>
                <w:rFonts w:ascii="Aptos" w:cs="Aptos" w:eastAsia="Aptos" w:hAnsi="Aptos"/>
                <w:b w:val="false"/>
                <w:bCs w:val="false"/>
                <w:i w:val="false"/>
                <w:iCs w:val="false"/>
                <w:color w:val="16335D"/>
                <w:sz w:val="18"/>
                <w:szCs w:val="18"/>
              </w:rPr>
              <w:t xml:space="preserve">Feeds Evidence &amp; RAG and scoped keyword retrieval.</w:t>
            </w:r>
          </w:p>
        </w:tc>
      </w:tr>
      <w:tr>
        <w:tc>
          <w:tcPr>
            <w:tcW w:type="dxa" w:w="2000"/>
            <w:tcBorders>
              <w:top w:val="single" w:color="B7CBEA" w:sz="6"/>
              <w:left w:val="single" w:color="B7CBEA" w:sz="6"/>
              <w:bottom w:val="single" w:color="B7CBEA" w:sz="6"/>
              <w:right w:val="single" w:color="B7CBEA" w:sz="6"/>
            </w:tcBorders>
            <w:tcMar>
              <w:top w:type="dxa" w:w="90"/>
              <w:left w:type="dxa" w:w="110"/>
              <w:bottom w:type="dxa" w:w="90"/>
              <w:right w:type="dxa" w:w="110"/>
            </w:tcMar>
          </w:tcPr>
          <w:p>
            <w:pPr>
              <w:spacing w:after="0" w:before="0" w:line="230"/>
            </w:pPr>
            <w:r>
              <w:rPr>
                <w:rFonts w:ascii="Aptos" w:cs="Aptos" w:eastAsia="Aptos" w:hAnsi="Aptos"/>
                <w:b w:val="false"/>
                <w:bCs w:val="false"/>
                <w:i w:val="false"/>
                <w:iCs w:val="false"/>
                <w:color w:val="16335D"/>
                <w:sz w:val="18"/>
                <w:szCs w:val="18"/>
              </w:rPr>
              <w:t xml:space="preserve">Audit actions</w:t>
            </w:r>
          </w:p>
        </w:tc>
        <w:tc>
          <w:tcPr>
            <w:tcW w:type="dxa" w:w="3700"/>
            <w:tcBorders>
              <w:top w:val="single" w:color="B7CBEA" w:sz="6"/>
              <w:left w:val="single" w:color="B7CBEA" w:sz="6"/>
              <w:bottom w:val="single" w:color="B7CBEA" w:sz="6"/>
              <w:right w:val="single" w:color="B7CBEA" w:sz="6"/>
            </w:tcBorders>
            <w:tcMar>
              <w:top w:type="dxa" w:w="90"/>
              <w:left w:type="dxa" w:w="110"/>
              <w:bottom w:type="dxa" w:w="90"/>
              <w:right w:type="dxa" w:w="110"/>
            </w:tcMar>
          </w:tcPr>
          <w:p>
            <w:pPr>
              <w:spacing w:after="0" w:before="0" w:line="230"/>
            </w:pPr>
            <w:r>
              <w:rPr>
                <w:rFonts w:ascii="Aptos" w:cs="Aptos" w:eastAsia="Aptos" w:hAnsi="Aptos"/>
                <w:b w:val="false"/>
                <w:bCs w:val="false"/>
                <w:i w:val="false"/>
                <w:iCs w:val="false"/>
                <w:color w:val="16335D"/>
                <w:sz w:val="18"/>
                <w:szCs w:val="18"/>
              </w:rPr>
              <w:t xml:space="preserve">Named human action, rationale, timestamp, and preceding workflow state.</w:t>
            </w:r>
          </w:p>
        </w:tc>
        <w:tc>
          <w:tcPr>
            <w:tcW w:type="dxa" w:w="3660"/>
            <w:tcBorders>
              <w:top w:val="single" w:color="B7CBEA" w:sz="6"/>
              <w:left w:val="single" w:color="B7CBEA" w:sz="6"/>
              <w:bottom w:val="single" w:color="B7CBEA" w:sz="6"/>
              <w:right w:val="single" w:color="B7CBEA" w:sz="6"/>
            </w:tcBorders>
            <w:tcMar>
              <w:top w:type="dxa" w:w="90"/>
              <w:left w:type="dxa" w:w="110"/>
              <w:bottom w:type="dxa" w:w="90"/>
              <w:right w:type="dxa" w:w="110"/>
            </w:tcMar>
          </w:tcPr>
          <w:p>
            <w:pPr>
              <w:spacing w:after="0" w:before="0" w:line="230"/>
            </w:pPr>
            <w:r>
              <w:rPr>
                <w:rFonts w:ascii="Aptos" w:cs="Aptos" w:eastAsia="Aptos" w:hAnsi="Aptos"/>
                <w:b w:val="false"/>
                <w:bCs w:val="false"/>
                <w:i w:val="false"/>
                <w:iCs w:val="false"/>
                <w:color w:val="16335D"/>
                <w:sz w:val="18"/>
                <w:szCs w:val="18"/>
              </w:rPr>
              <w:t xml:space="preserve">Creates the recorded decision state and Compliance history.</w:t>
            </w:r>
          </w:p>
        </w:tc>
      </w:tr>
    </w:tbl>
    <w:p>
      <w:pPr>
        <w:spacing w:after="140" w:before="0" w:line="276"/>
      </w:pPr>
      <w:r>
        <w:rPr>
          <w:rFonts w:ascii="Aptos" w:cs="Aptos" w:eastAsia="Aptos" w:hAnsi="Aptos"/>
          <w:b w:val="false"/>
          <w:bCs w:val="false"/>
          <w:i w:val="false"/>
          <w:iCs w:val="false"/>
          <w:color w:val="16335D"/>
          <w:sz w:val="21"/>
          <w:szCs w:val="21"/>
        </w:rPr>
        <w:t xml:space="preserve">Every relevant query carries the active case ID or source scope. That prevents a case report from silently borrowing a different case’s row or a citation from a non-retrieved source.</w:t>
      </w:r>
    </w:p>
    <w:p>
      <w:pPr>
        <w:shd w:fill="EAF2FF" w:color="EAF2FF" w:val="clear"/>
        <w:spacing w:after="0" w:before="0" w:line="230"/>
        <w:ind w:left="220" w:right="220"/>
      </w:pPr>
      <w:r>
        <w:rPr>
          <w:rFonts w:ascii="Consolas" w:cs="Consolas" w:eastAsia="Consolas" w:hAnsi="Consolas"/>
          <w:color w:val="17365D"/>
          <w:sz w:val="17"/>
          <w:szCs w:val="17"/>
        </w:rPr>
        <w:t xml:space="preserve">case_rows = load_case_rows(active_case_id)</w:t>
      </w:r>
    </w:p>
    <w:p>
      <w:pPr>
        <w:shd w:fill="EAF2FF" w:color="EAF2FF" w:val="clear"/>
        <w:spacing w:after="0" w:before="0" w:line="230"/>
        <w:ind w:left="220" w:right="220"/>
      </w:pPr>
      <w:r>
        <w:rPr>
          <w:rFonts w:ascii="Consolas" w:cs="Consolas" w:eastAsia="Consolas" w:hAnsi="Consolas"/>
          <w:color w:val="17365D"/>
          <w:sz w:val="17"/>
          <w:szCs w:val="17"/>
        </w:rPr>
        <w:t xml:space="preserve">guidance = search_chunks(question, scenario=case.scenario, case_id=active_case_id)</w:t>
      </w:r>
    </w:p>
    <w:p>
      <w:pPr>
        <w:pStyle w:val="Heading2"/>
        <w:spacing w:after="130" w:before="210"/>
      </w:pPr>
      <w:r>
        <w:t xml:space="preserve">10.3 OKF ingestion and chunk construction</w:t>
      </w:r>
    </w:p>
    <w:p>
      <w:pPr>
        <w:spacing w:after="140" w:before="0" w:line="276"/>
      </w:pPr>
      <w:r>
        <w:rPr>
          <w:rFonts w:ascii="Aptos" w:cs="Aptos" w:eastAsia="Aptos" w:hAnsi="Aptos"/>
          <w:b w:val="false"/>
          <w:bCs w:val="false"/>
          <w:i w:val="false"/>
          <w:iCs w:val="false"/>
          <w:color w:val="16335D"/>
          <w:sz w:val="21"/>
          <w:szCs w:val="21"/>
        </w:rPr>
        <w:t xml:space="preserve">OKF means Open Knowledge Format in this product: a human-readable synthetic source record with stable metadata such as source ID, scenario, title, escalation criteria, version, and body text. The ingestion builder retains that metadata in a dedicated C0 chunk, then divides the body into reviewable groups of approximately two sentences. Chunk IDs preserve the parent source relationship, so a reviewer can move from a result back to the original source.</w:t>
      </w:r>
    </w:p>
    <w:p>
      <w:pPr>
        <w:shd w:fill="EAF2FF" w:color="EAF2FF" w:val="clear"/>
        <w:spacing w:after="0" w:before="0" w:line="230"/>
        <w:ind w:left="220" w:right="220"/>
      </w:pPr>
      <w:r>
        <w:rPr>
          <w:rFonts w:ascii="Consolas" w:cs="Consolas" w:eastAsia="Consolas" w:hAnsi="Consolas"/>
          <w:color w:val="17365D"/>
          <w:sz w:val="17"/>
          <w:szCs w:val="17"/>
        </w:rPr>
        <w:t xml:space="preserve">okf_source = {source_id, scenario, title, criteria, version, body}</w:t>
      </w:r>
    </w:p>
    <w:p>
      <w:pPr>
        <w:shd w:fill="EAF2FF" w:color="EAF2FF" w:val="clear"/>
        <w:spacing w:after="0" w:before="0" w:line="230"/>
        <w:ind w:left="220" w:right="220"/>
      </w:pPr>
      <w:r>
        <w:rPr>
          <w:rFonts w:ascii="Consolas" w:cs="Consolas" w:eastAsia="Consolas" w:hAnsi="Consolas"/>
          <w:color w:val="17365D"/>
          <w:sz w:val="17"/>
          <w:szCs w:val="17"/>
        </w:rPr>
        <w:t xml:space="preserve">chunks = [metadata_chunk(okf_source)] + two_sentence_chunks(okf_source.body)</w:t>
      </w:r>
    </w:p>
    <w:p>
      <w:pPr>
        <w:shd w:fill="EAF2FF" w:color="EAF2FF" w:val="clear"/>
        <w:spacing w:after="0" w:before="0" w:line="230"/>
        <w:ind w:left="220" w:right="220"/>
      </w:pPr>
      <w:r>
        <w:rPr>
          <w:rFonts w:ascii="Consolas" w:cs="Consolas" w:eastAsia="Consolas" w:hAnsi="Consolas"/>
          <w:color w:val="17365D"/>
          <w:sz w:val="17"/>
          <w:szCs w:val="17"/>
        </w:rPr>
        <w:t xml:space="preserve">save_chunk(chunk_id, source_id, scenario, chunk_text, chunk_type)</w:t>
      </w:r>
    </w:p>
    <w:p>
      <w:pPr>
        <w:pStyle w:val="Heading2"/>
        <w:spacing w:after="130" w:before="210"/>
      </w:pPr>
      <w:r>
        <w:t xml:space="preserve">10.4 RAG retrieval, citation, and review</w:t>
      </w:r>
    </w:p>
    <w:p>
      <w:pPr>
        <w:spacing w:after="140" w:before="0" w:line="276"/>
      </w:pPr>
      <w:r>
        <w:rPr>
          <w:rFonts w:ascii="Aptos" w:cs="Aptos" w:eastAsia="Aptos" w:hAnsi="Aptos"/>
          <w:b w:val="false"/>
          <w:bCs w:val="false"/>
          <w:i w:val="false"/>
          <w:iCs w:val="false"/>
          <w:color w:val="16335D"/>
          <w:sz w:val="21"/>
          <w:szCs w:val="21"/>
        </w:rPr>
        <w:t xml:space="preserve">RAG means retrieval-augmented generation. InvestigateIQ uses a deliberately narrow implementation: it retrieves stored text first, ranks it with SQLite FTS5 and BM25, provides the resulting chunk IDs as context, and then displays citations that can be opened by a person. The product does not treat retrieval as verification, and it does not use a citation from outside the retrieved set.</w:t>
      </w:r>
    </w:p>
    <w:p>
      <w:pPr>
        <w:shd w:fill="EAF2FF" w:color="EAF2FF" w:val="clear"/>
        <w:spacing w:after="0" w:before="0" w:line="230"/>
        <w:ind w:left="220" w:right="220"/>
      </w:pPr>
      <w:r>
        <w:rPr>
          <w:rFonts w:ascii="Consolas" w:cs="Consolas" w:eastAsia="Consolas" w:hAnsi="Consolas"/>
          <w:color w:val="17365D"/>
          <w:sz w:val="17"/>
          <w:szCs w:val="17"/>
        </w:rPr>
        <w:t xml:space="preserve">matches = fts5_search(query_terms, scope=scenario_or_case)</w:t>
      </w:r>
    </w:p>
    <w:p>
      <w:pPr>
        <w:shd w:fill="EAF2FF" w:color="EAF2FF" w:val="clear"/>
        <w:spacing w:after="0" w:before="0" w:line="230"/>
        <w:ind w:left="220" w:right="220"/>
      </w:pPr>
      <w:r>
        <w:rPr>
          <w:rFonts w:ascii="Consolas" w:cs="Consolas" w:eastAsia="Consolas" w:hAnsi="Consolas"/>
          <w:color w:val="17365D"/>
          <w:sz w:val="17"/>
          <w:szCs w:val="17"/>
        </w:rPr>
        <w:t xml:space="preserve">ranked = bm25_rank(matches); context = top_chunks(ranked)</w:t>
      </w:r>
    </w:p>
    <w:p>
      <w:pPr>
        <w:shd w:fill="EAF2FF" w:color="EAF2FF" w:val="clear"/>
        <w:spacing w:after="0" w:before="0" w:line="230"/>
        <w:ind w:left="220" w:right="220"/>
      </w:pPr>
      <w:r>
        <w:rPr>
          <w:rFonts w:ascii="Consolas" w:cs="Consolas" w:eastAsia="Consolas" w:hAnsi="Consolas"/>
          <w:color w:val="17365D"/>
          <w:sz w:val="17"/>
          <w:szCs w:val="17"/>
        </w:rPr>
        <w:t xml:space="preserve">answer = build_bounded_answer(question, case_rows, context)</w:t>
      </w:r>
    </w:p>
    <w:p>
      <w:pPr>
        <w:shd w:fill="EAF2FF" w:color="EAF2FF" w:val="clear"/>
        <w:spacing w:after="0" w:before="0" w:line="230"/>
        <w:ind w:left="220" w:right="220"/>
      </w:pPr>
      <w:r>
        <w:rPr>
          <w:rFonts w:ascii="Consolas" w:cs="Consolas" w:eastAsia="Consolas" w:hAnsi="Consolas"/>
          <w:color w:val="17365D"/>
          <w:sz w:val="17"/>
          <w:szCs w:val="17"/>
        </w:rPr>
        <w:t xml:space="preserve">assert set(answer.cited_chunk_ids).issubset(set(context.chunk_ids))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CBEA" w:sz="6"/>
              <w:left w:val="single" w:color="0B8C88" w:sz="6"/>
              <w:bottom w:val="single" w:color="B7CBEA" w:sz="6"/>
              <w:right w:val="single" w:color="0B8C88" w:sz="6"/>
            </w:tcBorders>
            <w:shd w:fill="F4F8FF" w:color="F4F8FF" w:val="clear"/>
            <w:tcMar>
              <w:top w:type="dxa" w:w="130"/>
              <w:left w:type="dxa" w:w="180"/>
              <w:bottom w:type="dxa" w:w="130"/>
              <w:right w:type="dxa" w:w="180"/>
            </w:tcMar>
          </w:tcPr>
          <w:p>
            <w:pPr>
              <w:spacing w:after="45" w:before="0" w:line="276"/>
            </w:pPr>
            <w:r>
              <w:rPr>
                <w:rFonts w:ascii="Aptos" w:cs="Aptos" w:eastAsia="Aptos" w:hAnsi="Aptos"/>
                <w:b/>
                <w:bCs/>
                <w:i w:val="false"/>
                <w:iCs w:val="false"/>
                <w:color w:val="0B8C88"/>
                <w:sz w:val="20"/>
                <w:szCs w:val="20"/>
              </w:rPr>
              <w:t xml:space="preserve">Why FTS5 and BM25 are shown</w:t>
            </w:r>
          </w:p>
          <w:p>
            <w:pPr>
              <w:spacing w:after="0" w:before="0" w:line="254"/>
            </w:pPr>
            <w:r>
              <w:rPr>
                <w:rFonts w:ascii="Aptos" w:cs="Aptos" w:eastAsia="Aptos" w:hAnsi="Aptos"/>
                <w:b w:val="false"/>
                <w:bCs w:val="false"/>
                <w:i w:val="false"/>
                <w:iCs w:val="false"/>
                <w:color w:val="16335D"/>
                <w:sz w:val="19"/>
                <w:szCs w:val="19"/>
              </w:rPr>
              <w:t xml:space="preserve">FTS5 performs full-text keyword matching inside the local SQLite index. BM25 orders the matching passages by textual relevance. They help the user locate material; they do not measure truth, legal relevance, or the probability that an alert represents wrongdoing.</w:t>
            </w:r>
          </w:p>
        </w:tc>
      </w:tr>
    </w:tbl>
    <w:p>
      <w:pPr>
        <w:pStyle w:val="Heading2"/>
        <w:spacing w:after="130" w:before="210"/>
      </w:pPr>
      <w:r>
        <w:t xml:space="preserve">10.5 Report modes and evidence confidence</w:t>
      </w:r>
    </w:p>
    <w:p>
      <w:pPr>
        <w:spacing w:after="140" w:before="0" w:line="276"/>
      </w:pPr>
      <w:r>
        <w:rPr>
          <w:rFonts w:ascii="Aptos" w:cs="Aptos" w:eastAsia="Aptos" w:hAnsi="Aptos"/>
          <w:b w:val="false"/>
          <w:bCs w:val="false"/>
          <w:i w:val="false"/>
          <w:iCs w:val="false"/>
          <w:color w:val="16335D"/>
          <w:sz w:val="21"/>
          <w:szCs w:val="21"/>
        </w:rPr>
        <w:t xml:space="preserve">The Workspace labels whether a report was replayed from a saved snapshot, calculated from current fictional rows, or drafted by an optional AI configuration. After a report exists, deterministic support and limitation checks calculate the evidence-confidence card. The display deliberately pairs the score with support label, known limitations, explanation, and a human-review instruction.</w:t>
      </w:r>
    </w:p>
    <w:p>
      <w:pPr>
        <w:shd w:fill="EAF2FF" w:color="EAF2FF" w:val="clear"/>
        <w:spacing w:after="0" w:before="0" w:line="230"/>
        <w:ind w:left="220" w:right="220"/>
      </w:pPr>
      <w:r>
        <w:rPr>
          <w:rFonts w:ascii="Consolas" w:cs="Consolas" w:eastAsia="Consolas" w:hAnsi="Consolas"/>
          <w:color w:val="17365D"/>
          <w:sz w:val="17"/>
          <w:szCs w:val="17"/>
        </w:rPr>
        <w:t xml:space="preserve">report = load_saved_snapshot(case_id)  # or calculate_from_rows(case_rows)</w:t>
      </w:r>
    </w:p>
    <w:p>
      <w:pPr>
        <w:shd w:fill="EAF2FF" w:color="EAF2FF" w:val="clear"/>
        <w:spacing w:after="0" w:before="0" w:line="230"/>
        <w:ind w:left="220" w:right="220"/>
      </w:pPr>
      <w:r>
        <w:rPr>
          <w:rFonts w:ascii="Consolas" w:cs="Consolas" w:eastAsia="Consolas" w:hAnsi="Consolas"/>
          <w:color w:val="17365D"/>
          <w:sz w:val="17"/>
          <w:szCs w:val="17"/>
        </w:rPr>
        <w:t xml:space="preserve">confidence = calculate_evidence_confidence(report, evidence, guidance)</w:t>
      </w:r>
    </w:p>
    <w:p>
      <w:pPr>
        <w:shd w:fill="EAF2FF" w:color="EAF2FF" w:val="clear"/>
        <w:spacing w:after="0" w:before="0" w:line="230"/>
        <w:ind w:left="220" w:right="220"/>
      </w:pPr>
      <w:r>
        <w:rPr>
          <w:rFonts w:ascii="Consolas" w:cs="Consolas" w:eastAsia="Consolas" w:hAnsi="Consolas"/>
          <w:color w:val="17365D"/>
          <w:sz w:val="17"/>
          <w:szCs w:val="17"/>
        </w:rPr>
        <w:t xml:space="preserve">show(score, support_label, limitations, 'Human review required')</w:t>
      </w:r>
    </w:p>
    <w:p>
      <w:pPr>
        <w:pStyle w:val="Heading2"/>
        <w:spacing w:after="130" w:before="210"/>
      </w:pPr>
      <w:r>
        <w:t xml:space="preserve">10.6 Human and Compliance state machine</w:t>
      </w:r>
    </w:p>
    <w:p>
      <w:pPr>
        <w:spacing w:after="140" w:before="0" w:line="276"/>
      </w:pPr>
      <w:r>
        <w:rPr>
          <w:rFonts w:ascii="Aptos" w:cs="Aptos" w:eastAsia="Aptos" w:hAnsi="Aptos"/>
          <w:b w:val="false"/>
          <w:bCs w:val="false"/>
          <w:i w:val="false"/>
          <w:iCs w:val="false"/>
          <w:color w:val="16335D"/>
          <w:sz w:val="21"/>
          <w:szCs w:val="21"/>
        </w:rPr>
        <w:t xml:space="preserve">A decision is only persisted after the named person selects an allowed action and provides a rationale. The system appends a new audit event rather than editing an old one. The primary form then renders its recorded state. If Compliance returns the case, the next permitted investigator action becomes available as a new auditable step; the original action remains visible.</w:t>
      </w:r>
    </w:p>
    <w:p>
      <w:pPr>
        <w:shd w:fill="EAF2FF" w:color="EAF2FF" w:val="clear"/>
        <w:spacing w:after="0" w:before="0" w:line="230"/>
        <w:ind w:left="220" w:right="220"/>
      </w:pPr>
      <w:r>
        <w:rPr>
          <w:rFonts w:ascii="Consolas" w:cs="Consolas" w:eastAsia="Consolas" w:hAnsi="Consolas"/>
          <w:color w:val="17365D"/>
          <w:sz w:val="17"/>
          <w:szCs w:val="17"/>
        </w:rPr>
        <w:t xml:space="preserve">if decision_allowed(case_id): require(name and rationale); append_action(...)</w:t>
      </w:r>
    </w:p>
    <w:p>
      <w:pPr>
        <w:shd w:fill="EAF2FF" w:color="EAF2FF" w:val="clear"/>
        <w:spacing w:after="0" w:before="0" w:line="230"/>
        <w:ind w:left="220" w:right="220"/>
      </w:pPr>
      <w:r>
        <w:rPr>
          <w:rFonts w:ascii="Consolas" w:cs="Consolas" w:eastAsia="Consolas" w:hAnsi="Consolas"/>
          <w:color w:val="17365D"/>
          <w:sz w:val="17"/>
          <w:szCs w:val="17"/>
        </w:rPr>
        <w:t xml:space="preserve">else: render_recorded_state_and_disable_form()</w:t>
      </w:r>
    </w:p>
    <w:p>
      <w:pPr>
        <w:shd w:fill="EAF2FF" w:color="EAF2FF" w:val="clear"/>
        <w:spacing w:after="0" w:before="0" w:line="230"/>
        <w:ind w:left="220" w:right="220"/>
      </w:pPr>
      <w:r>
        <w:rPr>
          <w:rFonts w:ascii="Consolas" w:cs="Consolas" w:eastAsia="Consolas" w:hAnsi="Consolas"/>
          <w:color w:val="17365D"/>
          <w:sz w:val="17"/>
          <w:szCs w:val="17"/>
        </w:rPr>
        <w:t xml:space="preserve">if compliance_action == 'return': set_queue_state('information needed')</w:t>
      </w:r>
    </w:p>
    <w:p>
      <w:pPr>
        <w:pStyle w:val="Heading2"/>
        <w:spacing w:after="130" w:before="210"/>
      </w:pPr>
      <w:r>
        <w:t xml:space="preserve">10.7 UI, tests, and release wiring</w:t>
      </w:r>
    </w:p>
    <w:p>
      <w:pPr>
        <w:spacing w:after="140" w:before="0" w:line="276"/>
      </w:pPr>
      <w:r>
        <w:rPr>
          <w:rFonts w:ascii="Aptos" w:cs="Aptos" w:eastAsia="Aptos" w:hAnsi="Aptos"/>
          <w:b w:val="false"/>
          <w:bCs w:val="false"/>
          <w:i w:val="false"/>
          <w:iCs w:val="false"/>
          <w:color w:val="16335D"/>
          <w:sz w:val="21"/>
          <w:szCs w:val="21"/>
        </w:rPr>
        <w:t xml:space="preserve">Shared UI helpers keep page banners, compact workflow flows, badges, tooltip treatments, theme colors, and the floating Copilot consistent. Local checks exercise the changed path before release; the repository’s intended changes are committed and pushed; Railway serves the selected main-branch revision. The deployed product is then checked by visiting the affected page rather than relying only on a successful build log.</w:t>
      </w:r>
    </w:p>
    <w:p>
      <w:pPr>
        <w:shd w:fill="EAF2FF" w:color="EAF2FF" w:val="clear"/>
        <w:spacing w:after="0" w:before="0" w:line="230"/>
        <w:ind w:left="220" w:right="220"/>
      </w:pPr>
      <w:r>
        <w:rPr>
          <w:rFonts w:ascii="Consolas" w:cs="Consolas" w:eastAsia="Consolas" w:hAnsi="Consolas"/>
          <w:color w:val="17365D"/>
          <w:sz w:val="17"/>
          <w:szCs w:val="17"/>
        </w:rPr>
        <w:t xml:space="preserve">render_page_banner(...); render_compact_flow(...); render_tooltip(...)</w:t>
      </w:r>
    </w:p>
    <w:p>
      <w:pPr>
        <w:shd w:fill="EAF2FF" w:color="EAF2FF" w:val="clear"/>
        <w:spacing w:after="0" w:before="0" w:line="230"/>
        <w:ind w:left="220" w:right="220"/>
      </w:pPr>
      <w:r>
        <w:rPr>
          <w:rFonts w:ascii="Consolas" w:cs="Consolas" w:eastAsia="Consolas" w:hAnsi="Consolas"/>
          <w:color w:val="17365D"/>
          <w:sz w:val="17"/>
          <w:szCs w:val="17"/>
        </w:rPr>
        <w:t xml:space="preserve">local_test_changed_path()  →  git push main  →  Railway health/page verification</w:t>
      </w:r>
    </w:p>
    <w:p>
      <w:r>
        <w:br w:type="page"/>
      </w:r>
    </w:p>
    <w:p>
      <w:pPr>
        <w:pStyle w:val="Heading1"/>
        <w:spacing w:after="130" w:before="300"/>
      </w:pPr>
      <w:r>
        <w:t xml:space="preserve">11. Testing, deployment, and operational checklist</w:t>
      </w:r>
    </w:p>
    <w:p>
      <w:pPr>
        <w:spacing w:after="140" w:before="0" w:line="276"/>
      </w:pPr>
      <w:r>
        <w:rPr>
          <w:rFonts w:ascii="Aptos" w:cs="Aptos" w:eastAsia="Aptos" w:hAnsi="Aptos"/>
          <w:b w:val="false"/>
          <w:bCs w:val="false"/>
          <w:i w:val="false"/>
          <w:iCs w:val="false"/>
          <w:color w:val="16335D"/>
          <w:sz w:val="21"/>
          <w:szCs w:val="21"/>
        </w:rPr>
        <w:t xml:space="preserve">The blueprint assumes local validation before release and a clear separation between read-only demonstration actions and persistent workflow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B7CBEA" w:sz="6"/>
              <w:left w:val="single" w:color="B7CBEA" w:sz="6"/>
              <w:bottom w:val="single" w:color="B7CBEA" w:sz="6"/>
              <w:right w:val="single" w:color="B7CBEA" w:sz="6"/>
            </w:tcBorders>
            <w:shd w:fill="16335D" w:color="16335D" w:val="clear"/>
            <w:tcMar>
              <w:top w:type="dxa" w:w="90"/>
              <w:left w:type="dxa" w:w="110"/>
              <w:bottom w:type="dxa" w:w="90"/>
              <w:right w:type="dxa" w:w="110"/>
            </w:tcMar>
          </w:tcPr>
          <w:p>
            <w:pPr>
              <w:spacing w:after="0" w:before="0" w:line="230"/>
            </w:pPr>
            <w:r>
              <w:rPr>
                <w:rFonts w:ascii="Aptos" w:cs="Aptos" w:eastAsia="Aptos" w:hAnsi="Aptos"/>
                <w:b/>
                <w:bCs/>
                <w:i w:val="false"/>
                <w:iCs w:val="false"/>
                <w:color w:val="FFFFFF"/>
                <w:sz w:val="18"/>
                <w:szCs w:val="18"/>
              </w:rPr>
              <w:t xml:space="preserve">Check</w:t>
            </w:r>
          </w:p>
        </w:tc>
        <w:tc>
          <w:tcPr>
            <w:tcW w:type="dxa" w:w="7060"/>
            <w:tcBorders>
              <w:top w:val="single" w:color="B7CBEA" w:sz="6"/>
              <w:left w:val="single" w:color="B7CBEA" w:sz="6"/>
              <w:bottom w:val="single" w:color="B7CBEA" w:sz="6"/>
              <w:right w:val="single" w:color="B7CBEA" w:sz="6"/>
            </w:tcBorders>
            <w:shd w:fill="16335D" w:color="16335D" w:val="clear"/>
            <w:tcMar>
              <w:top w:type="dxa" w:w="90"/>
              <w:left w:type="dxa" w:w="110"/>
              <w:bottom w:type="dxa" w:w="90"/>
              <w:right w:type="dxa" w:w="110"/>
            </w:tcMar>
          </w:tcPr>
          <w:p>
            <w:pPr>
              <w:spacing w:after="0" w:before="0" w:line="230"/>
            </w:pPr>
            <w:r>
              <w:rPr>
                <w:rFonts w:ascii="Aptos" w:cs="Aptos" w:eastAsia="Aptos" w:hAnsi="Aptos"/>
                <w:b/>
                <w:bCs/>
                <w:i w:val="false"/>
                <w:iCs w:val="false"/>
                <w:color w:val="FFFFFF"/>
                <w:sz w:val="18"/>
                <w:szCs w:val="18"/>
              </w:rPr>
              <w:t xml:space="preserve">Expected result</w:t>
            </w:r>
          </w:p>
        </w:tc>
      </w:tr>
      <w:tr>
        <w:tc>
          <w:tcPr>
            <w:tcW w:type="dxa" w:w="2300"/>
            <w:tcBorders>
              <w:top w:val="single" w:color="B7CBEA" w:sz="6"/>
              <w:left w:val="single" w:color="B7CBEA" w:sz="6"/>
              <w:bottom w:val="single" w:color="B7CBEA" w:sz="6"/>
              <w:right w:val="single" w:color="B7CBEA" w:sz="6"/>
            </w:tcBorders>
            <w:tcMar>
              <w:top w:type="dxa" w:w="90"/>
              <w:left w:type="dxa" w:w="110"/>
              <w:bottom w:type="dxa" w:w="90"/>
              <w:right w:type="dxa" w:w="110"/>
            </w:tcMar>
          </w:tcPr>
          <w:p>
            <w:pPr>
              <w:spacing w:after="0" w:before="0" w:line="230"/>
            </w:pPr>
            <w:r>
              <w:rPr>
                <w:rFonts w:ascii="Aptos" w:cs="Aptos" w:eastAsia="Aptos" w:hAnsi="Aptos"/>
                <w:b w:val="false"/>
                <w:bCs w:val="false"/>
                <w:i w:val="false"/>
                <w:iCs w:val="false"/>
                <w:color w:val="16335D"/>
                <w:sz w:val="18"/>
                <w:szCs w:val="18"/>
              </w:rPr>
              <w:t xml:space="preserve">UI state</w:t>
            </w:r>
          </w:p>
        </w:tc>
        <w:tc>
          <w:tcPr>
            <w:tcW w:type="dxa" w:w="7060"/>
            <w:tcBorders>
              <w:top w:val="single" w:color="B7CBEA" w:sz="6"/>
              <w:left w:val="single" w:color="B7CBEA" w:sz="6"/>
              <w:bottom w:val="single" w:color="B7CBEA" w:sz="6"/>
              <w:right w:val="single" w:color="B7CBEA" w:sz="6"/>
            </w:tcBorders>
            <w:tcMar>
              <w:top w:type="dxa" w:w="90"/>
              <w:left w:type="dxa" w:w="110"/>
              <w:bottom w:type="dxa" w:w="90"/>
              <w:right w:type="dxa" w:w="110"/>
            </w:tcMar>
          </w:tcPr>
          <w:p>
            <w:pPr>
              <w:spacing w:after="0" w:before="0" w:line="230"/>
            </w:pPr>
            <w:r>
              <w:rPr>
                <w:rFonts w:ascii="Aptos" w:cs="Aptos" w:eastAsia="Aptos" w:hAnsi="Aptos"/>
                <w:b w:val="false"/>
                <w:bCs w:val="false"/>
                <w:i w:val="false"/>
                <w:iCs w:val="false"/>
                <w:color w:val="16335D"/>
                <w:sz w:val="18"/>
                <w:szCs w:val="18"/>
              </w:rPr>
              <w:t xml:space="preserve">Completed human decisions render as recorded and disabled; returned cases allow the next human action.</w:t>
            </w:r>
          </w:p>
        </w:tc>
      </w:tr>
      <w:tr>
        <w:tc>
          <w:tcPr>
            <w:tcW w:type="dxa" w:w="2300"/>
            <w:tcBorders>
              <w:top w:val="single" w:color="B7CBEA" w:sz="6"/>
              <w:left w:val="single" w:color="B7CBEA" w:sz="6"/>
              <w:bottom w:val="single" w:color="B7CBEA" w:sz="6"/>
              <w:right w:val="single" w:color="B7CBEA" w:sz="6"/>
            </w:tcBorders>
            <w:tcMar>
              <w:top w:type="dxa" w:w="90"/>
              <w:left w:type="dxa" w:w="110"/>
              <w:bottom w:type="dxa" w:w="90"/>
              <w:right w:type="dxa" w:w="110"/>
            </w:tcMar>
          </w:tcPr>
          <w:p>
            <w:pPr>
              <w:spacing w:after="0" w:before="0" w:line="230"/>
            </w:pPr>
            <w:r>
              <w:rPr>
                <w:rFonts w:ascii="Aptos" w:cs="Aptos" w:eastAsia="Aptos" w:hAnsi="Aptos"/>
                <w:b w:val="false"/>
                <w:bCs w:val="false"/>
                <w:i w:val="false"/>
                <w:iCs w:val="false"/>
                <w:color w:val="16335D"/>
                <w:sz w:val="18"/>
                <w:szCs w:val="18"/>
              </w:rPr>
              <w:t xml:space="preserve">Evidence trace</w:t>
            </w:r>
          </w:p>
        </w:tc>
        <w:tc>
          <w:tcPr>
            <w:tcW w:type="dxa" w:w="7060"/>
            <w:tcBorders>
              <w:top w:val="single" w:color="B7CBEA" w:sz="6"/>
              <w:left w:val="single" w:color="B7CBEA" w:sz="6"/>
              <w:bottom w:val="single" w:color="B7CBEA" w:sz="6"/>
              <w:right w:val="single" w:color="B7CBEA" w:sz="6"/>
            </w:tcBorders>
            <w:tcMar>
              <w:top w:type="dxa" w:w="90"/>
              <w:left w:type="dxa" w:w="110"/>
              <w:bottom w:type="dxa" w:w="90"/>
              <w:right w:type="dxa" w:w="110"/>
            </w:tcMar>
          </w:tcPr>
          <w:p>
            <w:pPr>
              <w:spacing w:after="0" w:before="0" w:line="230"/>
            </w:pPr>
            <w:r>
              <w:rPr>
                <w:rFonts w:ascii="Aptos" w:cs="Aptos" w:eastAsia="Aptos" w:hAnsi="Aptos"/>
                <w:b w:val="false"/>
                <w:bCs w:val="false"/>
                <w:i w:val="false"/>
                <w:iCs w:val="false"/>
                <w:color w:val="16335D"/>
                <w:sz w:val="18"/>
                <w:szCs w:val="18"/>
              </w:rPr>
              <w:t xml:space="preserve">A cited source or chunk opens to exact stored material with scope and limitation context.</w:t>
            </w:r>
          </w:p>
        </w:tc>
      </w:tr>
      <w:tr>
        <w:tc>
          <w:tcPr>
            <w:tcW w:type="dxa" w:w="2300"/>
            <w:tcBorders>
              <w:top w:val="single" w:color="B7CBEA" w:sz="6"/>
              <w:left w:val="single" w:color="B7CBEA" w:sz="6"/>
              <w:bottom w:val="single" w:color="B7CBEA" w:sz="6"/>
              <w:right w:val="single" w:color="B7CBEA" w:sz="6"/>
            </w:tcBorders>
            <w:tcMar>
              <w:top w:type="dxa" w:w="90"/>
              <w:left w:type="dxa" w:w="110"/>
              <w:bottom w:type="dxa" w:w="90"/>
              <w:right w:type="dxa" w:w="110"/>
            </w:tcMar>
          </w:tcPr>
          <w:p>
            <w:pPr>
              <w:spacing w:after="0" w:before="0" w:line="230"/>
            </w:pPr>
            <w:r>
              <w:rPr>
                <w:rFonts w:ascii="Aptos" w:cs="Aptos" w:eastAsia="Aptos" w:hAnsi="Aptos"/>
                <w:b w:val="false"/>
                <w:bCs w:val="false"/>
                <w:i w:val="false"/>
                <w:iCs w:val="false"/>
                <w:color w:val="16335D"/>
                <w:sz w:val="18"/>
                <w:szCs w:val="18"/>
              </w:rPr>
              <w:t xml:space="preserve">Confidence</w:t>
            </w:r>
          </w:p>
        </w:tc>
        <w:tc>
          <w:tcPr>
            <w:tcW w:type="dxa" w:w="7060"/>
            <w:tcBorders>
              <w:top w:val="single" w:color="B7CBEA" w:sz="6"/>
              <w:left w:val="single" w:color="B7CBEA" w:sz="6"/>
              <w:bottom w:val="single" w:color="B7CBEA" w:sz="6"/>
              <w:right w:val="single" w:color="B7CBEA" w:sz="6"/>
            </w:tcBorders>
            <w:tcMar>
              <w:top w:type="dxa" w:w="90"/>
              <w:left w:type="dxa" w:w="110"/>
              <w:bottom w:type="dxa" w:w="90"/>
              <w:right w:type="dxa" w:w="110"/>
            </w:tcMar>
          </w:tcPr>
          <w:p>
            <w:pPr>
              <w:spacing w:after="0" w:before="0" w:line="230"/>
            </w:pPr>
            <w:r>
              <w:rPr>
                <w:rFonts w:ascii="Aptos" w:cs="Aptos" w:eastAsia="Aptos" w:hAnsi="Aptos"/>
                <w:b w:val="false"/>
                <w:bCs w:val="false"/>
                <w:i w:val="false"/>
                <w:iCs w:val="false"/>
                <w:color w:val="16335D"/>
                <w:sz w:val="18"/>
                <w:szCs w:val="18"/>
              </w:rPr>
              <w:t xml:space="preserve">The score, support label, limitation count, and non-probability disclaimer appear together.</w:t>
            </w:r>
          </w:p>
        </w:tc>
      </w:tr>
      <w:tr>
        <w:tc>
          <w:tcPr>
            <w:tcW w:type="dxa" w:w="2300"/>
            <w:tcBorders>
              <w:top w:val="single" w:color="B7CBEA" w:sz="6"/>
              <w:left w:val="single" w:color="B7CBEA" w:sz="6"/>
              <w:bottom w:val="single" w:color="B7CBEA" w:sz="6"/>
              <w:right w:val="single" w:color="B7CBEA" w:sz="6"/>
            </w:tcBorders>
            <w:tcMar>
              <w:top w:type="dxa" w:w="90"/>
              <w:left w:type="dxa" w:w="110"/>
              <w:bottom w:type="dxa" w:w="90"/>
              <w:right w:type="dxa" w:w="110"/>
            </w:tcMar>
          </w:tcPr>
          <w:p>
            <w:pPr>
              <w:spacing w:after="0" w:before="0" w:line="230"/>
            </w:pPr>
            <w:r>
              <w:rPr>
                <w:rFonts w:ascii="Aptos" w:cs="Aptos" w:eastAsia="Aptos" w:hAnsi="Aptos"/>
                <w:b w:val="false"/>
                <w:bCs w:val="false"/>
                <w:i w:val="false"/>
                <w:iCs w:val="false"/>
                <w:color w:val="16335D"/>
                <w:sz w:val="18"/>
                <w:szCs w:val="18"/>
              </w:rPr>
              <w:t xml:space="preserve">Accessibility/theme</w:t>
            </w:r>
          </w:p>
        </w:tc>
        <w:tc>
          <w:tcPr>
            <w:tcW w:type="dxa" w:w="7060"/>
            <w:tcBorders>
              <w:top w:val="single" w:color="B7CBEA" w:sz="6"/>
              <w:left w:val="single" w:color="B7CBEA" w:sz="6"/>
              <w:bottom w:val="single" w:color="B7CBEA" w:sz="6"/>
              <w:right w:val="single" w:color="B7CBEA" w:sz="6"/>
            </w:tcBorders>
            <w:tcMar>
              <w:top w:type="dxa" w:w="90"/>
              <w:left w:type="dxa" w:w="110"/>
              <w:bottom w:type="dxa" w:w="90"/>
              <w:right w:type="dxa" w:w="110"/>
            </w:tcMar>
          </w:tcPr>
          <w:p>
            <w:pPr>
              <w:spacing w:after="0" w:before="0" w:line="230"/>
            </w:pPr>
            <w:r>
              <w:rPr>
                <w:rFonts w:ascii="Aptos" w:cs="Aptos" w:eastAsia="Aptos" w:hAnsi="Aptos"/>
                <w:b w:val="false"/>
                <w:bCs w:val="false"/>
                <w:i w:val="false"/>
                <w:iCs w:val="false"/>
                <w:color w:val="16335D"/>
                <w:sz w:val="18"/>
                <w:szCs w:val="18"/>
              </w:rPr>
              <w:t xml:space="preserve">Tooltip icons and tab text remain legible in both light and dark modes.</w:t>
            </w:r>
          </w:p>
        </w:tc>
      </w:tr>
      <w:tr>
        <w:tc>
          <w:tcPr>
            <w:tcW w:type="dxa" w:w="2300"/>
            <w:tcBorders>
              <w:top w:val="single" w:color="B7CBEA" w:sz="6"/>
              <w:left w:val="single" w:color="B7CBEA" w:sz="6"/>
              <w:bottom w:val="single" w:color="B7CBEA" w:sz="6"/>
              <w:right w:val="single" w:color="B7CBEA" w:sz="6"/>
            </w:tcBorders>
            <w:tcMar>
              <w:top w:type="dxa" w:w="90"/>
              <w:left w:type="dxa" w:w="110"/>
              <w:bottom w:type="dxa" w:w="90"/>
              <w:right w:type="dxa" w:w="110"/>
            </w:tcMar>
          </w:tcPr>
          <w:p>
            <w:pPr>
              <w:spacing w:after="0" w:before="0" w:line="230"/>
            </w:pPr>
            <w:r>
              <w:rPr>
                <w:rFonts w:ascii="Aptos" w:cs="Aptos" w:eastAsia="Aptos" w:hAnsi="Aptos"/>
                <w:b w:val="false"/>
                <w:bCs w:val="false"/>
                <w:i w:val="false"/>
                <w:iCs w:val="false"/>
                <w:color w:val="16335D"/>
                <w:sz w:val="18"/>
                <w:szCs w:val="18"/>
              </w:rPr>
              <w:t xml:space="preserve">Analytics</w:t>
            </w:r>
          </w:p>
        </w:tc>
        <w:tc>
          <w:tcPr>
            <w:tcW w:type="dxa" w:w="7060"/>
            <w:tcBorders>
              <w:top w:val="single" w:color="B7CBEA" w:sz="6"/>
              <w:left w:val="single" w:color="B7CBEA" w:sz="6"/>
              <w:bottom w:val="single" w:color="B7CBEA" w:sz="6"/>
              <w:right w:val="single" w:color="B7CBEA" w:sz="6"/>
            </w:tcBorders>
            <w:tcMar>
              <w:top w:type="dxa" w:w="90"/>
              <w:left w:type="dxa" w:w="110"/>
              <w:bottom w:type="dxa" w:w="90"/>
              <w:right w:type="dxa" w:w="110"/>
            </w:tcMar>
          </w:tcPr>
          <w:p>
            <w:pPr>
              <w:spacing w:after="0" w:before="0" w:line="230"/>
            </w:pPr>
            <w:r>
              <w:rPr>
                <w:rFonts w:ascii="Aptos" w:cs="Aptos" w:eastAsia="Aptos" w:hAnsi="Aptos"/>
                <w:b w:val="false"/>
                <w:bCs w:val="false"/>
                <w:i w:val="false"/>
                <w:iCs w:val="false"/>
                <w:color w:val="16335D"/>
                <w:sz w:val="18"/>
                <w:szCs w:val="18"/>
              </w:rPr>
              <w:t xml:space="preserve">Each graph has a clear title, axis/measure, and explanation of what it does not imply.</w:t>
            </w:r>
          </w:p>
        </w:tc>
      </w:tr>
      <w:tr>
        <w:tc>
          <w:tcPr>
            <w:tcW w:type="dxa" w:w="2300"/>
            <w:tcBorders>
              <w:top w:val="single" w:color="B7CBEA" w:sz="6"/>
              <w:left w:val="single" w:color="B7CBEA" w:sz="6"/>
              <w:bottom w:val="single" w:color="B7CBEA" w:sz="6"/>
              <w:right w:val="single" w:color="B7CBEA" w:sz="6"/>
            </w:tcBorders>
            <w:tcMar>
              <w:top w:type="dxa" w:w="90"/>
              <w:left w:type="dxa" w:w="110"/>
              <w:bottom w:type="dxa" w:w="90"/>
              <w:right w:type="dxa" w:w="110"/>
            </w:tcMar>
          </w:tcPr>
          <w:p>
            <w:pPr>
              <w:spacing w:after="0" w:before="0" w:line="230"/>
            </w:pPr>
            <w:r>
              <w:rPr>
                <w:rFonts w:ascii="Aptos" w:cs="Aptos" w:eastAsia="Aptos" w:hAnsi="Aptos"/>
                <w:b w:val="false"/>
                <w:bCs w:val="false"/>
                <w:i w:val="false"/>
                <w:iCs w:val="false"/>
                <w:color w:val="16335D"/>
                <w:sz w:val="18"/>
                <w:szCs w:val="18"/>
              </w:rPr>
              <w:t xml:space="preserve">Release</w:t>
            </w:r>
          </w:p>
        </w:tc>
        <w:tc>
          <w:tcPr>
            <w:tcW w:type="dxa" w:w="7060"/>
            <w:tcBorders>
              <w:top w:val="single" w:color="B7CBEA" w:sz="6"/>
              <w:left w:val="single" w:color="B7CBEA" w:sz="6"/>
              <w:bottom w:val="single" w:color="B7CBEA" w:sz="6"/>
              <w:right w:val="single" w:color="B7CBEA" w:sz="6"/>
            </w:tcBorders>
            <w:tcMar>
              <w:top w:type="dxa" w:w="90"/>
              <w:left w:type="dxa" w:w="110"/>
              <w:bottom w:type="dxa" w:w="90"/>
              <w:right w:type="dxa" w:w="110"/>
            </w:tcMar>
          </w:tcPr>
          <w:p>
            <w:pPr>
              <w:spacing w:after="0" w:before="0" w:line="230"/>
            </w:pPr>
            <w:r>
              <w:rPr>
                <w:rFonts w:ascii="Aptos" w:cs="Aptos" w:eastAsia="Aptos" w:hAnsi="Aptos"/>
                <w:b w:val="false"/>
                <w:bCs w:val="false"/>
                <w:i w:val="false"/>
                <w:iCs w:val="false"/>
                <w:color w:val="16335D"/>
                <w:sz w:val="18"/>
                <w:szCs w:val="18"/>
              </w:rPr>
              <w:t xml:space="preserve">Run the application locally, validate the changed path, commit only intended files, push main, and verify the deployed response.</w:t>
            </w:r>
          </w:p>
        </w:tc>
      </w:tr>
    </w:tbl>
    <w:p>
      <w:pPr>
        <w:pStyle w:val="Heading2"/>
        <w:spacing w:after="130" w:before="210"/>
      </w:pPr>
      <w:r>
        <w:t xml:space="preserve">Future enhancements</w:t>
      </w:r>
    </w:p>
    <w:p>
      <w:pPr>
        <w:pStyle w:val="ListParagraph"/>
        <w:numPr>
          <w:ilvl w:val="0"/>
          <w:numId w:val="2"/>
        </w:numPr>
        <w:spacing w:after="55" w:before="0" w:line="276"/>
      </w:pPr>
      <w:r>
        <w:rPr>
          <w:rFonts w:ascii="Aptos" w:cs="Aptos" w:eastAsia="Aptos" w:hAnsi="Aptos"/>
          <w:b w:val="false"/>
          <w:bCs w:val="false"/>
          <w:i w:val="false"/>
          <w:iCs w:val="false"/>
          <w:color w:val="16335D"/>
          <w:sz w:val="21"/>
          <w:szCs w:val="21"/>
        </w:rPr>
        <w:t xml:space="preserve">Add repeatable test fixtures for every state shown in the Case Queue and Compliance outcome mapping.</w:t>
      </w:r>
    </w:p>
    <w:p>
      <w:pPr>
        <w:pStyle w:val="ListParagraph"/>
        <w:numPr>
          <w:ilvl w:val="0"/>
          <w:numId w:val="2"/>
        </w:numPr>
        <w:spacing w:after="55" w:before="0" w:line="276"/>
      </w:pPr>
      <w:r>
        <w:rPr>
          <w:rFonts w:ascii="Aptos" w:cs="Aptos" w:eastAsia="Aptos" w:hAnsi="Aptos"/>
          <w:b w:val="false"/>
          <w:bCs w:val="false"/>
          <w:i w:val="false"/>
          <w:iCs w:val="false"/>
          <w:color w:val="16335D"/>
          <w:sz w:val="21"/>
          <w:szCs w:val="21"/>
        </w:rPr>
        <w:t xml:space="preserve">Add automated visual regression checks for dark mode, tooltips, responsive tables, and the full walkthrough captures.</w:t>
      </w:r>
    </w:p>
    <w:p>
      <w:pPr>
        <w:pStyle w:val="ListParagraph"/>
        <w:numPr>
          <w:ilvl w:val="0"/>
          <w:numId w:val="2"/>
        </w:numPr>
        <w:spacing w:after="55" w:before="0" w:line="276"/>
      </w:pPr>
      <w:r>
        <w:rPr>
          <w:rFonts w:ascii="Aptos" w:cs="Aptos" w:eastAsia="Aptos" w:hAnsi="Aptos"/>
          <w:b w:val="false"/>
          <w:bCs w:val="false"/>
          <w:i w:val="false"/>
          <w:iCs w:val="false"/>
          <w:color w:val="16335D"/>
          <w:sz w:val="21"/>
          <w:szCs w:val="21"/>
        </w:rPr>
        <w:t xml:space="preserve">Version evidence-confidence rules and show a score-history explanation when a report is regenerated.</w:t>
      </w:r>
    </w:p>
    <w:p>
      <w:pPr>
        <w:pStyle w:val="ListParagraph"/>
        <w:numPr>
          <w:ilvl w:val="0"/>
          <w:numId w:val="2"/>
        </w:numPr>
        <w:spacing w:after="55" w:before="0" w:line="276"/>
      </w:pPr>
      <w:r>
        <w:rPr>
          <w:rFonts w:ascii="Aptos" w:cs="Aptos" w:eastAsia="Aptos" w:hAnsi="Aptos"/>
          <w:b w:val="false"/>
          <w:bCs w:val="false"/>
          <w:i w:val="false"/>
          <w:iCs w:val="false"/>
          <w:color w:val="16335D"/>
          <w:sz w:val="21"/>
          <w:szCs w:val="21"/>
        </w:rPr>
        <w:t xml:space="preserve">Introduce real authentication and authorization only if the product moves beyond a fictional learning environment.</w:t>
      </w:r>
    </w:p>
    <w:p>
      <w:pPr>
        <w:pStyle w:val="Heading1"/>
        <w:spacing w:after="130" w:before="300"/>
      </w:pPr>
      <w:r>
        <w:t xml:space="preserve">12. Value realization, ROI framework, and roadmap</w:t>
      </w:r>
    </w:p>
    <w:p>
      <w:pPr>
        <w:spacing w:after="140" w:before="0" w:line="276"/>
      </w:pPr>
      <w:r>
        <w:rPr>
          <w:rFonts w:ascii="Aptos" w:cs="Aptos" w:eastAsia="Aptos" w:hAnsi="Aptos"/>
          <w:b w:val="false"/>
          <w:bCs w:val="false"/>
          <w:i w:val="false"/>
          <w:iCs w:val="false"/>
          <w:color w:val="16335D"/>
          <w:sz w:val="21"/>
          <w:szCs w:val="21"/>
        </w:rPr>
        <w:t xml:space="preserve">The project does not claim a financial return from the fictional dataset. Instead, it provides a measurable ROI framework that a real sponsor could populate only after a governed pilot establishes baselines, costs, and observed reviewer outcomes.</w:t>
      </w:r>
    </w:p>
    <w:p>
      <w:pPr>
        <w:pStyle w:val="Heading2"/>
        <w:spacing w:after="130" w:before="210"/>
      </w:pPr>
      <w:r>
        <w:t xml:space="preserve">ROI measurement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700"/>
        <w:gridCol w:w="3560"/>
      </w:tblGrid>
      <w:tr>
        <w:trPr>
          <w:tblHeader/>
        </w:trPr>
        <w:tc>
          <w:tcPr>
            <w:tcW w:type="dxa" w:w="2100"/>
            <w:tcBorders>
              <w:top w:val="single" w:color="B7CBEA" w:sz="6"/>
              <w:left w:val="single" w:color="B7CBEA" w:sz="6"/>
              <w:bottom w:val="single" w:color="B7CBEA" w:sz="6"/>
              <w:right w:val="single" w:color="B7CBEA" w:sz="6"/>
            </w:tcBorders>
            <w:shd w:fill="16335D" w:color="16335D" w:val="clear"/>
            <w:tcMar>
              <w:top w:type="dxa" w:w="90"/>
              <w:left w:type="dxa" w:w="110"/>
              <w:bottom w:type="dxa" w:w="90"/>
              <w:right w:type="dxa" w:w="110"/>
            </w:tcMar>
          </w:tcPr>
          <w:p>
            <w:pPr>
              <w:spacing w:after="0" w:before="0" w:line="230"/>
            </w:pPr>
            <w:r>
              <w:rPr>
                <w:rFonts w:ascii="Aptos" w:cs="Aptos" w:eastAsia="Aptos" w:hAnsi="Aptos"/>
                <w:b/>
                <w:bCs/>
                <w:i w:val="false"/>
                <w:iCs w:val="false"/>
                <w:color w:val="FFFFFF"/>
                <w:sz w:val="18"/>
                <w:szCs w:val="18"/>
              </w:rPr>
              <w:t xml:space="preserve">Value lever</w:t>
            </w:r>
          </w:p>
        </w:tc>
        <w:tc>
          <w:tcPr>
            <w:tcW w:type="dxa" w:w="3700"/>
            <w:tcBorders>
              <w:top w:val="single" w:color="B7CBEA" w:sz="6"/>
              <w:left w:val="single" w:color="B7CBEA" w:sz="6"/>
              <w:bottom w:val="single" w:color="B7CBEA" w:sz="6"/>
              <w:right w:val="single" w:color="B7CBEA" w:sz="6"/>
            </w:tcBorders>
            <w:shd w:fill="16335D" w:color="16335D" w:val="clear"/>
            <w:tcMar>
              <w:top w:type="dxa" w:w="90"/>
              <w:left w:type="dxa" w:w="110"/>
              <w:bottom w:type="dxa" w:w="90"/>
              <w:right w:type="dxa" w:w="110"/>
            </w:tcMar>
          </w:tcPr>
          <w:p>
            <w:pPr>
              <w:spacing w:after="0" w:before="0" w:line="230"/>
            </w:pPr>
            <w:r>
              <w:rPr>
                <w:rFonts w:ascii="Aptos" w:cs="Aptos" w:eastAsia="Aptos" w:hAnsi="Aptos"/>
                <w:b/>
                <w:bCs/>
                <w:i w:val="false"/>
                <w:iCs w:val="false"/>
                <w:color w:val="FFFFFF"/>
                <w:sz w:val="18"/>
                <w:szCs w:val="18"/>
              </w:rPr>
              <w:t xml:space="preserve">Baseline and outcome to measure</w:t>
            </w:r>
          </w:p>
        </w:tc>
        <w:tc>
          <w:tcPr>
            <w:tcW w:type="dxa" w:w="3560"/>
            <w:tcBorders>
              <w:top w:val="single" w:color="B7CBEA" w:sz="6"/>
              <w:left w:val="single" w:color="B7CBEA" w:sz="6"/>
              <w:bottom w:val="single" w:color="B7CBEA" w:sz="6"/>
              <w:right w:val="single" w:color="B7CBEA" w:sz="6"/>
            </w:tcBorders>
            <w:shd w:fill="16335D" w:color="16335D" w:val="clear"/>
            <w:tcMar>
              <w:top w:type="dxa" w:w="90"/>
              <w:left w:type="dxa" w:w="110"/>
              <w:bottom w:type="dxa" w:w="90"/>
              <w:right w:type="dxa" w:w="110"/>
            </w:tcMar>
          </w:tcPr>
          <w:p>
            <w:pPr>
              <w:spacing w:after="0" w:before="0" w:line="230"/>
            </w:pPr>
            <w:r>
              <w:rPr>
                <w:rFonts w:ascii="Aptos" w:cs="Aptos" w:eastAsia="Aptos" w:hAnsi="Aptos"/>
                <w:b/>
                <w:bCs/>
                <w:i w:val="false"/>
                <w:iCs w:val="false"/>
                <w:color w:val="FFFFFF"/>
                <w:sz w:val="18"/>
                <w:szCs w:val="18"/>
              </w:rPr>
              <w:t xml:space="preserve">Why InvestigateIQ may help</w:t>
            </w:r>
          </w:p>
        </w:tc>
      </w:tr>
      <w:tr>
        <w:tc>
          <w:tcPr>
            <w:tcW w:type="dxa" w:w="2100"/>
            <w:tcBorders>
              <w:top w:val="single" w:color="B7CBEA" w:sz="6"/>
              <w:left w:val="single" w:color="B7CBEA" w:sz="6"/>
              <w:bottom w:val="single" w:color="B7CBEA" w:sz="6"/>
              <w:right w:val="single" w:color="B7CBEA" w:sz="6"/>
            </w:tcBorders>
            <w:tcMar>
              <w:top w:type="dxa" w:w="90"/>
              <w:left w:type="dxa" w:w="110"/>
              <w:bottom w:type="dxa" w:w="90"/>
              <w:right w:type="dxa" w:w="110"/>
            </w:tcMar>
          </w:tcPr>
          <w:p>
            <w:pPr>
              <w:spacing w:after="0" w:before="0" w:line="230"/>
            </w:pPr>
            <w:r>
              <w:rPr>
                <w:rFonts w:ascii="Aptos" w:cs="Aptos" w:eastAsia="Aptos" w:hAnsi="Aptos"/>
                <w:b w:val="false"/>
                <w:bCs w:val="false"/>
                <w:i w:val="false"/>
                <w:iCs w:val="false"/>
                <w:color w:val="16335D"/>
                <w:sz w:val="18"/>
                <w:szCs w:val="18"/>
              </w:rPr>
              <w:t xml:space="preserve">Review efficiency</w:t>
            </w:r>
          </w:p>
        </w:tc>
        <w:tc>
          <w:tcPr>
            <w:tcW w:type="dxa" w:w="3700"/>
            <w:tcBorders>
              <w:top w:val="single" w:color="B7CBEA" w:sz="6"/>
              <w:left w:val="single" w:color="B7CBEA" w:sz="6"/>
              <w:bottom w:val="single" w:color="B7CBEA" w:sz="6"/>
              <w:right w:val="single" w:color="B7CBEA" w:sz="6"/>
            </w:tcBorders>
            <w:tcMar>
              <w:top w:type="dxa" w:w="90"/>
              <w:left w:type="dxa" w:w="110"/>
              <w:bottom w:type="dxa" w:w="90"/>
              <w:right w:type="dxa" w:w="110"/>
            </w:tcMar>
          </w:tcPr>
          <w:p>
            <w:pPr>
              <w:spacing w:after="0" w:before="0" w:line="230"/>
            </w:pPr>
            <w:r>
              <w:rPr>
                <w:rFonts w:ascii="Aptos" w:cs="Aptos" w:eastAsia="Aptos" w:hAnsi="Aptos"/>
                <w:b w:val="false"/>
                <w:bCs w:val="false"/>
                <w:i w:val="false"/>
                <w:iCs w:val="false"/>
                <w:color w:val="16335D"/>
                <w:sz w:val="18"/>
                <w:szCs w:val="18"/>
              </w:rPr>
              <w:t xml:space="preserve">Median minutes from opening an alert to locating the relevant case record and source passage.</w:t>
            </w:r>
          </w:p>
        </w:tc>
        <w:tc>
          <w:tcPr>
            <w:tcW w:type="dxa" w:w="3560"/>
            <w:tcBorders>
              <w:top w:val="single" w:color="B7CBEA" w:sz="6"/>
              <w:left w:val="single" w:color="B7CBEA" w:sz="6"/>
              <w:bottom w:val="single" w:color="B7CBEA" w:sz="6"/>
              <w:right w:val="single" w:color="B7CBEA" w:sz="6"/>
            </w:tcBorders>
            <w:tcMar>
              <w:top w:type="dxa" w:w="90"/>
              <w:left w:type="dxa" w:w="110"/>
              <w:bottom w:type="dxa" w:w="90"/>
              <w:right w:type="dxa" w:w="110"/>
            </w:tcMar>
          </w:tcPr>
          <w:p>
            <w:pPr>
              <w:spacing w:after="0" w:before="0" w:line="230"/>
            </w:pPr>
            <w:r>
              <w:rPr>
                <w:rFonts w:ascii="Aptos" w:cs="Aptos" w:eastAsia="Aptos" w:hAnsi="Aptos"/>
                <w:b w:val="false"/>
                <w:bCs w:val="false"/>
                <w:i w:val="false"/>
                <w:iCs w:val="false"/>
                <w:color w:val="16335D"/>
                <w:sz w:val="18"/>
                <w:szCs w:val="18"/>
              </w:rPr>
              <w:t xml:space="preserve">Queue filters, Global Search, scoped records, and exact chunk links reduce navigation and lookup time.</w:t>
            </w:r>
          </w:p>
        </w:tc>
      </w:tr>
      <w:tr>
        <w:tc>
          <w:tcPr>
            <w:tcW w:type="dxa" w:w="2100"/>
            <w:tcBorders>
              <w:top w:val="single" w:color="B7CBEA" w:sz="6"/>
              <w:left w:val="single" w:color="B7CBEA" w:sz="6"/>
              <w:bottom w:val="single" w:color="B7CBEA" w:sz="6"/>
              <w:right w:val="single" w:color="B7CBEA" w:sz="6"/>
            </w:tcBorders>
            <w:tcMar>
              <w:top w:type="dxa" w:w="90"/>
              <w:left w:type="dxa" w:w="110"/>
              <w:bottom w:type="dxa" w:w="90"/>
              <w:right w:type="dxa" w:w="110"/>
            </w:tcMar>
          </w:tcPr>
          <w:p>
            <w:pPr>
              <w:spacing w:after="0" w:before="0" w:line="230"/>
            </w:pPr>
            <w:r>
              <w:rPr>
                <w:rFonts w:ascii="Aptos" w:cs="Aptos" w:eastAsia="Aptos" w:hAnsi="Aptos"/>
                <w:b w:val="false"/>
                <w:bCs w:val="false"/>
                <w:i w:val="false"/>
                <w:iCs w:val="false"/>
                <w:color w:val="16335D"/>
                <w:sz w:val="18"/>
                <w:szCs w:val="18"/>
              </w:rPr>
              <w:t xml:space="preserve">Rework reduction</w:t>
            </w:r>
          </w:p>
        </w:tc>
        <w:tc>
          <w:tcPr>
            <w:tcW w:type="dxa" w:w="3700"/>
            <w:tcBorders>
              <w:top w:val="single" w:color="B7CBEA" w:sz="6"/>
              <w:left w:val="single" w:color="B7CBEA" w:sz="6"/>
              <w:bottom w:val="single" w:color="B7CBEA" w:sz="6"/>
              <w:right w:val="single" w:color="B7CBEA" w:sz="6"/>
            </w:tcBorders>
            <w:tcMar>
              <w:top w:type="dxa" w:w="90"/>
              <w:left w:type="dxa" w:w="110"/>
              <w:bottom w:type="dxa" w:w="90"/>
              <w:right w:type="dxa" w:w="110"/>
            </w:tcMar>
          </w:tcPr>
          <w:p>
            <w:pPr>
              <w:spacing w:after="0" w:before="0" w:line="230"/>
            </w:pPr>
            <w:r>
              <w:rPr>
                <w:rFonts w:ascii="Aptos" w:cs="Aptos" w:eastAsia="Aptos" w:hAnsi="Aptos"/>
                <w:b w:val="false"/>
                <w:bCs w:val="false"/>
                <w:i w:val="false"/>
                <w:iCs w:val="false"/>
                <w:color w:val="16335D"/>
                <w:sz w:val="18"/>
                <w:szCs w:val="18"/>
              </w:rPr>
              <w:t xml:space="preserve">Number of Compliance returns or repeated evidence requests per completed review.</w:t>
            </w:r>
          </w:p>
        </w:tc>
        <w:tc>
          <w:tcPr>
            <w:tcW w:type="dxa" w:w="3560"/>
            <w:tcBorders>
              <w:top w:val="single" w:color="B7CBEA" w:sz="6"/>
              <w:left w:val="single" w:color="B7CBEA" w:sz="6"/>
              <w:bottom w:val="single" w:color="B7CBEA" w:sz="6"/>
              <w:right w:val="single" w:color="B7CBEA" w:sz="6"/>
            </w:tcBorders>
            <w:tcMar>
              <w:top w:type="dxa" w:w="90"/>
              <w:left w:type="dxa" w:w="110"/>
              <w:bottom w:type="dxa" w:w="90"/>
              <w:right w:type="dxa" w:w="110"/>
            </w:tcMar>
          </w:tcPr>
          <w:p>
            <w:pPr>
              <w:spacing w:after="0" w:before="0" w:line="230"/>
            </w:pPr>
            <w:r>
              <w:rPr>
                <w:rFonts w:ascii="Aptos" w:cs="Aptos" w:eastAsia="Aptos" w:hAnsi="Aptos"/>
                <w:b w:val="false"/>
                <w:bCs w:val="false"/>
                <w:i w:val="false"/>
                <w:iCs w:val="false"/>
                <w:color w:val="16335D"/>
                <w:sz w:val="18"/>
                <w:szCs w:val="18"/>
              </w:rPr>
              <w:t xml:space="preserve">Visible gaps, cited support, and required rationale make missing information explicit before an action is recorded.</w:t>
            </w:r>
          </w:p>
        </w:tc>
      </w:tr>
      <w:tr>
        <w:tc>
          <w:tcPr>
            <w:tcW w:type="dxa" w:w="2100"/>
            <w:tcBorders>
              <w:top w:val="single" w:color="B7CBEA" w:sz="6"/>
              <w:left w:val="single" w:color="B7CBEA" w:sz="6"/>
              <w:bottom w:val="single" w:color="B7CBEA" w:sz="6"/>
              <w:right w:val="single" w:color="B7CBEA" w:sz="6"/>
            </w:tcBorders>
            <w:tcMar>
              <w:top w:type="dxa" w:w="90"/>
              <w:left w:type="dxa" w:w="110"/>
              <w:bottom w:type="dxa" w:w="90"/>
              <w:right w:type="dxa" w:w="110"/>
            </w:tcMar>
          </w:tcPr>
          <w:p>
            <w:pPr>
              <w:spacing w:after="0" w:before="0" w:line="230"/>
            </w:pPr>
            <w:r>
              <w:rPr>
                <w:rFonts w:ascii="Aptos" w:cs="Aptos" w:eastAsia="Aptos" w:hAnsi="Aptos"/>
                <w:b w:val="false"/>
                <w:bCs w:val="false"/>
                <w:i w:val="false"/>
                <w:iCs w:val="false"/>
                <w:color w:val="16335D"/>
                <w:sz w:val="18"/>
                <w:szCs w:val="18"/>
              </w:rPr>
              <w:t xml:space="preserve">Audit readiness</w:t>
            </w:r>
          </w:p>
        </w:tc>
        <w:tc>
          <w:tcPr>
            <w:tcW w:type="dxa" w:w="3700"/>
            <w:tcBorders>
              <w:top w:val="single" w:color="B7CBEA" w:sz="6"/>
              <w:left w:val="single" w:color="B7CBEA" w:sz="6"/>
              <w:bottom w:val="single" w:color="B7CBEA" w:sz="6"/>
              <w:right w:val="single" w:color="B7CBEA" w:sz="6"/>
            </w:tcBorders>
            <w:tcMar>
              <w:top w:type="dxa" w:w="90"/>
              <w:left w:type="dxa" w:w="110"/>
              <w:bottom w:type="dxa" w:w="90"/>
              <w:right w:type="dxa" w:w="110"/>
            </w:tcMar>
          </w:tcPr>
          <w:p>
            <w:pPr>
              <w:spacing w:after="0" w:before="0" w:line="230"/>
            </w:pPr>
            <w:r>
              <w:rPr>
                <w:rFonts w:ascii="Aptos" w:cs="Aptos" w:eastAsia="Aptos" w:hAnsi="Aptos"/>
                <w:b w:val="false"/>
                <w:bCs w:val="false"/>
                <w:i w:val="false"/>
                <w:iCs w:val="false"/>
                <w:color w:val="16335D"/>
                <w:sz w:val="18"/>
                <w:szCs w:val="18"/>
              </w:rPr>
              <w:t xml:space="preserve">Time to reconstruct the alert, cited text, decision, actor, rationale, and Compliance outcome for a sampled case.</w:t>
            </w:r>
          </w:p>
        </w:tc>
        <w:tc>
          <w:tcPr>
            <w:tcW w:type="dxa" w:w="3560"/>
            <w:tcBorders>
              <w:top w:val="single" w:color="B7CBEA" w:sz="6"/>
              <w:left w:val="single" w:color="B7CBEA" w:sz="6"/>
              <w:bottom w:val="single" w:color="B7CBEA" w:sz="6"/>
              <w:right w:val="single" w:color="B7CBEA" w:sz="6"/>
            </w:tcBorders>
            <w:tcMar>
              <w:top w:type="dxa" w:w="90"/>
              <w:left w:type="dxa" w:w="110"/>
              <w:bottom w:type="dxa" w:w="90"/>
              <w:right w:type="dxa" w:w="110"/>
            </w:tcMar>
          </w:tcPr>
          <w:p>
            <w:pPr>
              <w:spacing w:after="0" w:before="0" w:line="230"/>
            </w:pPr>
            <w:r>
              <w:rPr>
                <w:rFonts w:ascii="Aptos" w:cs="Aptos" w:eastAsia="Aptos" w:hAnsi="Aptos"/>
                <w:b w:val="false"/>
                <w:bCs w:val="false"/>
                <w:i w:val="false"/>
                <w:iCs w:val="false"/>
                <w:color w:val="16335D"/>
                <w:sz w:val="18"/>
                <w:szCs w:val="18"/>
              </w:rPr>
              <w:t xml:space="preserve">Append-only audit events and source/chunk traceability preserve the review path.</w:t>
            </w:r>
          </w:p>
        </w:tc>
      </w:tr>
      <w:tr>
        <w:tc>
          <w:tcPr>
            <w:tcW w:type="dxa" w:w="2100"/>
            <w:tcBorders>
              <w:top w:val="single" w:color="B7CBEA" w:sz="6"/>
              <w:left w:val="single" w:color="B7CBEA" w:sz="6"/>
              <w:bottom w:val="single" w:color="B7CBEA" w:sz="6"/>
              <w:right w:val="single" w:color="B7CBEA" w:sz="6"/>
            </w:tcBorders>
            <w:tcMar>
              <w:top w:type="dxa" w:w="90"/>
              <w:left w:type="dxa" w:w="110"/>
              <w:bottom w:type="dxa" w:w="90"/>
              <w:right w:type="dxa" w:w="110"/>
            </w:tcMar>
          </w:tcPr>
          <w:p>
            <w:pPr>
              <w:spacing w:after="0" w:before="0" w:line="230"/>
            </w:pPr>
            <w:r>
              <w:rPr>
                <w:rFonts w:ascii="Aptos" w:cs="Aptos" w:eastAsia="Aptos" w:hAnsi="Aptos"/>
                <w:b w:val="false"/>
                <w:bCs w:val="false"/>
                <w:i w:val="false"/>
                <w:iCs w:val="false"/>
                <w:color w:val="16335D"/>
                <w:sz w:val="18"/>
                <w:szCs w:val="18"/>
              </w:rPr>
              <w:t xml:space="preserve">Quality and safety</w:t>
            </w:r>
          </w:p>
        </w:tc>
        <w:tc>
          <w:tcPr>
            <w:tcW w:type="dxa" w:w="3700"/>
            <w:tcBorders>
              <w:top w:val="single" w:color="B7CBEA" w:sz="6"/>
              <w:left w:val="single" w:color="B7CBEA" w:sz="6"/>
              <w:bottom w:val="single" w:color="B7CBEA" w:sz="6"/>
              <w:right w:val="single" w:color="B7CBEA" w:sz="6"/>
            </w:tcBorders>
            <w:tcMar>
              <w:top w:type="dxa" w:w="90"/>
              <w:left w:type="dxa" w:w="110"/>
              <w:bottom w:type="dxa" w:w="90"/>
              <w:right w:type="dxa" w:w="110"/>
            </w:tcMar>
          </w:tcPr>
          <w:p>
            <w:pPr>
              <w:spacing w:after="0" w:before="0" w:line="230"/>
            </w:pPr>
            <w:r>
              <w:rPr>
                <w:rFonts w:ascii="Aptos" w:cs="Aptos" w:eastAsia="Aptos" w:hAnsi="Aptos"/>
                <w:b w:val="false"/>
                <w:bCs w:val="false"/>
                <w:i w:val="false"/>
                <w:iCs w:val="false"/>
                <w:color w:val="16335D"/>
                <w:sz w:val="18"/>
                <w:szCs w:val="18"/>
              </w:rPr>
              <w:t xml:space="preserve">Rate of unsupported claims, broken citations, unclear state labels, or inaccessible controls found in review.</w:t>
            </w:r>
          </w:p>
        </w:tc>
        <w:tc>
          <w:tcPr>
            <w:tcW w:type="dxa" w:w="3560"/>
            <w:tcBorders>
              <w:top w:val="single" w:color="B7CBEA" w:sz="6"/>
              <w:left w:val="single" w:color="B7CBEA" w:sz="6"/>
              <w:bottom w:val="single" w:color="B7CBEA" w:sz="6"/>
              <w:right w:val="single" w:color="B7CBEA" w:sz="6"/>
            </w:tcBorders>
            <w:tcMar>
              <w:top w:type="dxa" w:w="90"/>
              <w:left w:type="dxa" w:w="110"/>
              <w:bottom w:type="dxa" w:w="90"/>
              <w:right w:type="dxa" w:w="110"/>
            </w:tcMar>
          </w:tcPr>
          <w:p>
            <w:pPr>
              <w:spacing w:after="0" w:before="0" w:line="230"/>
            </w:pPr>
            <w:r>
              <w:rPr>
                <w:rFonts w:ascii="Aptos" w:cs="Aptos" w:eastAsia="Aptos" w:hAnsi="Aptos"/>
                <w:b w:val="false"/>
                <w:bCs w:val="false"/>
                <w:i w:val="false"/>
                <w:iCs w:val="false"/>
                <w:color w:val="16335D"/>
                <w:sz w:val="18"/>
                <w:szCs w:val="18"/>
              </w:rPr>
              <w:t xml:space="preserve">Bounded Copilot behavior, deterministic confidence limits, validators, and visual QA expose issues earlier.</w:t>
            </w:r>
          </w:p>
        </w:tc>
      </w:tr>
    </w:tbl>
    <w:p>
      <w:pPr>
        <w:shd w:fill="EAF2FF" w:color="EAF2FF" w:val="clear"/>
        <w:spacing w:after="0" w:before="0" w:line="230"/>
        <w:ind w:left="220" w:right="220"/>
      </w:pPr>
      <w:r>
        <w:rPr>
          <w:rFonts w:ascii="Consolas" w:cs="Consolas" w:eastAsia="Consolas" w:hAnsi="Consolas"/>
          <w:color w:val="17365D"/>
          <w:sz w:val="17"/>
          <w:szCs w:val="17"/>
        </w:rPr>
        <w:t xml:space="preserve">annual_benefit = (cases × verified_minutes_saved × loaded_hourly_rate / 60)</w:t>
      </w:r>
    </w:p>
    <w:p>
      <w:pPr>
        <w:shd w:fill="EAF2FF" w:color="EAF2FF" w:val="clear"/>
        <w:spacing w:after="0" w:before="0" w:line="230"/>
        <w:ind w:left="220" w:right="220"/>
      </w:pPr>
      <w:r>
        <w:rPr>
          <w:rFonts w:ascii="Consolas" w:cs="Consolas" w:eastAsia="Consolas" w:hAnsi="Consolas"/>
          <w:color w:val="17365D"/>
          <w:sz w:val="17"/>
          <w:szCs w:val="17"/>
        </w:rPr>
        <w:t xml:space="preserve">               + avoided_rework_cost + measurable_audit_preparation_savings</w:t>
      </w:r>
    </w:p>
    <w:p>
      <w:pPr>
        <w:shd w:fill="EAF2FF" w:color="EAF2FF" w:val="clear"/>
        <w:spacing w:after="0" w:before="0" w:line="230"/>
        <w:ind w:left="220" w:right="220"/>
      </w:pPr>
      <w:r>
        <w:rPr>
          <w:rFonts w:ascii="Consolas" w:cs="Consolas" w:eastAsia="Consolas" w:hAnsi="Consolas"/>
          <w:color w:val="17365D"/>
          <w:sz w:val="17"/>
          <w:szCs w:val="17"/>
        </w:rPr>
        <w:t xml:space="preserve">ROI % = ((annual_benefit - implementation_and_run_cost) / implementation_and_run_cost) × 100</w:t>
      </w:r>
    </w:p>
    <w:p>
      <w:pPr>
        <w:shd w:fill="EAF2FF" w:color="EAF2FF" w:val="clear"/>
        <w:spacing w:after="0" w:before="0" w:line="230"/>
        <w:ind w:left="220" w:right="220"/>
      </w:pPr>
      <w:r>
        <w:rPr>
          <w:rFonts w:ascii="Consolas" w:cs="Consolas" w:eastAsia="Consolas" w:hAnsi="Consolas"/>
          <w:color w:val="17365D"/>
          <w:sz w:val="17"/>
          <w:szCs w:val="17"/>
        </w:rPr>
        <w:t xml:space="preserve">payback_months = implementation_and_run_cost / monthly_verified_benefit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CBEA" w:sz="6"/>
              <w:left w:val="single" w:color="B77900" w:sz="6"/>
              <w:bottom w:val="single" w:color="B7CBEA" w:sz="6"/>
              <w:right w:val="single" w:color="B77900" w:sz="6"/>
            </w:tcBorders>
            <w:shd w:fill="F4F8FF" w:color="F4F8FF" w:val="clear"/>
            <w:tcMar>
              <w:top w:type="dxa" w:w="130"/>
              <w:left w:type="dxa" w:w="180"/>
              <w:bottom w:type="dxa" w:w="130"/>
              <w:right w:type="dxa" w:w="180"/>
            </w:tcMar>
          </w:tcPr>
          <w:p>
            <w:pPr>
              <w:spacing w:after="45" w:before="0" w:line="276"/>
            </w:pPr>
            <w:r>
              <w:rPr>
                <w:rFonts w:ascii="Aptos" w:cs="Aptos" w:eastAsia="Aptos" w:hAnsi="Aptos"/>
                <w:b/>
                <w:bCs/>
                <w:i w:val="false"/>
                <w:iCs w:val="false"/>
                <w:color w:val="B77900"/>
                <w:sz w:val="20"/>
                <w:szCs w:val="20"/>
              </w:rPr>
              <w:t xml:space="preserve">ROI guardrail</w:t>
            </w:r>
          </w:p>
          <w:p>
            <w:pPr>
              <w:spacing w:after="0" w:before="0" w:line="254"/>
            </w:pPr>
            <w:r>
              <w:rPr>
                <w:rFonts w:ascii="Aptos" w:cs="Aptos" w:eastAsia="Aptos" w:hAnsi="Aptos"/>
                <w:b w:val="false"/>
                <w:bCs w:val="false"/>
                <w:i w:val="false"/>
                <w:iCs w:val="false"/>
                <w:color w:val="16335D"/>
                <w:sz w:val="19"/>
                <w:szCs w:val="19"/>
              </w:rPr>
              <w:t xml:space="preserve">These formulas are a planning model, not a reported result. The program must collect a baseline, define the cost boundary, run a pilot, and verify the observed benefit before presenting any financial ROI figure.</w:t>
            </w:r>
          </w:p>
        </w:tc>
      </w:tr>
    </w:tbl>
    <w:p>
      <w:pPr>
        <w:pStyle w:val="Heading2"/>
        <w:spacing w:after="130" w:before="210"/>
      </w:pPr>
      <w:r>
        <w:t xml:space="preserve">Future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200"/>
        <w:gridCol w:w="3260"/>
      </w:tblGrid>
      <w:tr>
        <w:trPr>
          <w:tblHeader/>
        </w:trPr>
        <w:tc>
          <w:tcPr>
            <w:tcW w:type="dxa" w:w="1900"/>
            <w:tcBorders>
              <w:top w:val="single" w:color="B7CBEA" w:sz="6"/>
              <w:left w:val="single" w:color="B7CBEA" w:sz="6"/>
              <w:bottom w:val="single" w:color="B7CBEA" w:sz="6"/>
              <w:right w:val="single" w:color="B7CBEA" w:sz="6"/>
            </w:tcBorders>
            <w:shd w:fill="16335D" w:color="16335D" w:val="clear"/>
            <w:tcMar>
              <w:top w:type="dxa" w:w="90"/>
              <w:left w:type="dxa" w:w="110"/>
              <w:bottom w:type="dxa" w:w="90"/>
              <w:right w:type="dxa" w:w="110"/>
            </w:tcMar>
          </w:tcPr>
          <w:p>
            <w:pPr>
              <w:spacing w:after="0" w:before="0" w:line="230"/>
            </w:pPr>
            <w:r>
              <w:rPr>
                <w:rFonts w:ascii="Aptos" w:cs="Aptos" w:eastAsia="Aptos" w:hAnsi="Aptos"/>
                <w:b/>
                <w:bCs/>
                <w:i w:val="false"/>
                <w:iCs w:val="false"/>
                <w:color w:val="FFFFFF"/>
                <w:sz w:val="18"/>
                <w:szCs w:val="18"/>
              </w:rPr>
              <w:t xml:space="preserve">Horizon</w:t>
            </w:r>
          </w:p>
        </w:tc>
        <w:tc>
          <w:tcPr>
            <w:tcW w:type="dxa" w:w="4200"/>
            <w:tcBorders>
              <w:top w:val="single" w:color="B7CBEA" w:sz="6"/>
              <w:left w:val="single" w:color="B7CBEA" w:sz="6"/>
              <w:bottom w:val="single" w:color="B7CBEA" w:sz="6"/>
              <w:right w:val="single" w:color="B7CBEA" w:sz="6"/>
            </w:tcBorders>
            <w:shd w:fill="16335D" w:color="16335D" w:val="clear"/>
            <w:tcMar>
              <w:top w:type="dxa" w:w="90"/>
              <w:left w:type="dxa" w:w="110"/>
              <w:bottom w:type="dxa" w:w="90"/>
              <w:right w:type="dxa" w:w="110"/>
            </w:tcMar>
          </w:tcPr>
          <w:p>
            <w:pPr>
              <w:spacing w:after="0" w:before="0" w:line="230"/>
            </w:pPr>
            <w:r>
              <w:rPr>
                <w:rFonts w:ascii="Aptos" w:cs="Aptos" w:eastAsia="Aptos" w:hAnsi="Aptos"/>
                <w:b/>
                <w:bCs/>
                <w:i w:val="false"/>
                <w:iCs w:val="false"/>
                <w:color w:val="FFFFFF"/>
                <w:sz w:val="18"/>
                <w:szCs w:val="18"/>
              </w:rPr>
              <w:t xml:space="preserve">Priority capability</w:t>
            </w:r>
          </w:p>
        </w:tc>
        <w:tc>
          <w:tcPr>
            <w:tcW w:type="dxa" w:w="3260"/>
            <w:tcBorders>
              <w:top w:val="single" w:color="B7CBEA" w:sz="6"/>
              <w:left w:val="single" w:color="B7CBEA" w:sz="6"/>
              <w:bottom w:val="single" w:color="B7CBEA" w:sz="6"/>
              <w:right w:val="single" w:color="B7CBEA" w:sz="6"/>
            </w:tcBorders>
            <w:shd w:fill="16335D" w:color="16335D" w:val="clear"/>
            <w:tcMar>
              <w:top w:type="dxa" w:w="90"/>
              <w:left w:type="dxa" w:w="110"/>
              <w:bottom w:type="dxa" w:w="90"/>
              <w:right w:type="dxa" w:w="110"/>
            </w:tcMar>
          </w:tcPr>
          <w:p>
            <w:pPr>
              <w:spacing w:after="0" w:before="0" w:line="230"/>
            </w:pPr>
            <w:r>
              <w:rPr>
                <w:rFonts w:ascii="Aptos" w:cs="Aptos" w:eastAsia="Aptos" w:hAnsi="Aptos"/>
                <w:b/>
                <w:bCs/>
                <w:i w:val="false"/>
                <w:iCs w:val="false"/>
                <w:color w:val="FFFFFF"/>
                <w:sz w:val="18"/>
                <w:szCs w:val="18"/>
              </w:rPr>
              <w:t xml:space="preserve">Responsible delivery condition</w:t>
            </w:r>
          </w:p>
        </w:tc>
      </w:tr>
      <w:tr>
        <w:tc>
          <w:tcPr>
            <w:tcW w:type="dxa" w:w="1900"/>
            <w:tcBorders>
              <w:top w:val="single" w:color="B7CBEA" w:sz="6"/>
              <w:left w:val="single" w:color="B7CBEA" w:sz="6"/>
              <w:bottom w:val="single" w:color="B7CBEA" w:sz="6"/>
              <w:right w:val="single" w:color="B7CBEA" w:sz="6"/>
            </w:tcBorders>
            <w:tcMar>
              <w:top w:type="dxa" w:w="90"/>
              <w:left w:type="dxa" w:w="110"/>
              <w:bottom w:type="dxa" w:w="90"/>
              <w:right w:type="dxa" w:w="110"/>
            </w:tcMar>
          </w:tcPr>
          <w:p>
            <w:pPr>
              <w:spacing w:after="0" w:before="0" w:line="230"/>
            </w:pPr>
            <w:r>
              <w:rPr>
                <w:rFonts w:ascii="Aptos" w:cs="Aptos" w:eastAsia="Aptos" w:hAnsi="Aptos"/>
                <w:b w:val="false"/>
                <w:bCs w:val="false"/>
                <w:i w:val="false"/>
                <w:iCs w:val="false"/>
                <w:color w:val="16335D"/>
                <w:sz w:val="18"/>
                <w:szCs w:val="18"/>
              </w:rPr>
              <w:t xml:space="preserve">Next iteration</w:t>
            </w:r>
          </w:p>
        </w:tc>
        <w:tc>
          <w:tcPr>
            <w:tcW w:type="dxa" w:w="4200"/>
            <w:tcBorders>
              <w:top w:val="single" w:color="B7CBEA" w:sz="6"/>
              <w:left w:val="single" w:color="B7CBEA" w:sz="6"/>
              <w:bottom w:val="single" w:color="B7CBEA" w:sz="6"/>
              <w:right w:val="single" w:color="B7CBEA" w:sz="6"/>
            </w:tcBorders>
            <w:tcMar>
              <w:top w:type="dxa" w:w="90"/>
              <w:left w:type="dxa" w:w="110"/>
              <w:bottom w:type="dxa" w:w="90"/>
              <w:right w:type="dxa" w:w="110"/>
            </w:tcMar>
          </w:tcPr>
          <w:p>
            <w:pPr>
              <w:spacing w:after="0" w:before="0" w:line="230"/>
            </w:pPr>
            <w:r>
              <w:rPr>
                <w:rFonts w:ascii="Aptos" w:cs="Aptos" w:eastAsia="Aptos" w:hAnsi="Aptos"/>
                <w:b w:val="false"/>
                <w:bCs w:val="false"/>
                <w:i w:val="false"/>
                <w:iCs w:val="false"/>
                <w:color w:val="16335D"/>
                <w:sz w:val="18"/>
                <w:szCs w:val="18"/>
              </w:rPr>
              <w:t xml:space="preserve">Golden-question evaluation set, citation-quality tests, and additional repeatable fixtures for every queue and Compliance state.</w:t>
            </w:r>
          </w:p>
        </w:tc>
        <w:tc>
          <w:tcPr>
            <w:tcW w:type="dxa" w:w="3260"/>
            <w:tcBorders>
              <w:top w:val="single" w:color="B7CBEA" w:sz="6"/>
              <w:left w:val="single" w:color="B7CBEA" w:sz="6"/>
              <w:bottom w:val="single" w:color="B7CBEA" w:sz="6"/>
              <w:right w:val="single" w:color="B7CBEA" w:sz="6"/>
            </w:tcBorders>
            <w:tcMar>
              <w:top w:type="dxa" w:w="90"/>
              <w:left w:type="dxa" w:w="110"/>
              <w:bottom w:type="dxa" w:w="90"/>
              <w:right w:type="dxa" w:w="110"/>
            </w:tcMar>
          </w:tcPr>
          <w:p>
            <w:pPr>
              <w:spacing w:after="0" w:before="0" w:line="230"/>
            </w:pPr>
            <w:r>
              <w:rPr>
                <w:rFonts w:ascii="Aptos" w:cs="Aptos" w:eastAsia="Aptos" w:hAnsi="Aptos"/>
                <w:b w:val="false"/>
                <w:bCs w:val="false"/>
                <w:i w:val="false"/>
                <w:iCs w:val="false"/>
                <w:color w:val="16335D"/>
                <w:sz w:val="18"/>
                <w:szCs w:val="18"/>
              </w:rPr>
              <w:t xml:space="preserve">Keep results tied to fictional test cases and publish failure cases alongside scores.</w:t>
            </w:r>
          </w:p>
        </w:tc>
      </w:tr>
      <w:tr>
        <w:tc>
          <w:tcPr>
            <w:tcW w:type="dxa" w:w="1900"/>
            <w:tcBorders>
              <w:top w:val="single" w:color="B7CBEA" w:sz="6"/>
              <w:left w:val="single" w:color="B7CBEA" w:sz="6"/>
              <w:bottom w:val="single" w:color="B7CBEA" w:sz="6"/>
              <w:right w:val="single" w:color="B7CBEA" w:sz="6"/>
            </w:tcBorders>
            <w:tcMar>
              <w:top w:type="dxa" w:w="90"/>
              <w:left w:type="dxa" w:w="110"/>
              <w:bottom w:type="dxa" w:w="90"/>
              <w:right w:type="dxa" w:w="110"/>
            </w:tcMar>
          </w:tcPr>
          <w:p>
            <w:pPr>
              <w:spacing w:after="0" w:before="0" w:line="230"/>
            </w:pPr>
            <w:r>
              <w:rPr>
                <w:rFonts w:ascii="Aptos" w:cs="Aptos" w:eastAsia="Aptos" w:hAnsi="Aptos"/>
                <w:b w:val="false"/>
                <w:bCs w:val="false"/>
                <w:i w:val="false"/>
                <w:iCs w:val="false"/>
                <w:color w:val="16335D"/>
                <w:sz w:val="18"/>
                <w:szCs w:val="18"/>
              </w:rPr>
              <w:t xml:space="preserve">Pilot readiness</w:t>
            </w:r>
          </w:p>
        </w:tc>
        <w:tc>
          <w:tcPr>
            <w:tcW w:type="dxa" w:w="4200"/>
            <w:tcBorders>
              <w:top w:val="single" w:color="B7CBEA" w:sz="6"/>
              <w:left w:val="single" w:color="B7CBEA" w:sz="6"/>
              <w:bottom w:val="single" w:color="B7CBEA" w:sz="6"/>
              <w:right w:val="single" w:color="B7CBEA" w:sz="6"/>
            </w:tcBorders>
            <w:tcMar>
              <w:top w:type="dxa" w:w="90"/>
              <w:left w:type="dxa" w:w="110"/>
              <w:bottom w:type="dxa" w:w="90"/>
              <w:right w:type="dxa" w:w="110"/>
            </w:tcMar>
          </w:tcPr>
          <w:p>
            <w:pPr>
              <w:spacing w:after="0" w:before="0" w:line="230"/>
            </w:pPr>
            <w:r>
              <w:rPr>
                <w:rFonts w:ascii="Aptos" w:cs="Aptos" w:eastAsia="Aptos" w:hAnsi="Aptos"/>
                <w:b w:val="false"/>
                <w:bCs w:val="false"/>
                <w:i w:val="false"/>
                <w:iCs w:val="false"/>
                <w:color w:val="16335D"/>
                <w:sz w:val="18"/>
                <w:szCs w:val="18"/>
              </w:rPr>
              <w:t xml:space="preserve">Role-based authentication, authorization, evidence-lineage versioning, and confidence-rule version history.</w:t>
            </w:r>
          </w:p>
        </w:tc>
        <w:tc>
          <w:tcPr>
            <w:tcW w:type="dxa" w:w="3260"/>
            <w:tcBorders>
              <w:top w:val="single" w:color="B7CBEA" w:sz="6"/>
              <w:left w:val="single" w:color="B7CBEA" w:sz="6"/>
              <w:bottom w:val="single" w:color="B7CBEA" w:sz="6"/>
              <w:right w:val="single" w:color="B7CBEA" w:sz="6"/>
            </w:tcBorders>
            <w:tcMar>
              <w:top w:type="dxa" w:w="90"/>
              <w:left w:type="dxa" w:w="110"/>
              <w:bottom w:type="dxa" w:w="90"/>
              <w:right w:type="dxa" w:w="110"/>
            </w:tcMar>
          </w:tcPr>
          <w:p>
            <w:pPr>
              <w:spacing w:after="0" w:before="0" w:line="230"/>
            </w:pPr>
            <w:r>
              <w:rPr>
                <w:rFonts w:ascii="Aptos" w:cs="Aptos" w:eastAsia="Aptos" w:hAnsi="Aptos"/>
                <w:b w:val="false"/>
                <w:bCs w:val="false"/>
                <w:i w:val="false"/>
                <w:iCs w:val="false"/>
                <w:color w:val="16335D"/>
                <w:sz w:val="18"/>
                <w:szCs w:val="18"/>
              </w:rPr>
              <w:t xml:space="preserve">Use approved identity, privacy, and access-control requirements before any real data connection.</w:t>
            </w:r>
          </w:p>
        </w:tc>
      </w:tr>
      <w:tr>
        <w:tc>
          <w:tcPr>
            <w:tcW w:type="dxa" w:w="1900"/>
            <w:tcBorders>
              <w:top w:val="single" w:color="B7CBEA" w:sz="6"/>
              <w:left w:val="single" w:color="B7CBEA" w:sz="6"/>
              <w:bottom w:val="single" w:color="B7CBEA" w:sz="6"/>
              <w:right w:val="single" w:color="B7CBEA" w:sz="6"/>
            </w:tcBorders>
            <w:tcMar>
              <w:top w:type="dxa" w:w="90"/>
              <w:left w:type="dxa" w:w="110"/>
              <w:bottom w:type="dxa" w:w="90"/>
              <w:right w:type="dxa" w:w="110"/>
            </w:tcMar>
          </w:tcPr>
          <w:p>
            <w:pPr>
              <w:spacing w:after="0" w:before="0" w:line="230"/>
            </w:pPr>
            <w:r>
              <w:rPr>
                <w:rFonts w:ascii="Aptos" w:cs="Aptos" w:eastAsia="Aptos" w:hAnsi="Aptos"/>
                <w:b w:val="false"/>
                <w:bCs w:val="false"/>
                <w:i w:val="false"/>
                <w:iCs w:val="false"/>
                <w:color w:val="16335D"/>
                <w:sz w:val="18"/>
                <w:szCs w:val="18"/>
              </w:rPr>
              <w:t xml:space="preserve">Scale with governance</w:t>
            </w:r>
          </w:p>
        </w:tc>
        <w:tc>
          <w:tcPr>
            <w:tcW w:type="dxa" w:w="4200"/>
            <w:tcBorders>
              <w:top w:val="single" w:color="B7CBEA" w:sz="6"/>
              <w:left w:val="single" w:color="B7CBEA" w:sz="6"/>
              <w:bottom w:val="single" w:color="B7CBEA" w:sz="6"/>
              <w:right w:val="single" w:color="B7CBEA" w:sz="6"/>
            </w:tcBorders>
            <w:tcMar>
              <w:top w:type="dxa" w:w="90"/>
              <w:left w:type="dxa" w:w="110"/>
              <w:bottom w:type="dxa" w:w="90"/>
              <w:right w:type="dxa" w:w="110"/>
            </w:tcMar>
          </w:tcPr>
          <w:p>
            <w:pPr>
              <w:spacing w:after="0" w:before="0" w:line="230"/>
            </w:pPr>
            <w:r>
              <w:rPr>
                <w:rFonts w:ascii="Aptos" w:cs="Aptos" w:eastAsia="Aptos" w:hAnsi="Aptos"/>
                <w:b w:val="false"/>
                <w:bCs w:val="false"/>
                <w:i w:val="false"/>
                <w:iCs w:val="false"/>
                <w:color w:val="16335D"/>
                <w:sz w:val="18"/>
                <w:szCs w:val="18"/>
              </w:rPr>
              <w:t xml:space="preserve">Document ingestion controls, monitored retrieval evaluation, approved integrations, and reviewer-feedback analytics.</w:t>
            </w:r>
          </w:p>
        </w:tc>
        <w:tc>
          <w:tcPr>
            <w:tcW w:type="dxa" w:w="3260"/>
            <w:tcBorders>
              <w:top w:val="single" w:color="B7CBEA" w:sz="6"/>
              <w:left w:val="single" w:color="B7CBEA" w:sz="6"/>
              <w:bottom w:val="single" w:color="B7CBEA" w:sz="6"/>
              <w:right w:val="single" w:color="B7CBEA" w:sz="6"/>
            </w:tcBorders>
            <w:tcMar>
              <w:top w:type="dxa" w:w="90"/>
              <w:left w:type="dxa" w:w="110"/>
              <w:bottom w:type="dxa" w:w="90"/>
              <w:right w:type="dxa" w:w="110"/>
            </w:tcMar>
          </w:tcPr>
          <w:p>
            <w:pPr>
              <w:spacing w:after="0" w:before="0" w:line="230"/>
            </w:pPr>
            <w:r>
              <w:rPr>
                <w:rFonts w:ascii="Aptos" w:cs="Aptos" w:eastAsia="Aptos" w:hAnsi="Aptos"/>
                <w:b w:val="false"/>
                <w:bCs w:val="false"/>
                <w:i w:val="false"/>
                <w:iCs w:val="false"/>
                <w:color w:val="16335D"/>
                <w:sz w:val="18"/>
                <w:szCs w:val="18"/>
              </w:rPr>
              <w:t xml:space="preserve">Establish data governance, human review protocols, model-risk assessment, and operational ownership first.</w:t>
            </w:r>
          </w:p>
        </w:tc>
      </w:tr>
    </w:tbl>
    <w:p>
      <w:pPr>
        <w:pStyle w:val="Heading1"/>
        <w:spacing w:after="130" w:before="300"/>
      </w:pPr>
      <w:r>
        <w:t xml:space="preserve">13. Detailed FAQ and final live-demo preparation</w:t>
      </w:r>
    </w:p>
    <w:p>
      <w:pPr>
        <w:spacing w:after="140" w:before="0" w:line="276"/>
      </w:pPr>
      <w:r>
        <w:rPr>
          <w:rFonts w:ascii="Aptos" w:cs="Aptos" w:eastAsia="Aptos" w:hAnsi="Aptos"/>
          <w:b w:val="false"/>
          <w:bCs w:val="false"/>
          <w:i w:val="false"/>
          <w:iCs w:val="false"/>
          <w:color w:val="16335D"/>
          <w:sz w:val="21"/>
          <w:szCs w:val="21"/>
        </w:rPr>
        <w:t xml:space="preserve">The following answers are prepared from the implemented demo, not from hypothetical features. They are intended for faculty questions during the same 15-minute presentation session. The FAQ appendix in the deck is deliberately short; this Blueprint retains the detailed version.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50"/>
        <w:gridCol w:w="7050"/>
      </w:tblGrid>
      <w:tr>
        <w:trPr>
          <w:tblHeader/>
        </w:trPr>
        <w:tc>
          <w:tcPr>
            <w:tcW w:type="dxa" w:w="3050"/>
            <w:tcBorders>
              <w:top w:val="single" w:color="B7CBEA" w:sz="6"/>
              <w:left w:val="single" w:color="B7CBEA" w:sz="6"/>
              <w:bottom w:val="single" w:color="B7CBEA" w:sz="6"/>
              <w:right w:val="single" w:color="B7CBEA" w:sz="6"/>
            </w:tcBorders>
            <w:shd w:fill="16335D" w:color="16335D" w:val="clear"/>
            <w:tcMar>
              <w:top w:type="dxa" w:w="90"/>
              <w:left w:type="dxa" w:w="110"/>
              <w:bottom w:type="dxa" w:w="90"/>
              <w:right w:type="dxa" w:w="110"/>
            </w:tcMar>
          </w:tcPr>
          <w:p>
            <w:pPr>
              <w:spacing w:after="0" w:before="0" w:line="230"/>
            </w:pPr>
            <w:r>
              <w:rPr>
                <w:rFonts w:ascii="Aptos" w:cs="Aptos" w:eastAsia="Aptos" w:hAnsi="Aptos"/>
                <w:b/>
                <w:bCs/>
                <w:i w:val="false"/>
                <w:iCs w:val="false"/>
                <w:color w:val="FFFFFF"/>
                <w:sz w:val="18"/>
                <w:szCs w:val="18"/>
              </w:rPr>
              <w:t xml:space="preserve">Likely question</w:t>
            </w:r>
          </w:p>
        </w:tc>
        <w:tc>
          <w:tcPr>
            <w:tcW w:type="dxa" w:w="7050"/>
            <w:tcBorders>
              <w:top w:val="single" w:color="B7CBEA" w:sz="6"/>
              <w:left w:val="single" w:color="B7CBEA" w:sz="6"/>
              <w:bottom w:val="single" w:color="B7CBEA" w:sz="6"/>
              <w:right w:val="single" w:color="B7CBEA" w:sz="6"/>
            </w:tcBorders>
            <w:shd w:fill="16335D" w:color="16335D" w:val="clear"/>
            <w:tcMar>
              <w:top w:type="dxa" w:w="90"/>
              <w:left w:type="dxa" w:w="110"/>
              <w:bottom w:type="dxa" w:w="90"/>
              <w:right w:type="dxa" w:w="110"/>
            </w:tcMar>
          </w:tcPr>
          <w:p>
            <w:pPr>
              <w:spacing w:after="0" w:before="0" w:line="230"/>
            </w:pPr>
            <w:r>
              <w:rPr>
                <w:rFonts w:ascii="Aptos" w:cs="Aptos" w:eastAsia="Aptos" w:hAnsi="Aptos"/>
                <w:b/>
                <w:bCs/>
                <w:i w:val="false"/>
                <w:iCs w:val="false"/>
                <w:color w:val="FFFFFF"/>
                <w:sz w:val="18"/>
                <w:szCs w:val="18"/>
              </w:rPr>
              <w:t xml:space="preserve">Prepared answer</w:t>
            </w:r>
          </w:p>
        </w:tc>
      </w:tr>
      <w:tr>
        <w:tc>
          <w:tcPr>
            <w:tcW w:type="dxa" w:w="3050"/>
            <w:tcBorders>
              <w:top w:val="single" w:color="B7CBEA" w:sz="6"/>
              <w:left w:val="single" w:color="B7CBEA" w:sz="6"/>
              <w:bottom w:val="single" w:color="B7CBEA" w:sz="6"/>
              <w:right w:val="single" w:color="B7CBEA" w:sz="6"/>
            </w:tcBorders>
            <w:tcMar>
              <w:top w:type="dxa" w:w="90"/>
              <w:left w:type="dxa" w:w="110"/>
              <w:bottom w:type="dxa" w:w="90"/>
              <w:right w:type="dxa" w:w="110"/>
            </w:tcMar>
          </w:tcPr>
          <w:p>
            <w:pPr>
              <w:spacing w:after="0" w:before="0" w:line="230"/>
            </w:pPr>
            <w:r>
              <w:rPr>
                <w:rFonts w:ascii="Aptos" w:cs="Aptos" w:eastAsia="Aptos" w:hAnsi="Aptos"/>
                <w:b w:val="false"/>
                <w:bCs w:val="false"/>
                <w:i w:val="false"/>
                <w:iCs w:val="false"/>
                <w:color w:val="16335D"/>
                <w:sz w:val="18"/>
                <w:szCs w:val="18"/>
              </w:rPr>
              <w:t xml:space="preserve">Where does the data come from?</w:t>
            </w:r>
          </w:p>
        </w:tc>
        <w:tc>
          <w:tcPr>
            <w:tcW w:type="dxa" w:w="7050"/>
            <w:tcBorders>
              <w:top w:val="single" w:color="B7CBEA" w:sz="6"/>
              <w:left w:val="single" w:color="B7CBEA" w:sz="6"/>
              <w:bottom w:val="single" w:color="B7CBEA" w:sz="6"/>
              <w:right w:val="single" w:color="B7CBEA" w:sz="6"/>
            </w:tcBorders>
            <w:tcMar>
              <w:top w:type="dxa" w:w="90"/>
              <w:left w:type="dxa" w:w="110"/>
              <w:bottom w:type="dxa" w:w="90"/>
              <w:right w:type="dxa" w:w="110"/>
            </w:tcMar>
          </w:tcPr>
          <w:p>
            <w:pPr>
              <w:spacing w:after="0" w:before="0" w:line="230"/>
            </w:pPr>
            <w:r>
              <w:rPr>
                <w:rFonts w:ascii="Aptos" w:cs="Aptos" w:eastAsia="Aptos" w:hAnsi="Aptos"/>
                <w:b w:val="false"/>
                <w:bCs w:val="false"/>
                <w:i w:val="false"/>
                <w:iCs w:val="false"/>
                <w:color w:val="16335D"/>
                <w:sz w:val="18"/>
                <w:szCs w:val="18"/>
              </w:rPr>
              <w:t xml:space="preserve">All customers, cases, alerts, transactions, documents, and knowledge sources are fictional course material stored locally for this demonstration. The prototype is not connected to a bank feed, a live customer system, or an external regulator.</w:t>
            </w:r>
          </w:p>
        </w:tc>
      </w:tr>
      <w:tr>
        <w:tc>
          <w:tcPr>
            <w:tcW w:type="dxa" w:w="3050"/>
            <w:tcBorders>
              <w:top w:val="single" w:color="B7CBEA" w:sz="6"/>
              <w:left w:val="single" w:color="B7CBEA" w:sz="6"/>
              <w:bottom w:val="single" w:color="B7CBEA" w:sz="6"/>
              <w:right w:val="single" w:color="B7CBEA" w:sz="6"/>
            </w:tcBorders>
            <w:tcMar>
              <w:top w:type="dxa" w:w="90"/>
              <w:left w:type="dxa" w:w="110"/>
              <w:bottom w:type="dxa" w:w="90"/>
              <w:right w:type="dxa" w:w="110"/>
            </w:tcMar>
          </w:tcPr>
          <w:p>
            <w:pPr>
              <w:spacing w:after="0" w:before="0" w:line="230"/>
            </w:pPr>
            <w:r>
              <w:rPr>
                <w:rFonts w:ascii="Aptos" w:cs="Aptos" w:eastAsia="Aptos" w:hAnsi="Aptos"/>
                <w:b w:val="false"/>
                <w:bCs w:val="false"/>
                <w:i w:val="false"/>
                <w:iCs w:val="false"/>
                <w:color w:val="16335D"/>
                <w:sz w:val="18"/>
                <w:szCs w:val="18"/>
              </w:rPr>
              <w:t xml:space="preserve">Why is a retrieved passage relevant?</w:t>
            </w:r>
          </w:p>
        </w:tc>
        <w:tc>
          <w:tcPr>
            <w:tcW w:type="dxa" w:w="7050"/>
            <w:tcBorders>
              <w:top w:val="single" w:color="B7CBEA" w:sz="6"/>
              <w:left w:val="single" w:color="B7CBEA" w:sz="6"/>
              <w:bottom w:val="single" w:color="B7CBEA" w:sz="6"/>
              <w:right w:val="single" w:color="B7CBEA" w:sz="6"/>
            </w:tcBorders>
            <w:tcMar>
              <w:top w:type="dxa" w:w="90"/>
              <w:left w:type="dxa" w:w="110"/>
              <w:bottom w:type="dxa" w:w="90"/>
              <w:right w:type="dxa" w:w="110"/>
            </w:tcMar>
          </w:tcPr>
          <w:p>
            <w:pPr>
              <w:spacing w:after="0" w:before="0" w:line="230"/>
            </w:pPr>
            <w:r>
              <w:rPr>
                <w:rFonts w:ascii="Aptos" w:cs="Aptos" w:eastAsia="Aptos" w:hAnsi="Aptos"/>
                <w:b w:val="false"/>
                <w:bCs w:val="false"/>
                <w:i w:val="false"/>
                <w:iCs w:val="false"/>
                <w:color w:val="16335D"/>
                <w:sz w:val="18"/>
                <w:szCs w:val="18"/>
              </w:rPr>
              <w:t xml:space="preserve">The selected case and scenario scope the available material. SQLite FTS5 matches keywords in local text and BM25 ranks matching passages. The reviewer can open the source record or exact chunk. Relevance ranking is not truth verification.</w:t>
            </w:r>
          </w:p>
        </w:tc>
      </w:tr>
      <w:tr>
        <w:tc>
          <w:tcPr>
            <w:tcW w:type="dxa" w:w="3050"/>
            <w:tcBorders>
              <w:top w:val="single" w:color="B7CBEA" w:sz="6"/>
              <w:left w:val="single" w:color="B7CBEA" w:sz="6"/>
              <w:bottom w:val="single" w:color="B7CBEA" w:sz="6"/>
              <w:right w:val="single" w:color="B7CBEA" w:sz="6"/>
            </w:tcBorders>
            <w:tcMar>
              <w:top w:type="dxa" w:w="90"/>
              <w:left w:type="dxa" w:w="110"/>
              <w:bottom w:type="dxa" w:w="90"/>
              <w:right w:type="dxa" w:w="110"/>
            </w:tcMar>
          </w:tcPr>
          <w:p>
            <w:pPr>
              <w:spacing w:after="0" w:before="0" w:line="230"/>
            </w:pPr>
            <w:r>
              <w:rPr>
                <w:rFonts w:ascii="Aptos" w:cs="Aptos" w:eastAsia="Aptos" w:hAnsi="Aptos"/>
                <w:b w:val="false"/>
                <w:bCs w:val="false"/>
                <w:i w:val="false"/>
                <w:iCs w:val="false"/>
                <w:color w:val="16335D"/>
                <w:sz w:val="18"/>
                <w:szCs w:val="18"/>
              </w:rPr>
              <w:t xml:space="preserve">Where is AI actually used?</w:t>
            </w:r>
          </w:p>
        </w:tc>
        <w:tc>
          <w:tcPr>
            <w:tcW w:type="dxa" w:w="7050"/>
            <w:tcBorders>
              <w:top w:val="single" w:color="B7CBEA" w:sz="6"/>
              <w:left w:val="single" w:color="B7CBEA" w:sz="6"/>
              <w:bottom w:val="single" w:color="B7CBEA" w:sz="6"/>
              <w:right w:val="single" w:color="B7CBEA" w:sz="6"/>
            </w:tcBorders>
            <w:tcMar>
              <w:top w:type="dxa" w:w="90"/>
              <w:left w:type="dxa" w:w="110"/>
              <w:bottom w:type="dxa" w:w="90"/>
              <w:right w:type="dxa" w:w="110"/>
            </w:tcMar>
          </w:tcPr>
          <w:p>
            <w:pPr>
              <w:spacing w:after="0" w:before="0" w:line="230"/>
            </w:pPr>
            <w:r>
              <w:rPr>
                <w:rFonts w:ascii="Aptos" w:cs="Aptos" w:eastAsia="Aptos" w:hAnsi="Aptos"/>
                <w:b w:val="false"/>
                <w:bCs w:val="false"/>
                <w:i w:val="false"/>
                <w:iCs w:val="false"/>
                <w:color w:val="16335D"/>
                <w:sz w:val="18"/>
                <w:szCs w:val="18"/>
              </w:rPr>
              <w:t xml:space="preserve">Five specialist components gather and calculate evidence inputs. The Investigation Summary Agent may make the optional Gemini call to draft a structured report. Calculated mode makes no model call. The implementation does not use CEO/CFO persona agents.</w:t>
            </w:r>
          </w:p>
        </w:tc>
      </w:tr>
      <w:tr>
        <w:tc>
          <w:tcPr>
            <w:tcW w:type="dxa" w:w="3050"/>
            <w:tcBorders>
              <w:top w:val="single" w:color="B7CBEA" w:sz="6"/>
              <w:left w:val="single" w:color="B7CBEA" w:sz="6"/>
              <w:bottom w:val="single" w:color="B7CBEA" w:sz="6"/>
              <w:right w:val="single" w:color="B7CBEA" w:sz="6"/>
            </w:tcBorders>
            <w:tcMar>
              <w:top w:type="dxa" w:w="90"/>
              <w:left w:type="dxa" w:w="110"/>
              <w:bottom w:type="dxa" w:w="90"/>
              <w:right w:type="dxa" w:w="110"/>
            </w:tcMar>
          </w:tcPr>
          <w:p>
            <w:pPr>
              <w:spacing w:after="0" w:before="0" w:line="230"/>
            </w:pPr>
            <w:r>
              <w:rPr>
                <w:rFonts w:ascii="Aptos" w:cs="Aptos" w:eastAsia="Aptos" w:hAnsi="Aptos"/>
                <w:b w:val="false"/>
                <w:bCs w:val="false"/>
                <w:i w:val="false"/>
                <w:iCs w:val="false"/>
                <w:color w:val="16335D"/>
                <w:sz w:val="18"/>
                <w:szCs w:val="18"/>
              </w:rPr>
              <w:t xml:space="preserve">How do you reduce hallucination or unsafe output?</w:t>
            </w:r>
          </w:p>
        </w:tc>
        <w:tc>
          <w:tcPr>
            <w:tcW w:type="dxa" w:w="7050"/>
            <w:tcBorders>
              <w:top w:val="single" w:color="B7CBEA" w:sz="6"/>
              <w:left w:val="single" w:color="B7CBEA" w:sz="6"/>
              <w:bottom w:val="single" w:color="B7CBEA" w:sz="6"/>
              <w:right w:val="single" w:color="B7CBEA" w:sz="6"/>
            </w:tcBorders>
            <w:tcMar>
              <w:top w:type="dxa" w:w="90"/>
              <w:left w:type="dxa" w:w="110"/>
              <w:bottom w:type="dxa" w:w="90"/>
              <w:right w:type="dxa" w:w="110"/>
            </w:tcMar>
          </w:tcPr>
          <w:p>
            <w:pPr>
              <w:spacing w:after="0" w:before="0" w:line="230"/>
            </w:pPr>
            <w:r>
              <w:rPr>
                <w:rFonts w:ascii="Aptos" w:cs="Aptos" w:eastAsia="Aptos" w:hAnsi="Aptos"/>
                <w:b w:val="false"/>
                <w:bCs w:val="false"/>
                <w:i w:val="false"/>
                <w:iCs w:val="false"/>
                <w:color w:val="16335D"/>
                <w:sz w:val="18"/>
                <w:szCs w:val="18"/>
              </w:rPr>
              <w:t xml:space="preserve">The product uses supplied evidence and known source IDs, requires cited material, applies grounded wording rules, detects obvious prompt-like text, checks selected ratios and forbidden verdict language, and surfaces an evidence-confidence score with limitations. These controls reduce specific risks; they do not guarantee truth or eliminate hallucination.</w:t>
            </w:r>
          </w:p>
        </w:tc>
      </w:tr>
      <w:tr>
        <w:tc>
          <w:tcPr>
            <w:tcW w:type="dxa" w:w="3050"/>
            <w:tcBorders>
              <w:top w:val="single" w:color="B7CBEA" w:sz="6"/>
              <w:left w:val="single" w:color="B7CBEA" w:sz="6"/>
              <w:bottom w:val="single" w:color="B7CBEA" w:sz="6"/>
              <w:right w:val="single" w:color="B7CBEA" w:sz="6"/>
            </w:tcBorders>
            <w:tcMar>
              <w:top w:type="dxa" w:w="90"/>
              <w:left w:type="dxa" w:w="110"/>
              <w:bottom w:type="dxa" w:w="90"/>
              <w:right w:type="dxa" w:w="110"/>
            </w:tcMar>
          </w:tcPr>
          <w:p>
            <w:pPr>
              <w:spacing w:after="0" w:before="0" w:line="230"/>
            </w:pPr>
            <w:r>
              <w:rPr>
                <w:rFonts w:ascii="Aptos" w:cs="Aptos" w:eastAsia="Aptos" w:hAnsi="Aptos"/>
                <w:b w:val="false"/>
                <w:bCs w:val="false"/>
                <w:i w:val="false"/>
                <w:iCs w:val="false"/>
                <w:color w:val="16335D"/>
                <w:sz w:val="18"/>
                <w:szCs w:val="18"/>
              </w:rPr>
              <w:t xml:space="preserve">Does a citation or confidence score prove that a case is legitimate or suspicious?</w:t>
            </w:r>
          </w:p>
        </w:tc>
        <w:tc>
          <w:tcPr>
            <w:tcW w:type="dxa" w:w="7050"/>
            <w:tcBorders>
              <w:top w:val="single" w:color="B7CBEA" w:sz="6"/>
              <w:left w:val="single" w:color="B7CBEA" w:sz="6"/>
              <w:bottom w:val="single" w:color="B7CBEA" w:sz="6"/>
              <w:right w:val="single" w:color="B7CBEA" w:sz="6"/>
            </w:tcBorders>
            <w:tcMar>
              <w:top w:type="dxa" w:w="90"/>
              <w:left w:type="dxa" w:w="110"/>
              <w:bottom w:type="dxa" w:w="90"/>
              <w:right w:type="dxa" w:w="110"/>
            </w:tcMar>
          </w:tcPr>
          <w:p>
            <w:pPr>
              <w:spacing w:after="0" w:before="0" w:line="230"/>
            </w:pPr>
            <w:r>
              <w:rPr>
                <w:rFonts w:ascii="Aptos" w:cs="Aptos" w:eastAsia="Aptos" w:hAnsi="Aptos"/>
                <w:b w:val="false"/>
                <w:bCs w:val="false"/>
                <w:i w:val="false"/>
                <w:iCs w:val="false"/>
                <w:color w:val="16335D"/>
                <w:sz w:val="18"/>
                <w:szCs w:val="18"/>
              </w:rPr>
              <w:t xml:space="preserve">No. A citation is a pointer to supplied text and the confidence score is deterministic support coverage for a draft. Neither is a probability of crime, legality assessment, or recommended workflow outcome. A named human must interpret the evidence and record the decision.</w:t>
            </w:r>
          </w:p>
        </w:tc>
      </w:tr>
      <w:tr>
        <w:tc>
          <w:tcPr>
            <w:tcW w:type="dxa" w:w="3050"/>
            <w:tcBorders>
              <w:top w:val="single" w:color="B7CBEA" w:sz="6"/>
              <w:left w:val="single" w:color="B7CBEA" w:sz="6"/>
              <w:bottom w:val="single" w:color="B7CBEA" w:sz="6"/>
              <w:right w:val="single" w:color="B7CBEA" w:sz="6"/>
            </w:tcBorders>
            <w:tcMar>
              <w:top w:type="dxa" w:w="90"/>
              <w:left w:type="dxa" w:w="110"/>
              <w:bottom w:type="dxa" w:w="90"/>
              <w:right w:type="dxa" w:w="110"/>
            </w:tcMar>
          </w:tcPr>
          <w:p>
            <w:pPr>
              <w:spacing w:after="0" w:before="0" w:line="230"/>
            </w:pPr>
            <w:r>
              <w:rPr>
                <w:rFonts w:ascii="Aptos" w:cs="Aptos" w:eastAsia="Aptos" w:hAnsi="Aptos"/>
                <w:b w:val="false"/>
                <w:bCs w:val="false"/>
                <w:i w:val="false"/>
                <w:iCs w:val="false"/>
                <w:color w:val="16335D"/>
                <w:sz w:val="18"/>
                <w:szCs w:val="18"/>
              </w:rPr>
              <w:t xml:space="preserve">Is the demo role selector real role-based access control?</w:t>
            </w:r>
          </w:p>
        </w:tc>
        <w:tc>
          <w:tcPr>
            <w:tcW w:type="dxa" w:w="7050"/>
            <w:tcBorders>
              <w:top w:val="single" w:color="B7CBEA" w:sz="6"/>
              <w:left w:val="single" w:color="B7CBEA" w:sz="6"/>
              <w:bottom w:val="single" w:color="B7CBEA" w:sz="6"/>
              <w:right w:val="single" w:color="B7CBEA" w:sz="6"/>
            </w:tcBorders>
            <w:tcMar>
              <w:top w:type="dxa" w:w="90"/>
              <w:left w:type="dxa" w:w="110"/>
              <w:bottom w:type="dxa" w:w="90"/>
              <w:right w:type="dxa" w:w="110"/>
            </w:tcMar>
          </w:tcPr>
          <w:p>
            <w:pPr>
              <w:spacing w:after="0" w:before="0" w:line="230"/>
            </w:pPr>
            <w:r>
              <w:rPr>
                <w:rFonts w:ascii="Aptos" w:cs="Aptos" w:eastAsia="Aptos" w:hAnsi="Aptos"/>
                <w:b w:val="false"/>
                <w:bCs w:val="false"/>
                <w:i w:val="false"/>
                <w:iCs w:val="false"/>
                <w:color w:val="16335D"/>
                <w:sz w:val="18"/>
                <w:szCs w:val="18"/>
              </w:rPr>
              <w:t xml:space="preserve">No. It is a display/workflow label. Admin views use a limited passcode gate, but this is not production authentication or authorization. The passcode is not shown in the presentation, demo, Blueprint, or video.</w:t>
            </w:r>
          </w:p>
        </w:tc>
      </w:tr>
      <w:tr>
        <w:tc>
          <w:tcPr>
            <w:tcW w:type="dxa" w:w="3050"/>
            <w:tcBorders>
              <w:top w:val="single" w:color="B7CBEA" w:sz="6"/>
              <w:left w:val="single" w:color="B7CBEA" w:sz="6"/>
              <w:bottom w:val="single" w:color="B7CBEA" w:sz="6"/>
              <w:right w:val="single" w:color="B7CBEA" w:sz="6"/>
            </w:tcBorders>
            <w:tcMar>
              <w:top w:type="dxa" w:w="90"/>
              <w:left w:type="dxa" w:w="110"/>
              <w:bottom w:type="dxa" w:w="90"/>
              <w:right w:type="dxa" w:w="110"/>
            </w:tcMar>
          </w:tcPr>
          <w:p>
            <w:pPr>
              <w:spacing w:after="0" w:before="0" w:line="230"/>
            </w:pPr>
            <w:r>
              <w:rPr>
                <w:rFonts w:ascii="Aptos" w:cs="Aptos" w:eastAsia="Aptos" w:hAnsi="Aptos"/>
                <w:b w:val="false"/>
                <w:bCs w:val="false"/>
                <w:i w:val="false"/>
                <w:iCs w:val="false"/>
                <w:color w:val="16335D"/>
                <w:sz w:val="18"/>
                <w:szCs w:val="18"/>
              </w:rPr>
              <w:t xml:space="preserve">What is recorded in the audit trail?</w:t>
            </w:r>
          </w:p>
        </w:tc>
        <w:tc>
          <w:tcPr>
            <w:tcW w:type="dxa" w:w="7050"/>
            <w:tcBorders>
              <w:top w:val="single" w:color="B7CBEA" w:sz="6"/>
              <w:left w:val="single" w:color="B7CBEA" w:sz="6"/>
              <w:bottom w:val="single" w:color="B7CBEA" w:sz="6"/>
              <w:right w:val="single" w:color="B7CBEA" w:sz="6"/>
            </w:tcBorders>
            <w:tcMar>
              <w:top w:type="dxa" w:w="90"/>
              <w:left w:type="dxa" w:w="110"/>
              <w:bottom w:type="dxa" w:w="90"/>
              <w:right w:type="dxa" w:w="110"/>
            </w:tcMar>
          </w:tcPr>
          <w:p>
            <w:pPr>
              <w:spacing w:after="0" w:before="0" w:line="230"/>
            </w:pPr>
            <w:r>
              <w:rPr>
                <w:rFonts w:ascii="Aptos" w:cs="Aptos" w:eastAsia="Aptos" w:hAnsi="Aptos"/>
                <w:b w:val="false"/>
                <w:bCs w:val="false"/>
                <w:i w:val="false"/>
                <w:iCs w:val="false"/>
                <w:color w:val="16335D"/>
                <w:sz w:val="18"/>
                <w:szCs w:val="18"/>
              </w:rPr>
              <w:t xml:space="preserve">System, AI, and human workflow events retain the active case context. A human decision requires a name and written rationale and creates a new recorded state. Compliance review creates an additional auditable step rather than overwriting the earlier decision.</w:t>
            </w:r>
          </w:p>
        </w:tc>
      </w:tr>
      <w:tr>
        <w:tc>
          <w:tcPr>
            <w:tcW w:type="dxa" w:w="3050"/>
            <w:tcBorders>
              <w:top w:val="single" w:color="B7CBEA" w:sz="6"/>
              <w:left w:val="single" w:color="B7CBEA" w:sz="6"/>
              <w:bottom w:val="single" w:color="B7CBEA" w:sz="6"/>
              <w:right w:val="single" w:color="B7CBEA" w:sz="6"/>
            </w:tcBorders>
            <w:tcMar>
              <w:top w:type="dxa" w:w="90"/>
              <w:left w:type="dxa" w:w="110"/>
              <w:bottom w:type="dxa" w:w="90"/>
              <w:right w:type="dxa" w:w="110"/>
            </w:tcMar>
          </w:tcPr>
          <w:p>
            <w:pPr>
              <w:spacing w:after="0" w:before="0" w:line="230"/>
            </w:pPr>
            <w:r>
              <w:rPr>
                <w:rFonts w:ascii="Aptos" w:cs="Aptos" w:eastAsia="Aptos" w:hAnsi="Aptos"/>
                <w:b w:val="false"/>
                <w:bCs w:val="false"/>
                <w:i w:val="false"/>
                <w:iCs w:val="false"/>
                <w:color w:val="16335D"/>
                <w:sz w:val="18"/>
                <w:szCs w:val="18"/>
              </w:rPr>
              <w:t xml:space="preserve">What is the business value or ROI?</w:t>
            </w:r>
          </w:p>
        </w:tc>
        <w:tc>
          <w:tcPr>
            <w:tcW w:type="dxa" w:w="7050"/>
            <w:tcBorders>
              <w:top w:val="single" w:color="B7CBEA" w:sz="6"/>
              <w:left w:val="single" w:color="B7CBEA" w:sz="6"/>
              <w:bottom w:val="single" w:color="B7CBEA" w:sz="6"/>
              <w:right w:val="single" w:color="B7CBEA" w:sz="6"/>
            </w:tcBorders>
            <w:tcMar>
              <w:top w:type="dxa" w:w="90"/>
              <w:left w:type="dxa" w:w="110"/>
              <w:bottom w:type="dxa" w:w="90"/>
              <w:right w:type="dxa" w:w="110"/>
            </w:tcMar>
          </w:tcPr>
          <w:p>
            <w:pPr>
              <w:spacing w:after="0" w:before="0" w:line="230"/>
            </w:pPr>
            <w:r>
              <w:rPr>
                <w:rFonts w:ascii="Aptos" w:cs="Aptos" w:eastAsia="Aptos" w:hAnsi="Aptos"/>
                <w:b w:val="false"/>
                <w:bCs w:val="false"/>
                <w:i w:val="false"/>
                <w:iCs w:val="false"/>
                <w:color w:val="16335D"/>
                <w:sz w:val="18"/>
                <w:szCs w:val="18"/>
              </w:rPr>
              <w:t xml:space="preserve">The prototype does not claim savings from fictional data. A governed pilot would measure lookup time, avoided rework, audit-reconstruction time, and safety issues against an approved cost baseline before calculating financial ROI.</w:t>
            </w:r>
          </w:p>
        </w:tc>
      </w:tr>
    </w:tbl>
    <w:p>
      <w:pPr>
        <w:pStyle w:val="Heading2"/>
        <w:spacing w:after="130" w:before="210"/>
      </w:pPr>
      <w:r>
        <w:t xml:space="preserve">Who prepares which topic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4250"/>
        <w:gridCol w:w="3800"/>
      </w:tblGrid>
      <w:tr>
        <w:trPr>
          <w:tblHeader/>
        </w:trPr>
        <w:tc>
          <w:tcPr>
            <w:tcW w:type="dxa" w:w="2050"/>
            <w:tcBorders>
              <w:top w:val="single" w:color="B7CBEA" w:sz="6"/>
              <w:left w:val="single" w:color="B7CBEA" w:sz="6"/>
              <w:bottom w:val="single" w:color="B7CBEA" w:sz="6"/>
              <w:right w:val="single" w:color="B7CBEA" w:sz="6"/>
            </w:tcBorders>
            <w:shd w:fill="16335D" w:color="16335D" w:val="clear"/>
            <w:tcMar>
              <w:top w:type="dxa" w:w="90"/>
              <w:left w:type="dxa" w:w="110"/>
              <w:bottom w:type="dxa" w:w="90"/>
              <w:right w:type="dxa" w:w="110"/>
            </w:tcMar>
          </w:tcPr>
          <w:p>
            <w:pPr>
              <w:spacing w:after="0" w:before="0" w:line="230"/>
            </w:pPr>
            <w:r>
              <w:rPr>
                <w:rFonts w:ascii="Aptos" w:cs="Aptos" w:eastAsia="Aptos" w:hAnsi="Aptos"/>
                <w:b/>
                <w:bCs/>
                <w:i w:val="false"/>
                <w:iCs w:val="false"/>
                <w:color w:val="FFFFFF"/>
                <w:sz w:val="18"/>
                <w:szCs w:val="18"/>
              </w:rPr>
              <w:t xml:space="preserve">Team member</w:t>
            </w:r>
          </w:p>
        </w:tc>
        <w:tc>
          <w:tcPr>
            <w:tcW w:type="dxa" w:w="4250"/>
            <w:tcBorders>
              <w:top w:val="single" w:color="B7CBEA" w:sz="6"/>
              <w:left w:val="single" w:color="B7CBEA" w:sz="6"/>
              <w:bottom w:val="single" w:color="B7CBEA" w:sz="6"/>
              <w:right w:val="single" w:color="B7CBEA" w:sz="6"/>
            </w:tcBorders>
            <w:shd w:fill="16335D" w:color="16335D" w:val="clear"/>
            <w:tcMar>
              <w:top w:type="dxa" w:w="90"/>
              <w:left w:type="dxa" w:w="110"/>
              <w:bottom w:type="dxa" w:w="90"/>
              <w:right w:type="dxa" w:w="110"/>
            </w:tcMar>
          </w:tcPr>
          <w:p>
            <w:pPr>
              <w:spacing w:after="0" w:before="0" w:line="230"/>
            </w:pPr>
            <w:r>
              <w:rPr>
                <w:rFonts w:ascii="Aptos" w:cs="Aptos" w:eastAsia="Aptos" w:hAnsi="Aptos"/>
                <w:b/>
                <w:bCs/>
                <w:i w:val="false"/>
                <w:iCs w:val="false"/>
                <w:color w:val="FFFFFF"/>
                <w:sz w:val="18"/>
                <w:szCs w:val="18"/>
              </w:rPr>
              <w:t xml:space="preserve">Preparation topic</w:t>
            </w:r>
          </w:p>
        </w:tc>
        <w:tc>
          <w:tcPr>
            <w:tcW w:type="dxa" w:w="3800"/>
            <w:tcBorders>
              <w:top w:val="single" w:color="B7CBEA" w:sz="6"/>
              <w:left w:val="single" w:color="B7CBEA" w:sz="6"/>
              <w:bottom w:val="single" w:color="B7CBEA" w:sz="6"/>
              <w:right w:val="single" w:color="B7CBEA" w:sz="6"/>
            </w:tcBorders>
            <w:shd w:fill="16335D" w:color="16335D" w:val="clear"/>
            <w:tcMar>
              <w:top w:type="dxa" w:w="90"/>
              <w:left w:type="dxa" w:w="110"/>
              <w:bottom w:type="dxa" w:w="90"/>
              <w:right w:type="dxa" w:w="110"/>
            </w:tcMar>
          </w:tcPr>
          <w:p>
            <w:pPr>
              <w:spacing w:after="0" w:before="0" w:line="230"/>
            </w:pPr>
            <w:r>
              <w:rPr>
                <w:rFonts w:ascii="Aptos" w:cs="Aptos" w:eastAsia="Aptos" w:hAnsi="Aptos"/>
                <w:b/>
                <w:bCs/>
                <w:i w:val="false"/>
                <w:iCs w:val="false"/>
                <w:color w:val="FFFFFF"/>
                <w:sz w:val="18"/>
                <w:szCs w:val="18"/>
              </w:rPr>
              <w:t xml:space="preserve">Live-session rule</w:t>
            </w:r>
          </w:p>
        </w:tc>
      </w:tr>
      <w:tr>
        <w:tc>
          <w:tcPr>
            <w:tcW w:type="dxa" w:w="2050"/>
            <w:tcBorders>
              <w:top w:val="single" w:color="B7CBEA" w:sz="6"/>
              <w:left w:val="single" w:color="B7CBEA" w:sz="6"/>
              <w:bottom w:val="single" w:color="B7CBEA" w:sz="6"/>
              <w:right w:val="single" w:color="B7CBEA" w:sz="6"/>
            </w:tcBorders>
            <w:tcMar>
              <w:top w:type="dxa" w:w="90"/>
              <w:left w:type="dxa" w:w="110"/>
              <w:bottom w:type="dxa" w:w="90"/>
              <w:right w:type="dxa" w:w="110"/>
            </w:tcMar>
          </w:tcPr>
          <w:p>
            <w:pPr>
              <w:spacing w:after="0" w:before="0" w:line="230"/>
            </w:pPr>
            <w:r>
              <w:rPr>
                <w:rFonts w:ascii="Aptos" w:cs="Aptos" w:eastAsia="Aptos" w:hAnsi="Aptos"/>
                <w:b w:val="false"/>
                <w:bCs w:val="false"/>
                <w:i w:val="false"/>
                <w:iCs w:val="false"/>
                <w:color w:val="16335D"/>
                <w:sz w:val="18"/>
                <w:szCs w:val="18"/>
              </w:rPr>
              <w:t xml:space="preserve">Soumya</w:t>
            </w:r>
          </w:p>
        </w:tc>
        <w:tc>
          <w:tcPr>
            <w:tcW w:type="dxa" w:w="4250"/>
            <w:tcBorders>
              <w:top w:val="single" w:color="B7CBEA" w:sz="6"/>
              <w:left w:val="single" w:color="B7CBEA" w:sz="6"/>
              <w:bottom w:val="single" w:color="B7CBEA" w:sz="6"/>
              <w:right w:val="single" w:color="B7CBEA" w:sz="6"/>
            </w:tcBorders>
            <w:tcMar>
              <w:top w:type="dxa" w:w="90"/>
              <w:left w:type="dxa" w:w="110"/>
              <w:bottom w:type="dxa" w:w="90"/>
              <w:right w:type="dxa" w:w="110"/>
            </w:tcMar>
          </w:tcPr>
          <w:p>
            <w:pPr>
              <w:spacing w:after="0" w:before="0" w:line="230"/>
            </w:pPr>
            <w:r>
              <w:rPr>
                <w:rFonts w:ascii="Aptos" w:cs="Aptos" w:eastAsia="Aptos" w:hAnsi="Aptos"/>
                <w:b w:val="false"/>
                <w:bCs w:val="false"/>
                <w:i w:val="false"/>
                <w:iCs w:val="false"/>
                <w:color w:val="16335D"/>
                <w:sz w:val="18"/>
                <w:szCs w:val="18"/>
              </w:rPr>
              <w:t xml:space="preserve">Primary presentation, product flow, and final delivery rehearsal.</w:t>
            </w:r>
          </w:p>
        </w:tc>
        <w:tc>
          <w:tcPr>
            <w:tcW w:type="dxa" w:w="3800"/>
            <w:tcBorders>
              <w:top w:val="single" w:color="B7CBEA" w:sz="6"/>
              <w:left w:val="single" w:color="B7CBEA" w:sz="6"/>
              <w:bottom w:val="single" w:color="B7CBEA" w:sz="6"/>
              <w:right w:val="single" w:color="B7CBEA" w:sz="6"/>
            </w:tcBorders>
            <w:tcMar>
              <w:top w:type="dxa" w:w="90"/>
              <w:left w:type="dxa" w:w="110"/>
              <w:bottom w:type="dxa" w:w="90"/>
              <w:right w:type="dxa" w:w="110"/>
            </w:tcMar>
          </w:tcPr>
          <w:p>
            <w:pPr>
              <w:spacing w:after="0" w:before="0" w:line="230"/>
            </w:pPr>
            <w:r>
              <w:rPr>
                <w:rFonts w:ascii="Aptos" w:cs="Aptos" w:eastAsia="Aptos" w:hAnsi="Aptos"/>
                <w:b w:val="false"/>
                <w:bCs w:val="false"/>
                <w:i w:val="false"/>
                <w:iCs w:val="false"/>
                <w:color w:val="16335D"/>
                <w:sz w:val="18"/>
                <w:szCs w:val="18"/>
              </w:rPr>
              <w:t xml:space="preserve">Sole presenter unless unavailable.</w:t>
            </w:r>
          </w:p>
        </w:tc>
      </w:tr>
      <w:tr>
        <w:tc>
          <w:tcPr>
            <w:tcW w:type="dxa" w:w="2050"/>
            <w:tcBorders>
              <w:top w:val="single" w:color="B7CBEA" w:sz="6"/>
              <w:left w:val="single" w:color="B7CBEA" w:sz="6"/>
              <w:bottom w:val="single" w:color="B7CBEA" w:sz="6"/>
              <w:right w:val="single" w:color="B7CBEA" w:sz="6"/>
            </w:tcBorders>
            <w:tcMar>
              <w:top w:type="dxa" w:w="90"/>
              <w:left w:type="dxa" w:w="110"/>
              <w:bottom w:type="dxa" w:w="90"/>
              <w:right w:type="dxa" w:w="110"/>
            </w:tcMar>
          </w:tcPr>
          <w:p>
            <w:pPr>
              <w:spacing w:after="0" w:before="0" w:line="230"/>
            </w:pPr>
            <w:r>
              <w:rPr>
                <w:rFonts w:ascii="Aptos" w:cs="Aptos" w:eastAsia="Aptos" w:hAnsi="Aptos"/>
                <w:b w:val="false"/>
                <w:bCs w:val="false"/>
                <w:i w:val="false"/>
                <w:iCs w:val="false"/>
                <w:color w:val="16335D"/>
                <w:sz w:val="18"/>
                <w:szCs w:val="18"/>
              </w:rPr>
              <w:t xml:space="preserve">Laxman Singh</w:t>
            </w:r>
          </w:p>
        </w:tc>
        <w:tc>
          <w:tcPr>
            <w:tcW w:type="dxa" w:w="4250"/>
            <w:tcBorders>
              <w:top w:val="single" w:color="B7CBEA" w:sz="6"/>
              <w:left w:val="single" w:color="B7CBEA" w:sz="6"/>
              <w:bottom w:val="single" w:color="B7CBEA" w:sz="6"/>
              <w:right w:val="single" w:color="B7CBEA" w:sz="6"/>
            </w:tcBorders>
            <w:tcMar>
              <w:top w:type="dxa" w:w="90"/>
              <w:left w:type="dxa" w:w="110"/>
              <w:bottom w:type="dxa" w:w="90"/>
              <w:right w:type="dxa" w:w="110"/>
            </w:tcMar>
          </w:tcPr>
          <w:p>
            <w:pPr>
              <w:spacing w:after="0" w:before="0" w:line="230"/>
            </w:pPr>
            <w:r>
              <w:rPr>
                <w:rFonts w:ascii="Aptos" w:cs="Aptos" w:eastAsia="Aptos" w:hAnsi="Aptos"/>
                <w:b w:val="false"/>
                <w:bCs w:val="false"/>
                <w:i w:val="false"/>
                <w:iCs w:val="false"/>
                <w:color w:val="16335D"/>
                <w:sz w:val="18"/>
                <w:szCs w:val="18"/>
              </w:rPr>
              <w:t xml:space="preserve">Backup rehearsal, navigation, and demo safety checks.</w:t>
            </w:r>
          </w:p>
        </w:tc>
        <w:tc>
          <w:tcPr>
            <w:tcW w:type="dxa" w:w="3800"/>
            <w:tcBorders>
              <w:top w:val="single" w:color="B7CBEA" w:sz="6"/>
              <w:left w:val="single" w:color="B7CBEA" w:sz="6"/>
              <w:bottom w:val="single" w:color="B7CBEA" w:sz="6"/>
              <w:right w:val="single" w:color="B7CBEA" w:sz="6"/>
            </w:tcBorders>
            <w:tcMar>
              <w:top w:type="dxa" w:w="90"/>
              <w:left w:type="dxa" w:w="110"/>
              <w:bottom w:type="dxa" w:w="90"/>
              <w:right w:type="dxa" w:w="110"/>
            </w:tcMar>
          </w:tcPr>
          <w:p>
            <w:pPr>
              <w:spacing w:after="0" w:before="0" w:line="230"/>
            </w:pPr>
            <w:r>
              <w:rPr>
                <w:rFonts w:ascii="Aptos" w:cs="Aptos" w:eastAsia="Aptos" w:hAnsi="Aptos"/>
                <w:b w:val="false"/>
                <w:bCs w:val="false"/>
                <w:i w:val="false"/>
                <w:iCs w:val="false"/>
                <w:color w:val="16335D"/>
                <w:sz w:val="18"/>
                <w:szCs w:val="18"/>
              </w:rPr>
              <w:t xml:space="preserve">Presents only if Soumya is unavailable.</w:t>
            </w:r>
          </w:p>
        </w:tc>
      </w:tr>
      <w:tr>
        <w:tc>
          <w:tcPr>
            <w:tcW w:type="dxa" w:w="2050"/>
            <w:tcBorders>
              <w:top w:val="single" w:color="B7CBEA" w:sz="6"/>
              <w:left w:val="single" w:color="B7CBEA" w:sz="6"/>
              <w:bottom w:val="single" w:color="B7CBEA" w:sz="6"/>
              <w:right w:val="single" w:color="B7CBEA" w:sz="6"/>
            </w:tcBorders>
            <w:tcMar>
              <w:top w:type="dxa" w:w="90"/>
              <w:left w:type="dxa" w:w="110"/>
              <w:bottom w:type="dxa" w:w="90"/>
              <w:right w:type="dxa" w:w="110"/>
            </w:tcMar>
          </w:tcPr>
          <w:p>
            <w:pPr>
              <w:spacing w:after="0" w:before="0" w:line="230"/>
            </w:pPr>
            <w:r>
              <w:rPr>
                <w:rFonts w:ascii="Aptos" w:cs="Aptos" w:eastAsia="Aptos" w:hAnsi="Aptos"/>
                <w:b w:val="false"/>
                <w:bCs w:val="false"/>
                <w:i w:val="false"/>
                <w:iCs w:val="false"/>
                <w:color w:val="16335D"/>
                <w:sz w:val="18"/>
                <w:szCs w:val="18"/>
              </w:rPr>
              <w:t xml:space="preserve">Rahul Chainani</w:t>
            </w:r>
          </w:p>
        </w:tc>
        <w:tc>
          <w:tcPr>
            <w:tcW w:type="dxa" w:w="4250"/>
            <w:tcBorders>
              <w:top w:val="single" w:color="B7CBEA" w:sz="6"/>
              <w:left w:val="single" w:color="B7CBEA" w:sz="6"/>
              <w:bottom w:val="single" w:color="B7CBEA" w:sz="6"/>
              <w:right w:val="single" w:color="B7CBEA" w:sz="6"/>
            </w:tcBorders>
            <w:tcMar>
              <w:top w:type="dxa" w:w="90"/>
              <w:left w:type="dxa" w:w="110"/>
              <w:bottom w:type="dxa" w:w="90"/>
              <w:right w:type="dxa" w:w="110"/>
            </w:tcMar>
          </w:tcPr>
          <w:p>
            <w:pPr>
              <w:spacing w:after="0" w:before="0" w:line="230"/>
            </w:pPr>
            <w:r>
              <w:rPr>
                <w:rFonts w:ascii="Aptos" w:cs="Aptos" w:eastAsia="Aptos" w:hAnsi="Aptos"/>
                <w:b w:val="false"/>
                <w:bCs w:val="false"/>
                <w:i w:val="false"/>
                <w:iCs w:val="false"/>
                <w:color w:val="16335D"/>
                <w:sz w:val="18"/>
                <w:szCs w:val="18"/>
              </w:rPr>
              <w:t xml:space="preserve">Application architecture, deployment, and integration facts.</w:t>
            </w:r>
          </w:p>
        </w:tc>
        <w:tc>
          <w:tcPr>
            <w:tcW w:type="dxa" w:w="3800"/>
            <w:tcBorders>
              <w:top w:val="single" w:color="B7CBEA" w:sz="6"/>
              <w:left w:val="single" w:color="B7CBEA" w:sz="6"/>
              <w:bottom w:val="single" w:color="B7CBEA" w:sz="6"/>
              <w:right w:val="single" w:color="B7CBEA" w:sz="6"/>
            </w:tcBorders>
            <w:tcMar>
              <w:top w:type="dxa" w:w="90"/>
              <w:left w:type="dxa" w:w="110"/>
              <w:bottom w:type="dxa" w:w="90"/>
              <w:right w:type="dxa" w:w="110"/>
            </w:tcMar>
          </w:tcPr>
          <w:p>
            <w:pPr>
              <w:spacing w:after="0" w:before="0" w:line="230"/>
            </w:pPr>
            <w:r>
              <w:rPr>
                <w:rFonts w:ascii="Aptos" w:cs="Aptos" w:eastAsia="Aptos" w:hAnsi="Aptos"/>
                <w:b w:val="false"/>
                <w:bCs w:val="false"/>
                <w:i w:val="false"/>
                <w:iCs w:val="false"/>
                <w:color w:val="16335D"/>
                <w:sz w:val="18"/>
                <w:szCs w:val="18"/>
              </w:rPr>
              <w:t xml:space="preserve">Prepares answers; does not create a second presenter.</w:t>
            </w:r>
          </w:p>
        </w:tc>
      </w:tr>
      <w:tr>
        <w:tc>
          <w:tcPr>
            <w:tcW w:type="dxa" w:w="2050"/>
            <w:tcBorders>
              <w:top w:val="single" w:color="B7CBEA" w:sz="6"/>
              <w:left w:val="single" w:color="B7CBEA" w:sz="6"/>
              <w:bottom w:val="single" w:color="B7CBEA" w:sz="6"/>
              <w:right w:val="single" w:color="B7CBEA" w:sz="6"/>
            </w:tcBorders>
            <w:tcMar>
              <w:top w:type="dxa" w:w="90"/>
              <w:left w:type="dxa" w:w="110"/>
              <w:bottom w:type="dxa" w:w="90"/>
              <w:right w:type="dxa" w:w="110"/>
            </w:tcMar>
          </w:tcPr>
          <w:p>
            <w:pPr>
              <w:spacing w:after="0" w:before="0" w:line="230"/>
            </w:pPr>
            <w:r>
              <w:rPr>
                <w:rFonts w:ascii="Aptos" w:cs="Aptos" w:eastAsia="Aptos" w:hAnsi="Aptos"/>
                <w:b w:val="false"/>
                <w:bCs w:val="false"/>
                <w:i w:val="false"/>
                <w:iCs w:val="false"/>
                <w:color w:val="16335D"/>
                <w:sz w:val="18"/>
                <w:szCs w:val="18"/>
              </w:rPr>
              <w:t xml:space="preserve">Pankaj Bharsakale</w:t>
            </w:r>
          </w:p>
        </w:tc>
        <w:tc>
          <w:tcPr>
            <w:tcW w:type="dxa" w:w="4250"/>
            <w:tcBorders>
              <w:top w:val="single" w:color="B7CBEA" w:sz="6"/>
              <w:left w:val="single" w:color="B7CBEA" w:sz="6"/>
              <w:bottom w:val="single" w:color="B7CBEA" w:sz="6"/>
              <w:right w:val="single" w:color="B7CBEA" w:sz="6"/>
            </w:tcBorders>
            <w:tcMar>
              <w:top w:type="dxa" w:w="90"/>
              <w:left w:type="dxa" w:w="110"/>
              <w:bottom w:type="dxa" w:w="90"/>
              <w:right w:type="dxa" w:w="110"/>
            </w:tcMar>
          </w:tcPr>
          <w:p>
            <w:pPr>
              <w:spacing w:after="0" w:before="0" w:line="230"/>
            </w:pPr>
            <w:r>
              <w:rPr>
                <w:rFonts w:ascii="Aptos" w:cs="Aptos" w:eastAsia="Aptos" w:hAnsi="Aptos"/>
                <w:b w:val="false"/>
                <w:bCs w:val="false"/>
                <w:i w:val="false"/>
                <w:iCs w:val="false"/>
                <w:color w:val="16335D"/>
                <w:sz w:val="18"/>
                <w:szCs w:val="18"/>
              </w:rPr>
              <w:t xml:space="preserve">AI/RAG, model boundary, validator, and responsible-AI facts.</w:t>
            </w:r>
          </w:p>
        </w:tc>
        <w:tc>
          <w:tcPr>
            <w:tcW w:type="dxa" w:w="3800"/>
            <w:tcBorders>
              <w:top w:val="single" w:color="B7CBEA" w:sz="6"/>
              <w:left w:val="single" w:color="B7CBEA" w:sz="6"/>
              <w:bottom w:val="single" w:color="B7CBEA" w:sz="6"/>
              <w:right w:val="single" w:color="B7CBEA" w:sz="6"/>
            </w:tcBorders>
            <w:tcMar>
              <w:top w:type="dxa" w:w="90"/>
              <w:left w:type="dxa" w:w="110"/>
              <w:bottom w:type="dxa" w:w="90"/>
              <w:right w:type="dxa" w:w="110"/>
            </w:tcMar>
          </w:tcPr>
          <w:p>
            <w:pPr>
              <w:spacing w:after="0" w:before="0" w:line="230"/>
            </w:pPr>
            <w:r>
              <w:rPr>
                <w:rFonts w:ascii="Aptos" w:cs="Aptos" w:eastAsia="Aptos" w:hAnsi="Aptos"/>
                <w:b w:val="false"/>
                <w:bCs w:val="false"/>
                <w:i w:val="false"/>
                <w:iCs w:val="false"/>
                <w:color w:val="16335D"/>
                <w:sz w:val="18"/>
                <w:szCs w:val="18"/>
              </w:rPr>
              <w:t xml:space="preserve">Prepares answers; does not create a second presenter.</w:t>
            </w:r>
          </w:p>
        </w:tc>
      </w:tr>
      <w:tr>
        <w:tc>
          <w:tcPr>
            <w:tcW w:type="dxa" w:w="2050"/>
            <w:tcBorders>
              <w:top w:val="single" w:color="B7CBEA" w:sz="6"/>
              <w:left w:val="single" w:color="B7CBEA" w:sz="6"/>
              <w:bottom w:val="single" w:color="B7CBEA" w:sz="6"/>
              <w:right w:val="single" w:color="B7CBEA" w:sz="6"/>
            </w:tcBorders>
            <w:tcMar>
              <w:top w:type="dxa" w:w="90"/>
              <w:left w:type="dxa" w:w="110"/>
              <w:bottom w:type="dxa" w:w="90"/>
              <w:right w:type="dxa" w:w="110"/>
            </w:tcMar>
          </w:tcPr>
          <w:p>
            <w:pPr>
              <w:spacing w:after="0" w:before="0" w:line="230"/>
            </w:pPr>
            <w:r>
              <w:rPr>
                <w:rFonts w:ascii="Aptos" w:cs="Aptos" w:eastAsia="Aptos" w:hAnsi="Aptos"/>
                <w:b w:val="false"/>
                <w:bCs w:val="false"/>
                <w:i w:val="false"/>
                <w:iCs w:val="false"/>
                <w:color w:val="16335D"/>
                <w:sz w:val="18"/>
                <w:szCs w:val="18"/>
              </w:rPr>
              <w:t xml:space="preserve">Lakshmi Dudgikar</w:t>
            </w:r>
          </w:p>
        </w:tc>
        <w:tc>
          <w:tcPr>
            <w:tcW w:type="dxa" w:w="4250"/>
            <w:tcBorders>
              <w:top w:val="single" w:color="B7CBEA" w:sz="6"/>
              <w:left w:val="single" w:color="B7CBEA" w:sz="6"/>
              <w:bottom w:val="single" w:color="B7CBEA" w:sz="6"/>
              <w:right w:val="single" w:color="B7CBEA" w:sz="6"/>
            </w:tcBorders>
            <w:tcMar>
              <w:top w:type="dxa" w:w="90"/>
              <w:left w:type="dxa" w:w="110"/>
              <w:bottom w:type="dxa" w:w="90"/>
              <w:right w:type="dxa" w:w="110"/>
            </w:tcMar>
          </w:tcPr>
          <w:p>
            <w:pPr>
              <w:spacing w:after="0" w:before="0" w:line="230"/>
            </w:pPr>
            <w:r>
              <w:rPr>
                <w:rFonts w:ascii="Aptos" w:cs="Aptos" w:eastAsia="Aptos" w:hAnsi="Aptos"/>
                <w:b w:val="false"/>
                <w:bCs w:val="false"/>
                <w:i w:val="false"/>
                <w:iCs w:val="false"/>
                <w:color w:val="16335D"/>
                <w:sz w:val="18"/>
                <w:szCs w:val="18"/>
              </w:rPr>
              <w:t xml:space="preserve">Requirements, cases, and user workflow mapping.</w:t>
            </w:r>
          </w:p>
        </w:tc>
        <w:tc>
          <w:tcPr>
            <w:tcW w:type="dxa" w:w="3800"/>
            <w:tcBorders>
              <w:top w:val="single" w:color="B7CBEA" w:sz="6"/>
              <w:left w:val="single" w:color="B7CBEA" w:sz="6"/>
              <w:bottom w:val="single" w:color="B7CBEA" w:sz="6"/>
              <w:right w:val="single" w:color="B7CBEA" w:sz="6"/>
            </w:tcBorders>
            <w:tcMar>
              <w:top w:type="dxa" w:w="90"/>
              <w:left w:type="dxa" w:w="110"/>
              <w:bottom w:type="dxa" w:w="90"/>
              <w:right w:type="dxa" w:w="110"/>
            </w:tcMar>
          </w:tcPr>
          <w:p>
            <w:pPr>
              <w:spacing w:after="0" w:before="0" w:line="230"/>
            </w:pPr>
            <w:r>
              <w:rPr>
                <w:rFonts w:ascii="Aptos" w:cs="Aptos" w:eastAsia="Aptos" w:hAnsi="Aptos"/>
                <w:b w:val="false"/>
                <w:bCs w:val="false"/>
                <w:i w:val="false"/>
                <w:iCs w:val="false"/>
                <w:color w:val="16335D"/>
                <w:sz w:val="18"/>
                <w:szCs w:val="18"/>
              </w:rPr>
              <w:t xml:space="preserve">Prepares answers; does not create a second presenter.</w:t>
            </w:r>
          </w:p>
        </w:tc>
      </w:tr>
      <w:tr>
        <w:tc>
          <w:tcPr>
            <w:tcW w:type="dxa" w:w="2050"/>
            <w:tcBorders>
              <w:top w:val="single" w:color="B7CBEA" w:sz="6"/>
              <w:left w:val="single" w:color="B7CBEA" w:sz="6"/>
              <w:bottom w:val="single" w:color="B7CBEA" w:sz="6"/>
              <w:right w:val="single" w:color="B7CBEA" w:sz="6"/>
            </w:tcBorders>
            <w:tcMar>
              <w:top w:type="dxa" w:w="90"/>
              <w:left w:type="dxa" w:w="110"/>
              <w:bottom w:type="dxa" w:w="90"/>
              <w:right w:type="dxa" w:w="110"/>
            </w:tcMar>
          </w:tcPr>
          <w:p>
            <w:pPr>
              <w:spacing w:after="0" w:before="0" w:line="230"/>
            </w:pPr>
            <w:r>
              <w:rPr>
                <w:rFonts w:ascii="Aptos" w:cs="Aptos" w:eastAsia="Aptos" w:hAnsi="Aptos"/>
                <w:b w:val="false"/>
                <w:bCs w:val="false"/>
                <w:i w:val="false"/>
                <w:iCs w:val="false"/>
                <w:color w:val="16335D"/>
                <w:sz w:val="18"/>
                <w:szCs w:val="18"/>
              </w:rPr>
              <w:t xml:space="preserve">Rahul Sharma</w:t>
            </w:r>
          </w:p>
        </w:tc>
        <w:tc>
          <w:tcPr>
            <w:tcW w:type="dxa" w:w="4250"/>
            <w:tcBorders>
              <w:top w:val="single" w:color="B7CBEA" w:sz="6"/>
              <w:left w:val="single" w:color="B7CBEA" w:sz="6"/>
              <w:bottom w:val="single" w:color="B7CBEA" w:sz="6"/>
              <w:right w:val="single" w:color="B7CBEA" w:sz="6"/>
            </w:tcBorders>
            <w:tcMar>
              <w:top w:type="dxa" w:w="90"/>
              <w:left w:type="dxa" w:w="110"/>
              <w:bottom w:type="dxa" w:w="90"/>
              <w:right w:type="dxa" w:w="110"/>
            </w:tcMar>
          </w:tcPr>
          <w:p>
            <w:pPr>
              <w:spacing w:after="0" w:before="0" w:line="230"/>
            </w:pPr>
            <w:r>
              <w:rPr>
                <w:rFonts w:ascii="Aptos" w:cs="Aptos" w:eastAsia="Aptos" w:hAnsi="Aptos"/>
                <w:b w:val="false"/>
                <w:bCs w:val="false"/>
                <w:i w:val="false"/>
                <w:iCs w:val="false"/>
                <w:color w:val="16335D"/>
                <w:sz w:val="18"/>
                <w:szCs w:val="18"/>
              </w:rPr>
              <w:t xml:space="preserve">Testing, edge cases, and quality checks.</w:t>
            </w:r>
          </w:p>
        </w:tc>
        <w:tc>
          <w:tcPr>
            <w:tcW w:type="dxa" w:w="3800"/>
            <w:tcBorders>
              <w:top w:val="single" w:color="B7CBEA" w:sz="6"/>
              <w:left w:val="single" w:color="B7CBEA" w:sz="6"/>
              <w:bottom w:val="single" w:color="B7CBEA" w:sz="6"/>
              <w:right w:val="single" w:color="B7CBEA" w:sz="6"/>
            </w:tcBorders>
            <w:tcMar>
              <w:top w:type="dxa" w:w="90"/>
              <w:left w:type="dxa" w:w="110"/>
              <w:bottom w:type="dxa" w:w="90"/>
              <w:right w:type="dxa" w:w="110"/>
            </w:tcMar>
          </w:tcPr>
          <w:p>
            <w:pPr>
              <w:spacing w:after="0" w:before="0" w:line="230"/>
            </w:pPr>
            <w:r>
              <w:rPr>
                <w:rFonts w:ascii="Aptos" w:cs="Aptos" w:eastAsia="Aptos" w:hAnsi="Aptos"/>
                <w:b w:val="false"/>
                <w:bCs w:val="false"/>
                <w:i w:val="false"/>
                <w:iCs w:val="false"/>
                <w:color w:val="16335D"/>
                <w:sz w:val="18"/>
                <w:szCs w:val="18"/>
              </w:rPr>
              <w:t xml:space="preserve">Prepares answers; does not create a second presenter.</w:t>
            </w:r>
          </w:p>
        </w:tc>
      </w:tr>
      <w:tr>
        <w:tc>
          <w:tcPr>
            <w:tcW w:type="dxa" w:w="2050"/>
            <w:tcBorders>
              <w:top w:val="single" w:color="B7CBEA" w:sz="6"/>
              <w:left w:val="single" w:color="B7CBEA" w:sz="6"/>
              <w:bottom w:val="single" w:color="B7CBEA" w:sz="6"/>
              <w:right w:val="single" w:color="B7CBEA" w:sz="6"/>
            </w:tcBorders>
            <w:tcMar>
              <w:top w:type="dxa" w:w="90"/>
              <w:left w:type="dxa" w:w="110"/>
              <w:bottom w:type="dxa" w:w="90"/>
              <w:right w:type="dxa" w:w="110"/>
            </w:tcMar>
          </w:tcPr>
          <w:p>
            <w:pPr>
              <w:spacing w:after="0" w:before="0" w:line="230"/>
            </w:pPr>
            <w:r>
              <w:rPr>
                <w:rFonts w:ascii="Aptos" w:cs="Aptos" w:eastAsia="Aptos" w:hAnsi="Aptos"/>
                <w:b w:val="false"/>
                <w:bCs w:val="false"/>
                <w:i w:val="false"/>
                <w:iCs w:val="false"/>
                <w:color w:val="16335D"/>
                <w:sz w:val="18"/>
                <w:szCs w:val="18"/>
              </w:rPr>
              <w:t xml:space="preserve">Sweta Singh</w:t>
            </w:r>
          </w:p>
        </w:tc>
        <w:tc>
          <w:tcPr>
            <w:tcW w:type="dxa" w:w="4250"/>
            <w:tcBorders>
              <w:top w:val="single" w:color="B7CBEA" w:sz="6"/>
              <w:left w:val="single" w:color="B7CBEA" w:sz="6"/>
              <w:bottom w:val="single" w:color="B7CBEA" w:sz="6"/>
              <w:right w:val="single" w:color="B7CBEA" w:sz="6"/>
            </w:tcBorders>
            <w:tcMar>
              <w:top w:type="dxa" w:w="90"/>
              <w:left w:type="dxa" w:w="110"/>
              <w:bottom w:type="dxa" w:w="90"/>
              <w:right w:type="dxa" w:w="110"/>
            </w:tcMar>
          </w:tcPr>
          <w:p>
            <w:pPr>
              <w:spacing w:after="0" w:before="0" w:line="230"/>
            </w:pPr>
            <w:r>
              <w:rPr>
                <w:rFonts w:ascii="Aptos" w:cs="Aptos" w:eastAsia="Aptos" w:hAnsi="Aptos"/>
                <w:b w:val="false"/>
                <w:bCs w:val="false"/>
                <w:i w:val="false"/>
                <w:iCs w:val="false"/>
                <w:color w:val="16335D"/>
                <w:sz w:val="18"/>
                <w:szCs w:val="18"/>
              </w:rPr>
              <w:t xml:space="preserve">Program statement, scope boundaries, and ROI framework.</w:t>
            </w:r>
          </w:p>
        </w:tc>
        <w:tc>
          <w:tcPr>
            <w:tcW w:type="dxa" w:w="3800"/>
            <w:tcBorders>
              <w:top w:val="single" w:color="B7CBEA" w:sz="6"/>
              <w:left w:val="single" w:color="B7CBEA" w:sz="6"/>
              <w:bottom w:val="single" w:color="B7CBEA" w:sz="6"/>
              <w:right w:val="single" w:color="B7CBEA" w:sz="6"/>
            </w:tcBorders>
            <w:tcMar>
              <w:top w:type="dxa" w:w="90"/>
              <w:left w:type="dxa" w:w="110"/>
              <w:bottom w:type="dxa" w:w="90"/>
              <w:right w:type="dxa" w:w="110"/>
            </w:tcMar>
          </w:tcPr>
          <w:p>
            <w:pPr>
              <w:spacing w:after="0" w:before="0" w:line="230"/>
            </w:pPr>
            <w:r>
              <w:rPr>
                <w:rFonts w:ascii="Aptos" w:cs="Aptos" w:eastAsia="Aptos" w:hAnsi="Aptos"/>
                <w:b w:val="false"/>
                <w:bCs w:val="false"/>
                <w:i w:val="false"/>
                <w:iCs w:val="false"/>
                <w:color w:val="16335D"/>
                <w:sz w:val="18"/>
                <w:szCs w:val="18"/>
              </w:rPr>
              <w:t xml:space="preserve">Prepares answers; does not create a second presenter.</w:t>
            </w:r>
          </w:p>
        </w:tc>
      </w:tr>
    </w:tbl>
    <w:p>
      <w:pPr>
        <w:pStyle w:val="Heading2"/>
        <w:spacing w:after="130" w:before="210"/>
      </w:pPr>
      <w:r>
        <w:t xml:space="preserve">Safe two-case demonstration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900"/>
        <w:gridCol w:w="4850"/>
      </w:tblGrid>
      <w:tr>
        <w:trPr>
          <w:tblHeader/>
        </w:trPr>
        <w:tc>
          <w:tcPr>
            <w:tcW w:type="dxa" w:w="1350"/>
            <w:tcBorders>
              <w:top w:val="single" w:color="B7CBEA" w:sz="6"/>
              <w:left w:val="single" w:color="B7CBEA" w:sz="6"/>
              <w:bottom w:val="single" w:color="B7CBEA" w:sz="6"/>
              <w:right w:val="single" w:color="B7CBEA" w:sz="6"/>
            </w:tcBorders>
            <w:shd w:fill="16335D" w:color="16335D" w:val="clear"/>
            <w:tcMar>
              <w:top w:type="dxa" w:w="90"/>
              <w:left w:type="dxa" w:w="110"/>
              <w:bottom w:type="dxa" w:w="90"/>
              <w:right w:type="dxa" w:w="110"/>
            </w:tcMar>
          </w:tcPr>
          <w:p>
            <w:pPr>
              <w:spacing w:after="0" w:before="0" w:line="230"/>
            </w:pPr>
            <w:r>
              <w:rPr>
                <w:rFonts w:ascii="Aptos" w:cs="Aptos" w:eastAsia="Aptos" w:hAnsi="Aptos"/>
                <w:b/>
                <w:bCs/>
                <w:i w:val="false"/>
                <w:iCs w:val="false"/>
                <w:color w:val="FFFFFF"/>
                <w:sz w:val="18"/>
                <w:szCs w:val="18"/>
              </w:rPr>
              <w:t xml:space="preserve">Time</w:t>
            </w:r>
          </w:p>
        </w:tc>
        <w:tc>
          <w:tcPr>
            <w:tcW w:type="dxa" w:w="3900"/>
            <w:tcBorders>
              <w:top w:val="single" w:color="B7CBEA" w:sz="6"/>
              <w:left w:val="single" w:color="B7CBEA" w:sz="6"/>
              <w:bottom w:val="single" w:color="B7CBEA" w:sz="6"/>
              <w:right w:val="single" w:color="B7CBEA" w:sz="6"/>
            </w:tcBorders>
            <w:shd w:fill="16335D" w:color="16335D" w:val="clear"/>
            <w:tcMar>
              <w:top w:type="dxa" w:w="90"/>
              <w:left w:type="dxa" w:w="110"/>
              <w:bottom w:type="dxa" w:w="90"/>
              <w:right w:type="dxa" w:w="110"/>
            </w:tcMar>
          </w:tcPr>
          <w:p>
            <w:pPr>
              <w:spacing w:after="0" w:before="0" w:line="230"/>
            </w:pPr>
            <w:r>
              <w:rPr>
                <w:rFonts w:ascii="Aptos" w:cs="Aptos" w:eastAsia="Aptos" w:hAnsi="Aptos"/>
                <w:b/>
                <w:bCs/>
                <w:i w:val="false"/>
                <w:iCs w:val="false"/>
                <w:color w:val="FFFFFF"/>
                <w:sz w:val="18"/>
                <w:szCs w:val="18"/>
              </w:rPr>
              <w:t xml:space="preserve">Screen and action</w:t>
            </w:r>
          </w:p>
        </w:tc>
        <w:tc>
          <w:tcPr>
            <w:tcW w:type="dxa" w:w="4850"/>
            <w:tcBorders>
              <w:top w:val="single" w:color="B7CBEA" w:sz="6"/>
              <w:left w:val="single" w:color="B7CBEA" w:sz="6"/>
              <w:bottom w:val="single" w:color="B7CBEA" w:sz="6"/>
              <w:right w:val="single" w:color="B7CBEA" w:sz="6"/>
            </w:tcBorders>
            <w:shd w:fill="16335D" w:color="16335D" w:val="clear"/>
            <w:tcMar>
              <w:top w:type="dxa" w:w="90"/>
              <w:left w:type="dxa" w:w="110"/>
              <w:bottom w:type="dxa" w:w="90"/>
              <w:right w:type="dxa" w:w="110"/>
            </w:tcMar>
          </w:tcPr>
          <w:p>
            <w:pPr>
              <w:spacing w:after="0" w:before="0" w:line="230"/>
            </w:pPr>
            <w:r>
              <w:rPr>
                <w:rFonts w:ascii="Aptos" w:cs="Aptos" w:eastAsia="Aptos" w:hAnsi="Aptos"/>
                <w:b/>
                <w:bCs/>
                <w:i w:val="false"/>
                <w:iCs w:val="false"/>
                <w:color w:val="FFFFFF"/>
                <w:sz w:val="18"/>
                <w:szCs w:val="18"/>
              </w:rPr>
              <w:t xml:space="preserve">What the presenter says</w:t>
            </w:r>
          </w:p>
        </w:tc>
      </w:tr>
      <w:tr>
        <w:tc>
          <w:tcPr>
            <w:tcW w:type="dxa" w:w="1350"/>
            <w:tcBorders>
              <w:top w:val="single" w:color="B7CBEA" w:sz="6"/>
              <w:left w:val="single" w:color="B7CBEA" w:sz="6"/>
              <w:bottom w:val="single" w:color="B7CBEA" w:sz="6"/>
              <w:right w:val="single" w:color="B7CBEA" w:sz="6"/>
            </w:tcBorders>
            <w:tcMar>
              <w:top w:type="dxa" w:w="90"/>
              <w:left w:type="dxa" w:w="110"/>
              <w:bottom w:type="dxa" w:w="90"/>
              <w:right w:type="dxa" w:w="110"/>
            </w:tcMar>
          </w:tcPr>
          <w:p>
            <w:pPr>
              <w:spacing w:after="0" w:before="0" w:line="230"/>
            </w:pPr>
            <w:r>
              <w:rPr>
                <w:rFonts w:ascii="Aptos" w:cs="Aptos" w:eastAsia="Aptos" w:hAnsi="Aptos"/>
                <w:b w:val="false"/>
                <w:bCs w:val="false"/>
                <w:i w:val="false"/>
                <w:iCs w:val="false"/>
                <w:color w:val="16335D"/>
                <w:sz w:val="18"/>
                <w:szCs w:val="18"/>
              </w:rPr>
              <w:t xml:space="preserve">0:00–0:35</w:t>
            </w:r>
          </w:p>
        </w:tc>
        <w:tc>
          <w:tcPr>
            <w:tcW w:type="dxa" w:w="3900"/>
            <w:tcBorders>
              <w:top w:val="single" w:color="B7CBEA" w:sz="6"/>
              <w:left w:val="single" w:color="B7CBEA" w:sz="6"/>
              <w:bottom w:val="single" w:color="B7CBEA" w:sz="6"/>
              <w:right w:val="single" w:color="B7CBEA" w:sz="6"/>
            </w:tcBorders>
            <w:tcMar>
              <w:top w:type="dxa" w:w="90"/>
              <w:left w:type="dxa" w:w="110"/>
              <w:bottom w:type="dxa" w:w="90"/>
              <w:right w:type="dxa" w:w="110"/>
            </w:tcMar>
          </w:tcPr>
          <w:p>
            <w:pPr>
              <w:spacing w:after="0" w:before="0" w:line="230"/>
            </w:pPr>
            <w:r>
              <w:rPr>
                <w:rFonts w:ascii="Aptos" w:cs="Aptos" w:eastAsia="Aptos" w:hAnsi="Aptos"/>
                <w:b w:val="false"/>
                <w:bCs w:val="false"/>
                <w:i w:val="false"/>
                <w:iCs w:val="false"/>
                <w:color w:val="16335D"/>
                <w:sz w:val="18"/>
                <w:szCs w:val="18"/>
              </w:rPr>
              <w:t xml:space="preserve">Case Queue: open Evidence for the documented closed case only.</w:t>
            </w:r>
          </w:p>
        </w:tc>
        <w:tc>
          <w:tcPr>
            <w:tcW w:type="dxa" w:w="4850"/>
            <w:tcBorders>
              <w:top w:val="single" w:color="B7CBEA" w:sz="6"/>
              <w:left w:val="single" w:color="B7CBEA" w:sz="6"/>
              <w:bottom w:val="single" w:color="B7CBEA" w:sz="6"/>
              <w:right w:val="single" w:color="B7CBEA" w:sz="6"/>
            </w:tcBorders>
            <w:tcMar>
              <w:top w:type="dxa" w:w="90"/>
              <w:left w:type="dxa" w:w="110"/>
              <w:bottom w:type="dxa" w:w="90"/>
              <w:right w:type="dxa" w:w="110"/>
            </w:tcMar>
          </w:tcPr>
          <w:p>
            <w:pPr>
              <w:spacing w:after="0" w:before="0" w:line="230"/>
            </w:pPr>
            <w:r>
              <w:rPr>
                <w:rFonts w:ascii="Aptos" w:cs="Aptos" w:eastAsia="Aptos" w:hAnsi="Aptos"/>
                <w:b w:val="false"/>
                <w:bCs w:val="false"/>
                <w:i w:val="false"/>
                <w:iCs w:val="false"/>
                <w:color w:val="16335D"/>
                <w:sz w:val="18"/>
                <w:szCs w:val="18"/>
              </w:rPr>
              <w:t xml:space="preserve">This is a completed fictional outcome with recorded support. We are not changing or re-closing it.</w:t>
            </w:r>
          </w:p>
        </w:tc>
      </w:tr>
      <w:tr>
        <w:tc>
          <w:tcPr>
            <w:tcW w:type="dxa" w:w="1350"/>
            <w:tcBorders>
              <w:top w:val="single" w:color="B7CBEA" w:sz="6"/>
              <w:left w:val="single" w:color="B7CBEA" w:sz="6"/>
              <w:bottom w:val="single" w:color="B7CBEA" w:sz="6"/>
              <w:right w:val="single" w:color="B7CBEA" w:sz="6"/>
            </w:tcBorders>
            <w:tcMar>
              <w:top w:type="dxa" w:w="90"/>
              <w:left w:type="dxa" w:w="110"/>
              <w:bottom w:type="dxa" w:w="90"/>
              <w:right w:type="dxa" w:w="110"/>
            </w:tcMar>
          </w:tcPr>
          <w:p>
            <w:pPr>
              <w:spacing w:after="0" w:before="0" w:line="230"/>
            </w:pPr>
            <w:r>
              <w:rPr>
                <w:rFonts w:ascii="Aptos" w:cs="Aptos" w:eastAsia="Aptos" w:hAnsi="Aptos"/>
                <w:b w:val="false"/>
                <w:bCs w:val="false"/>
                <w:i w:val="false"/>
                <w:iCs w:val="false"/>
                <w:color w:val="16335D"/>
                <w:sz w:val="18"/>
                <w:szCs w:val="18"/>
              </w:rPr>
              <w:t xml:space="preserve">0:35–1:15</w:t>
            </w:r>
          </w:p>
        </w:tc>
        <w:tc>
          <w:tcPr>
            <w:tcW w:type="dxa" w:w="3900"/>
            <w:tcBorders>
              <w:top w:val="single" w:color="B7CBEA" w:sz="6"/>
              <w:left w:val="single" w:color="B7CBEA" w:sz="6"/>
              <w:bottom w:val="single" w:color="B7CBEA" w:sz="6"/>
              <w:right w:val="single" w:color="B7CBEA" w:sz="6"/>
            </w:tcBorders>
            <w:tcMar>
              <w:top w:type="dxa" w:w="90"/>
              <w:left w:type="dxa" w:w="110"/>
              <w:bottom w:type="dxa" w:w="90"/>
              <w:right w:type="dxa" w:w="110"/>
            </w:tcMar>
          </w:tcPr>
          <w:p>
            <w:pPr>
              <w:spacing w:after="0" w:before="0" w:line="230"/>
            </w:pPr>
            <w:r>
              <w:rPr>
                <w:rFonts w:ascii="Aptos" w:cs="Aptos" w:eastAsia="Aptos" w:hAnsi="Aptos"/>
                <w:b w:val="false"/>
                <w:bCs w:val="false"/>
                <w:i w:val="false"/>
                <w:iCs w:val="false"/>
                <w:color w:val="16335D"/>
                <w:sz w:val="18"/>
                <w:szCs w:val="18"/>
              </w:rPr>
              <w:t xml:space="preserve">Case Queue: open the default open/escalated case.</w:t>
            </w:r>
          </w:p>
        </w:tc>
        <w:tc>
          <w:tcPr>
            <w:tcW w:type="dxa" w:w="4850"/>
            <w:tcBorders>
              <w:top w:val="single" w:color="B7CBEA" w:sz="6"/>
              <w:left w:val="single" w:color="B7CBEA" w:sz="6"/>
              <w:bottom w:val="single" w:color="B7CBEA" w:sz="6"/>
              <w:right w:val="single" w:color="B7CBEA" w:sz="6"/>
            </w:tcBorders>
            <w:tcMar>
              <w:top w:type="dxa" w:w="90"/>
              <w:left w:type="dxa" w:w="110"/>
              <w:bottom w:type="dxa" w:w="90"/>
              <w:right w:type="dxa" w:w="110"/>
            </w:tcMar>
          </w:tcPr>
          <w:p>
            <w:pPr>
              <w:spacing w:after="0" w:before="0" w:line="230"/>
            </w:pPr>
            <w:r>
              <w:rPr>
                <w:rFonts w:ascii="Aptos" w:cs="Aptos" w:eastAsia="Aptos" w:hAnsi="Aptos"/>
                <w:b w:val="false"/>
                <w:bCs w:val="false"/>
                <w:i w:val="false"/>
                <w:iCs w:val="false"/>
                <w:color w:val="16335D"/>
                <w:sz w:val="18"/>
                <w:szCs w:val="18"/>
              </w:rPr>
              <w:t xml:space="preserve">Status tells the workflow position; Rule(s) explain the signal; Action opens the context.</w:t>
            </w:r>
          </w:p>
        </w:tc>
      </w:tr>
      <w:tr>
        <w:tc>
          <w:tcPr>
            <w:tcW w:type="dxa" w:w="1350"/>
            <w:tcBorders>
              <w:top w:val="single" w:color="B7CBEA" w:sz="6"/>
              <w:left w:val="single" w:color="B7CBEA" w:sz="6"/>
              <w:bottom w:val="single" w:color="B7CBEA" w:sz="6"/>
              <w:right w:val="single" w:color="B7CBEA" w:sz="6"/>
            </w:tcBorders>
            <w:tcMar>
              <w:top w:type="dxa" w:w="90"/>
              <w:left w:type="dxa" w:w="110"/>
              <w:bottom w:type="dxa" w:w="90"/>
              <w:right w:type="dxa" w:w="110"/>
            </w:tcMar>
          </w:tcPr>
          <w:p>
            <w:pPr>
              <w:spacing w:after="0" w:before="0" w:line="230"/>
            </w:pPr>
            <w:r>
              <w:rPr>
                <w:rFonts w:ascii="Aptos" w:cs="Aptos" w:eastAsia="Aptos" w:hAnsi="Aptos"/>
                <w:b w:val="false"/>
                <w:bCs w:val="false"/>
                <w:i w:val="false"/>
                <w:iCs w:val="false"/>
                <w:color w:val="16335D"/>
                <w:sz w:val="18"/>
                <w:szCs w:val="18"/>
              </w:rPr>
              <w:t xml:space="preserve">1:15–2:05</w:t>
            </w:r>
          </w:p>
        </w:tc>
        <w:tc>
          <w:tcPr>
            <w:tcW w:type="dxa" w:w="3900"/>
            <w:tcBorders>
              <w:top w:val="single" w:color="B7CBEA" w:sz="6"/>
              <w:left w:val="single" w:color="B7CBEA" w:sz="6"/>
              <w:bottom w:val="single" w:color="B7CBEA" w:sz="6"/>
              <w:right w:val="single" w:color="B7CBEA" w:sz="6"/>
            </w:tcBorders>
            <w:tcMar>
              <w:top w:type="dxa" w:w="90"/>
              <w:left w:type="dxa" w:w="110"/>
              <w:bottom w:type="dxa" w:w="90"/>
              <w:right w:type="dxa" w:w="110"/>
            </w:tcMar>
          </w:tcPr>
          <w:p>
            <w:pPr>
              <w:spacing w:after="0" w:before="0" w:line="230"/>
            </w:pPr>
            <w:r>
              <w:rPr>
                <w:rFonts w:ascii="Aptos" w:cs="Aptos" w:eastAsia="Aptos" w:hAnsi="Aptos"/>
                <w:b w:val="false"/>
                <w:bCs w:val="false"/>
                <w:i w:val="false"/>
                <w:iCs w:val="false"/>
                <w:color w:val="16335D"/>
                <w:sz w:val="18"/>
                <w:szCs w:val="18"/>
              </w:rPr>
              <w:t xml:space="preserve">Investigation Workspace: run saved or calculated review.</w:t>
            </w:r>
          </w:p>
        </w:tc>
        <w:tc>
          <w:tcPr>
            <w:tcW w:type="dxa" w:w="4850"/>
            <w:tcBorders>
              <w:top w:val="single" w:color="B7CBEA" w:sz="6"/>
              <w:left w:val="single" w:color="B7CBEA" w:sz="6"/>
              <w:bottom w:val="single" w:color="B7CBEA" w:sz="6"/>
              <w:right w:val="single" w:color="B7CBEA" w:sz="6"/>
            </w:tcBorders>
            <w:tcMar>
              <w:top w:type="dxa" w:w="90"/>
              <w:left w:type="dxa" w:w="110"/>
              <w:bottom w:type="dxa" w:w="90"/>
              <w:right w:type="dxa" w:w="110"/>
            </w:tcMar>
          </w:tcPr>
          <w:p>
            <w:pPr>
              <w:spacing w:after="0" w:before="0" w:line="230"/>
            </w:pPr>
            <w:r>
              <w:rPr>
                <w:rFonts w:ascii="Aptos" w:cs="Aptos" w:eastAsia="Aptos" w:hAnsi="Aptos"/>
                <w:b w:val="false"/>
                <w:bCs w:val="false"/>
                <w:i w:val="false"/>
                <w:iCs w:val="false"/>
                <w:color w:val="16335D"/>
                <w:sz w:val="18"/>
                <w:szCs w:val="18"/>
              </w:rPr>
              <w:t xml:space="preserve">The report is advisory. The validator and confidence card show support and limitations.</w:t>
            </w:r>
          </w:p>
        </w:tc>
      </w:tr>
      <w:tr>
        <w:tc>
          <w:tcPr>
            <w:tcW w:type="dxa" w:w="1350"/>
            <w:tcBorders>
              <w:top w:val="single" w:color="B7CBEA" w:sz="6"/>
              <w:left w:val="single" w:color="B7CBEA" w:sz="6"/>
              <w:bottom w:val="single" w:color="B7CBEA" w:sz="6"/>
              <w:right w:val="single" w:color="B7CBEA" w:sz="6"/>
            </w:tcBorders>
            <w:tcMar>
              <w:top w:type="dxa" w:w="90"/>
              <w:left w:type="dxa" w:w="110"/>
              <w:bottom w:type="dxa" w:w="90"/>
              <w:right w:type="dxa" w:w="110"/>
            </w:tcMar>
          </w:tcPr>
          <w:p>
            <w:pPr>
              <w:spacing w:after="0" w:before="0" w:line="230"/>
            </w:pPr>
            <w:r>
              <w:rPr>
                <w:rFonts w:ascii="Aptos" w:cs="Aptos" w:eastAsia="Aptos" w:hAnsi="Aptos"/>
                <w:b w:val="false"/>
                <w:bCs w:val="false"/>
                <w:i w:val="false"/>
                <w:iCs w:val="false"/>
                <w:color w:val="16335D"/>
                <w:sz w:val="18"/>
                <w:szCs w:val="18"/>
              </w:rPr>
              <w:t xml:space="preserve">2:05–2:55</w:t>
            </w:r>
          </w:p>
        </w:tc>
        <w:tc>
          <w:tcPr>
            <w:tcW w:type="dxa" w:w="3900"/>
            <w:tcBorders>
              <w:top w:val="single" w:color="B7CBEA" w:sz="6"/>
              <w:left w:val="single" w:color="B7CBEA" w:sz="6"/>
              <w:bottom w:val="single" w:color="B7CBEA" w:sz="6"/>
              <w:right w:val="single" w:color="B7CBEA" w:sz="6"/>
            </w:tcBorders>
            <w:tcMar>
              <w:top w:type="dxa" w:w="90"/>
              <w:left w:type="dxa" w:w="110"/>
              <w:bottom w:type="dxa" w:w="90"/>
              <w:right w:type="dxa" w:w="110"/>
            </w:tcMar>
          </w:tcPr>
          <w:p>
            <w:pPr>
              <w:spacing w:after="0" w:before="0" w:line="230"/>
            </w:pPr>
            <w:r>
              <w:rPr>
                <w:rFonts w:ascii="Aptos" w:cs="Aptos" w:eastAsia="Aptos" w:hAnsi="Aptos"/>
                <w:b w:val="false"/>
                <w:bCs w:val="false"/>
                <w:i w:val="false"/>
                <w:iCs w:val="false"/>
                <w:color w:val="16335D"/>
                <w:sz w:val="18"/>
                <w:szCs w:val="18"/>
              </w:rPr>
              <w:t xml:space="preserve">Evidence &amp; RAG: show a source, exact chunks, FTS5/BM25 retrieval, and the linked record.</w:t>
            </w:r>
          </w:p>
        </w:tc>
        <w:tc>
          <w:tcPr>
            <w:tcW w:type="dxa" w:w="4850"/>
            <w:tcBorders>
              <w:top w:val="single" w:color="B7CBEA" w:sz="6"/>
              <w:left w:val="single" w:color="B7CBEA" w:sz="6"/>
              <w:bottom w:val="single" w:color="B7CBEA" w:sz="6"/>
              <w:right w:val="single" w:color="B7CBEA" w:sz="6"/>
            </w:tcBorders>
            <w:tcMar>
              <w:top w:type="dxa" w:w="90"/>
              <w:left w:type="dxa" w:w="110"/>
              <w:bottom w:type="dxa" w:w="90"/>
              <w:right w:type="dxa" w:w="110"/>
            </w:tcMar>
          </w:tcPr>
          <w:p>
            <w:pPr>
              <w:spacing w:after="0" w:before="0" w:line="230"/>
            </w:pPr>
            <w:r>
              <w:rPr>
                <w:rFonts w:ascii="Aptos" w:cs="Aptos" w:eastAsia="Aptos" w:hAnsi="Aptos"/>
                <w:b w:val="false"/>
                <w:bCs w:val="false"/>
                <w:i w:val="false"/>
                <w:iCs w:val="false"/>
                <w:color w:val="16335D"/>
                <w:sz w:val="18"/>
                <w:szCs w:val="18"/>
              </w:rPr>
              <w:t xml:space="preserve">This is lexical retrieval over local fictional material, not a vector index and not proof.</w:t>
            </w:r>
          </w:p>
        </w:tc>
      </w:tr>
      <w:tr>
        <w:tc>
          <w:tcPr>
            <w:tcW w:type="dxa" w:w="1350"/>
            <w:tcBorders>
              <w:top w:val="single" w:color="B7CBEA" w:sz="6"/>
              <w:left w:val="single" w:color="B7CBEA" w:sz="6"/>
              <w:bottom w:val="single" w:color="B7CBEA" w:sz="6"/>
              <w:right w:val="single" w:color="B7CBEA" w:sz="6"/>
            </w:tcBorders>
            <w:tcMar>
              <w:top w:type="dxa" w:w="90"/>
              <w:left w:type="dxa" w:w="110"/>
              <w:bottom w:type="dxa" w:w="90"/>
              <w:right w:type="dxa" w:w="110"/>
            </w:tcMar>
          </w:tcPr>
          <w:p>
            <w:pPr>
              <w:spacing w:after="0" w:before="0" w:line="230"/>
            </w:pPr>
            <w:r>
              <w:rPr>
                <w:rFonts w:ascii="Aptos" w:cs="Aptos" w:eastAsia="Aptos" w:hAnsi="Aptos"/>
                <w:b w:val="false"/>
                <w:bCs w:val="false"/>
                <w:i w:val="false"/>
                <w:iCs w:val="false"/>
                <w:color w:val="16335D"/>
                <w:sz w:val="18"/>
                <w:szCs w:val="18"/>
              </w:rPr>
              <w:t xml:space="preserve">2:55–3:40</w:t>
            </w:r>
          </w:p>
        </w:tc>
        <w:tc>
          <w:tcPr>
            <w:tcW w:type="dxa" w:w="3900"/>
            <w:tcBorders>
              <w:top w:val="single" w:color="B7CBEA" w:sz="6"/>
              <w:left w:val="single" w:color="B7CBEA" w:sz="6"/>
              <w:bottom w:val="single" w:color="B7CBEA" w:sz="6"/>
              <w:right w:val="single" w:color="B7CBEA" w:sz="6"/>
            </w:tcBorders>
            <w:tcMar>
              <w:top w:type="dxa" w:w="90"/>
              <w:left w:type="dxa" w:w="110"/>
              <w:bottom w:type="dxa" w:w="90"/>
              <w:right w:type="dxa" w:w="110"/>
            </w:tcMar>
          </w:tcPr>
          <w:p>
            <w:pPr>
              <w:spacing w:after="0" w:before="0" w:line="230"/>
            </w:pPr>
            <w:r>
              <w:rPr>
                <w:rFonts w:ascii="Aptos" w:cs="Aptos" w:eastAsia="Aptos" w:hAnsi="Aptos"/>
                <w:b w:val="false"/>
                <w:bCs w:val="false"/>
                <w:i w:val="false"/>
                <w:iCs w:val="false"/>
                <w:color w:val="16335D"/>
                <w:sz w:val="18"/>
                <w:szCs w:val="18"/>
              </w:rPr>
              <w:t xml:space="preserve">Ask InvestigateIQ: ask one prepared bounded case question.</w:t>
            </w:r>
          </w:p>
        </w:tc>
        <w:tc>
          <w:tcPr>
            <w:tcW w:type="dxa" w:w="4850"/>
            <w:tcBorders>
              <w:top w:val="single" w:color="B7CBEA" w:sz="6"/>
              <w:left w:val="single" w:color="B7CBEA" w:sz="6"/>
              <w:bottom w:val="single" w:color="B7CBEA" w:sz="6"/>
              <w:right w:val="single" w:color="B7CBEA" w:sz="6"/>
            </w:tcBorders>
            <w:tcMar>
              <w:top w:type="dxa" w:w="90"/>
              <w:left w:type="dxa" w:w="110"/>
              <w:bottom w:type="dxa" w:w="90"/>
              <w:right w:type="dxa" w:w="110"/>
            </w:tcMar>
          </w:tcPr>
          <w:p>
            <w:pPr>
              <w:spacing w:after="0" w:before="0" w:line="230"/>
            </w:pPr>
            <w:r>
              <w:rPr>
                <w:rFonts w:ascii="Aptos" w:cs="Aptos" w:eastAsia="Aptos" w:hAnsi="Aptos"/>
                <w:b w:val="false"/>
                <w:bCs w:val="false"/>
                <w:i w:val="false"/>
                <w:iCs w:val="false"/>
                <w:color w:val="16335D"/>
                <w:sz w:val="18"/>
                <w:szCs w:val="18"/>
              </w:rPr>
              <w:t xml:space="preserve">The answer points back to stored material and cannot submit a workflow action.</w:t>
            </w:r>
          </w:p>
        </w:tc>
      </w:tr>
      <w:tr>
        <w:tc>
          <w:tcPr>
            <w:tcW w:type="dxa" w:w="1350"/>
            <w:tcBorders>
              <w:top w:val="single" w:color="B7CBEA" w:sz="6"/>
              <w:left w:val="single" w:color="B7CBEA" w:sz="6"/>
              <w:bottom w:val="single" w:color="B7CBEA" w:sz="6"/>
              <w:right w:val="single" w:color="B7CBEA" w:sz="6"/>
            </w:tcBorders>
            <w:tcMar>
              <w:top w:type="dxa" w:w="90"/>
              <w:left w:type="dxa" w:w="110"/>
              <w:bottom w:type="dxa" w:w="90"/>
              <w:right w:type="dxa" w:w="110"/>
            </w:tcMar>
          </w:tcPr>
          <w:p>
            <w:pPr>
              <w:spacing w:after="0" w:before="0" w:line="230"/>
            </w:pPr>
            <w:r>
              <w:rPr>
                <w:rFonts w:ascii="Aptos" w:cs="Aptos" w:eastAsia="Aptos" w:hAnsi="Aptos"/>
                <w:b w:val="false"/>
                <w:bCs w:val="false"/>
                <w:i w:val="false"/>
                <w:iCs w:val="false"/>
                <w:color w:val="16335D"/>
                <w:sz w:val="18"/>
                <w:szCs w:val="18"/>
              </w:rPr>
              <w:t xml:space="preserve">3:40–4:50</w:t>
            </w:r>
          </w:p>
        </w:tc>
        <w:tc>
          <w:tcPr>
            <w:tcW w:type="dxa" w:w="3900"/>
            <w:tcBorders>
              <w:top w:val="single" w:color="B7CBEA" w:sz="6"/>
              <w:left w:val="single" w:color="B7CBEA" w:sz="6"/>
              <w:bottom w:val="single" w:color="B7CBEA" w:sz="6"/>
              <w:right w:val="single" w:color="B7CBEA" w:sz="6"/>
            </w:tcBorders>
            <w:tcMar>
              <w:top w:type="dxa" w:w="90"/>
              <w:left w:type="dxa" w:w="110"/>
              <w:bottom w:type="dxa" w:w="90"/>
              <w:right w:type="dxa" w:w="110"/>
            </w:tcMar>
          </w:tcPr>
          <w:p>
            <w:pPr>
              <w:spacing w:after="0" w:before="0" w:line="230"/>
            </w:pPr>
            <w:r>
              <w:rPr>
                <w:rFonts w:ascii="Aptos" w:cs="Aptos" w:eastAsia="Aptos" w:hAnsi="Aptos"/>
                <w:b w:val="false"/>
                <w:bCs w:val="false"/>
                <w:i w:val="false"/>
                <w:iCs w:val="false"/>
                <w:color w:val="16335D"/>
                <w:sz w:val="18"/>
                <w:szCs w:val="18"/>
              </w:rPr>
              <w:t xml:space="preserve">Show the human-decision and audit surfaces without clicking Submit.</w:t>
            </w:r>
          </w:p>
        </w:tc>
        <w:tc>
          <w:tcPr>
            <w:tcW w:type="dxa" w:w="4850"/>
            <w:tcBorders>
              <w:top w:val="single" w:color="B7CBEA" w:sz="6"/>
              <w:left w:val="single" w:color="B7CBEA" w:sz="6"/>
              <w:bottom w:val="single" w:color="B7CBEA" w:sz="6"/>
              <w:right w:val="single" w:color="B7CBEA" w:sz="6"/>
            </w:tcBorders>
            <w:tcMar>
              <w:top w:type="dxa" w:w="90"/>
              <w:left w:type="dxa" w:w="110"/>
              <w:bottom w:type="dxa" w:w="90"/>
              <w:right w:type="dxa" w:w="110"/>
            </w:tcMar>
          </w:tcPr>
          <w:p>
            <w:pPr>
              <w:spacing w:after="0" w:before="0" w:line="230"/>
            </w:pPr>
            <w:r>
              <w:rPr>
                <w:rFonts w:ascii="Aptos" w:cs="Aptos" w:eastAsia="Aptos" w:hAnsi="Aptos"/>
                <w:b w:val="false"/>
                <w:bCs w:val="false"/>
                <w:i w:val="false"/>
                <w:iCs w:val="false"/>
                <w:color w:val="16335D"/>
                <w:sz w:val="18"/>
                <w:szCs w:val="18"/>
              </w:rPr>
              <w:t xml:space="preserve">Only a named person with a rationale can record Close, Request more information, or Escalate. We will not change a case in the live demo.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CBEA" w:sz="6"/>
              <w:left w:val="single" w:color="B77900" w:sz="6"/>
              <w:bottom w:val="single" w:color="B7CBEA" w:sz="6"/>
              <w:right w:val="single" w:color="B77900" w:sz="6"/>
            </w:tcBorders>
            <w:shd w:fill="F4F8FF" w:color="F4F8FF" w:val="clear"/>
            <w:tcMar>
              <w:top w:type="dxa" w:w="130"/>
              <w:left w:type="dxa" w:w="180"/>
              <w:bottom w:type="dxa" w:w="130"/>
              <w:right w:type="dxa" w:w="180"/>
            </w:tcMar>
          </w:tcPr>
          <w:p>
            <w:pPr>
              <w:spacing w:after="45" w:before="0" w:line="276"/>
            </w:pPr>
            <w:r>
              <w:rPr>
                <w:rFonts w:ascii="Aptos" w:cs="Aptos" w:eastAsia="Aptos" w:hAnsi="Aptos"/>
                <w:b/>
                <w:bCs/>
                <w:i w:val="false"/>
                <w:iCs w:val="false"/>
                <w:color w:val="B77900"/>
                <w:sz w:val="20"/>
                <w:szCs w:val="20"/>
              </w:rPr>
              <w:t xml:space="preserve">Demo safeguard</w:t>
            </w:r>
          </w:p>
          <w:p>
            <w:pPr>
              <w:spacing w:after="0" w:before="0" w:line="254"/>
            </w:pPr>
            <w:r>
              <w:rPr>
                <w:rFonts w:ascii="Aptos" w:cs="Aptos" w:eastAsia="Aptos" w:hAnsi="Aptos"/>
                <w:b w:val="false"/>
                <w:bCs w:val="false"/>
                <w:i w:val="false"/>
                <w:iCs w:val="false"/>
                <w:color w:val="16335D"/>
                <w:sz w:val="19"/>
                <w:szCs w:val="19"/>
              </w:rPr>
              <w:t xml:space="preserve">Do not submit an investigator or Compliance action, reset decisions, create intake data, or reveal or enter an Admin passcode during the live demonstration. The closed case is evidence-only; the open/escalated case is used to show the review path without persisting an action.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CBEA" w:sz="6"/>
              <w:left w:val="single" w:color="2E65C5" w:sz="6"/>
              <w:bottom w:val="single" w:color="B7CBEA" w:sz="6"/>
              <w:right w:val="single" w:color="2E65C5" w:sz="6"/>
            </w:tcBorders>
            <w:shd w:fill="F4F8FF" w:color="F4F8FF" w:val="clear"/>
            <w:tcMar>
              <w:top w:type="dxa" w:w="130"/>
              <w:left w:type="dxa" w:w="180"/>
              <w:bottom w:type="dxa" w:w="130"/>
              <w:right w:type="dxa" w:w="180"/>
            </w:tcMar>
          </w:tcPr>
          <w:p>
            <w:pPr>
              <w:spacing w:after="45" w:before="0" w:line="276"/>
            </w:pPr>
            <w:r>
              <w:rPr>
                <w:rFonts w:ascii="Aptos" w:cs="Aptos" w:eastAsia="Aptos" w:hAnsi="Aptos"/>
                <w:b/>
                <w:bCs/>
                <w:i w:val="false"/>
                <w:iCs w:val="false"/>
                <w:color w:val="2E65C5"/>
                <w:sz w:val="20"/>
                <w:szCs w:val="20"/>
              </w:rPr>
              <w:t xml:space="preserve">Final product position</w:t>
            </w:r>
          </w:p>
          <w:p>
            <w:pPr>
              <w:spacing w:after="0" w:before="0" w:line="254"/>
            </w:pPr>
            <w:r>
              <w:rPr>
                <w:rFonts w:ascii="Aptos" w:cs="Aptos" w:eastAsia="Aptos" w:hAnsi="Aptos"/>
                <w:b w:val="false"/>
                <w:bCs w:val="false"/>
                <w:i w:val="false"/>
                <w:iCs w:val="false"/>
                <w:color w:val="16335D"/>
                <w:sz w:val="19"/>
                <w:szCs w:val="19"/>
              </w:rPr>
              <w:t xml:space="preserve">InvestigateIQ demonstrates a transparent evidence-to-decision workflow. It helps a reviewer find, inspect, and question supplied material; it does not turn a record or model response into a legal, regulatory, or factual conclusion. The human reviewer remains responsible for the next step.</w:t>
            </w:r>
          </w:p>
        </w:tc>
      </w:tr>
    </w:tbl>
    <w:sectPr>
      <w:headerReference w:type="default" r:id="rId7"/>
      <w:footerReference w:type="default" r:id="rId8"/>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80" w:line="276"/>
      <w:jc w:val="center"/>
    </w:pPr>
    <w:r>
      <w:rPr>
        <w:rFonts w:ascii="Aptos" w:cs="Aptos" w:eastAsia="Aptos" w:hAnsi="Aptos"/>
        <w:b w:val="false"/>
        <w:bCs w:val="false"/>
        <w:i w:val="false"/>
        <w:iCs w:val="false"/>
        <w:color w:val="63738D"/>
        <w:sz w:val="16"/>
        <w:szCs w:val="16"/>
      </w:rPr>
      <w:t xml:space="preserve">Fictional learning environment · Evidence-to-decision workflow</w:t>
    </w:r>
    <w:r>
      <w:rPr>
        <w:rFonts w:ascii="Aptos" w:cs="Aptos" w:eastAsia="Aptos" w:hAnsi="Aptos"/>
        <w:b w:val="false"/>
        <w:bCs w:val="false"/>
        <w:i w:val="false"/>
        <w:iCs w:val="false"/>
        <w:color w:val="63738D"/>
        <w:sz w:val="16"/>
        <w:szCs w:val="16"/>
      </w:rPr>
      <w:t xml:space="preserve">     Page </w:t>
    </w:r>
    <w:r>
      <w:rPr>
        <w:color w:val="63738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7CBEA" w:sz="8" w:space="4"/>
      </w:pBdr>
      <w:spacing w:after="90" w:before="0" w:line="276"/>
    </w:pPr>
    <w:r>
      <w:rPr>
        <w:rFonts w:ascii="Aptos" w:cs="Aptos" w:eastAsia="Aptos" w:hAnsi="Aptos"/>
        <w:b/>
        <w:bCs/>
        <w:i w:val="false"/>
        <w:iCs w:val="false"/>
        <w:color w:val="2E65C5"/>
        <w:sz w:val="17"/>
        <w:szCs w:val="17"/>
      </w:rPr>
      <w:t xml:space="preserve">InvestigateIQ Product Blueprint</w:t>
    </w:r>
    <w:r>
      <w:rPr>
        <w:rFonts w:ascii="Aptos" w:cs="Aptos" w:eastAsia="Aptos" w:hAnsi="Aptos"/>
        <w:b w:val="false"/>
        <w:bCs w:val="false"/>
        <w:i w:val="false"/>
        <w:iCs w:val="false"/>
        <w:color w:val="63738D"/>
        <w:sz w:val="17"/>
        <w:szCs w:val="17"/>
      </w:rPr>
      <w:t xml:space="preserve">  |  Capstone Group 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33e88125521dd10576bf98a841e62f774b3481e.png"/><Relationship Id="rId10" Type="http://schemas.openxmlformats.org/officeDocument/2006/relationships/image" Target="media/c5d2b7302500438a84a72128cdb40de7971b680f.png"/><Relationship Id="rId11" Type="http://schemas.openxmlformats.org/officeDocument/2006/relationships/image" Target="media/5e59d68163a90a048253cdbb49cb9828507024e6.png"/><Relationship Id="rId12" Type="http://schemas.openxmlformats.org/officeDocument/2006/relationships/image" Target="media/7358ebb4876acbaf667c2fa3cba5af1b5d63e988.png"/><Relationship Id="rId13" Type="http://schemas.openxmlformats.org/officeDocument/2006/relationships/image" Target="media/dc5b97103de75a1a7bdcb1ced85c8712188cbfe8.png"/><Relationship Id="rId14" Type="http://schemas.openxmlformats.org/officeDocument/2006/relationships/image" Target="media/eaa674ca8a83c92f7e036bda3cf698142a6d6cec.png"/><Relationship Id="rId15" Type="http://schemas.openxmlformats.org/officeDocument/2006/relationships/image" Target="media/690f127a3da2f377f8843e9cf78fc459e09610ae.png"/><Relationship Id="rId16" Type="http://schemas.openxmlformats.org/officeDocument/2006/relationships/image" Target="media/ce00f45d64f1459827ba43c7062932fc12b5a29b.png"/><Relationship Id="rId17" Type="http://schemas.openxmlformats.org/officeDocument/2006/relationships/image" Target="media/8d3b678caf7749e1be3c6e983d7fdd5b306c6652.png"/><Relationship Id="rId18" Type="http://schemas.openxmlformats.org/officeDocument/2006/relationships/image" Target="media/3c586a9088c9be9cad61455e77462994f3f678fe.png"/><Relationship Id="rId19" Type="http://schemas.openxmlformats.org/officeDocument/2006/relationships/image" Target="media/796e5ddd4f7a15a043a416fc4c69a9bca67ebe56.png"/><Relationship Id="rId20" Type="http://schemas.openxmlformats.org/officeDocument/2006/relationships/image" Target="media/0e5a9e567cd8f5f329df00a84de06e35b6f3be63.png"/><Relationship Id="rId21" Type="http://schemas.openxmlformats.org/officeDocument/2006/relationships/image" Target="media/6232fa6755c28851266b8a550ec69b82faf82255.png"/><Relationship Id="rId22" Type="http://schemas.openxmlformats.org/officeDocument/2006/relationships/image" Target="media/13e800ac76c74de63f948fb2b2d36bbe60ac9fa7.pn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InvestigateIQ Product Blueprint</dc:title>
  <dc:creator>Capstone Group 7</dc:creator>
  <dc:description>Product, workflow, evidence, and technical blueprint for the InvestigateIQ fictional AML investigation copilot.</dc:description>
  <cp:lastModifiedBy>Un-named</cp:lastModifiedBy>
  <cp:revision>1</cp:revision>
  <dcterms:created xsi:type="dcterms:W3CDTF">2026-10-10T13:22:38.319Z</dcterms:created>
  <dcterms:modified xsi:type="dcterms:W3CDTF">2026-10-10T13:22:38.321Z</dcterms:modified>
</cp:coreProperties>
</file>

<file path=docProps/custom.xml><?xml version="1.0" encoding="utf-8"?>
<Properties xmlns="http://schemas.openxmlformats.org/officeDocument/2006/custom-properties" xmlns:vt="http://schemas.openxmlformats.org/officeDocument/2006/docPropsVTypes"/>
</file>