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276"/>
      </w:pPr>
      <w:r>
        <w:rPr>
          <w:rFonts w:ascii="Arial" w:cs="Arial" w:eastAsia="Arial" w:hAnsi="Arial"/>
          <w:b/>
          <w:bCs/>
          <w:color w:val="0B1F3A"/>
          <w:sz w:val="36"/>
          <w:szCs w:val="36"/>
        </w:rPr>
        <w:t xml:space="preserve">InvestigateIQ Deck Presenter Guide</w:t>
      </w:r>
    </w:p>
    <w:p>
      <w:pPr>
        <w:spacing w:after="360" w:before="0" w:line="276"/>
      </w:pPr>
      <w:r>
        <w:rPr>
          <w:rFonts w:ascii="Arial" w:cs="Arial" w:eastAsia="Arial" w:hAnsi="Arial"/>
          <w:b w:val="false"/>
          <w:bCs w:val="false"/>
          <w:color w:val="63738D"/>
          <w:sz w:val="22"/>
          <w:szCs w:val="22"/>
        </w:rPr>
        <w:t xml:space="preserve">15-minute, single-presenter script for the Product Blueprint presentation</w:t>
      </w:r>
    </w:p>
    <w:p>
      <w:pPr>
        <w:pStyle w:val="Heading1"/>
        <w:spacing w:after="130" w:before="0" w:line="276"/>
      </w:pPr>
      <w:r>
        <w:rPr>
          <w:rFonts w:ascii="Arial" w:cs="Arial" w:eastAsia="Arial" w:hAnsi="Arial"/>
          <w:b/>
          <w:bCs/>
          <w:color w:val="0B1F3A"/>
          <w:sz w:val="28"/>
          <w:szCs w:val="28"/>
        </w:rPr>
        <w:t xml:space="preserve">How to use this guide</w:t>
      </w:r>
    </w:p>
    <w:p>
      <w:pPr>
        <w:spacing w:after="130" w:before="0" w:line="276"/>
      </w:pPr>
      <w:r>
        <w:rPr>
          <w:rFonts w:ascii="Arial" w:cs="Arial" w:eastAsia="Arial" w:hAnsi="Arial"/>
          <w:b w:val="false"/>
          <w:bCs w:val="false"/>
          <w:color w:val="12233F"/>
          <w:sz w:val="20"/>
          <w:szCs w:val="20"/>
        </w:rPr>
        <w:t xml:space="preserve">Pankaj Bharsakale is the single presenter for this 15-minute deck. Rahul Chainani is the technical preparation and question-support contact. The presenter should let each fade settle, speak to the item under the pointer, and keep every case, source, chart, and record described as fictional.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800"/>
        <w:gridCol w:w="1700"/>
        <w:gridCol w:w="4300"/>
        <w:gridCol w:w="1040"/>
      </w:tblGrid>
      <w:tr>
        <w:tc>
          <w:tcPr>
            <w:tcW w:type="dxa" w:w="52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w:t>
            </w:r>
          </w:p>
        </w:tc>
        <w:tc>
          <w:tcPr>
            <w:tcW w:type="dxa" w:w="18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Slide</w:t>
            </w:r>
          </w:p>
        </w:tc>
        <w:tc>
          <w:tcPr>
            <w:tcW w:type="dxa" w:w="17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Presenter</w:t>
            </w:r>
          </w:p>
        </w:tc>
        <w:tc>
          <w:tcPr>
            <w:tcW w:type="dxa" w:w="43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Purpose</w:t>
            </w:r>
          </w:p>
        </w:tc>
        <w:tc>
          <w:tcPr>
            <w:tcW w:type="dxa" w:w="104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Time</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InvestigateIQ</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Set the fictional-product boundary and the core evidence-to-decision promise.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0:35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2</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Project team</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Introduce the group in the agreed order and establish Pankaj as the single presenter.</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3</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Program statement</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State the capstone commitment, success measures, and non-goals before the product tour.</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4</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The problem</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why a monitoring alert is not a conclusion.</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5</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Product workflow</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Walk through the one-case journey end to end.</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6</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Product navigation</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that the left navigation follows the same work sequence.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0:35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7</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Case Queue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filters and distinguish status, rules, and the action button.</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8</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Investigation Workspace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the report modes, validator, and decision boundary.</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9</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Evidence confidence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Present the responsible-AI score with its limitations.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OKF, chunks, and RAG</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the key coding logic behind source ingestion, retrieval, and citations.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1:20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11</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InvestigateIQ Copilot</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the Copilot’s limited, evidence-bound role.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12</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Human decisions and Compliance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append-only decisions and the three separate Compliance outcomes.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13</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Analytics</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every graph as descriptive stored-data analysis.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14</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Context and ownership</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Global Search and the role guide.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0:35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15</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Technical architecture and code logic</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Connect the page experience to the actual implementation layers.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1:10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16</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Protected administration</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the protected boundary without demonstrating the passcode.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0:35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17</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Validation and deployment</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Summarize how changes are checked and released.</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18</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Value realization, ROI, and roadmap</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Present a measurable ROI planning model and the future roadmap without claiming a financial result from fictional data.</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19</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Closing</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Close with the product’s narrow, responsible claim.</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0:30</w:t>
            </w:r>
          </w:p>
        </w:tc>
      </w:tr>
    </w:tbl>
    <w:p>
      <w:pPr>
        <w:pStyle w:val="Heading1"/>
        <w:spacing w:after="130" w:before="260" w:line="276"/>
      </w:pPr>
      <w:r>
        <w:rPr>
          <w:rFonts w:ascii="Arial" w:cs="Arial" w:eastAsia="Arial" w:hAnsi="Arial"/>
          <w:b/>
          <w:bCs/>
          <w:color w:val="0B1F3A"/>
          <w:sz w:val="28"/>
          <w:szCs w:val="28"/>
        </w:rPr>
        <w:t xml:space="preserve">Speaker script and stage direction</w:t>
      </w:r>
    </w:p>
    <w:p>
      <w:pPr>
        <w:pStyle w:val="Heading2"/>
        <w:spacing w:after="80" w:before="220" w:line="276"/>
      </w:pPr>
      <w:r>
        <w:rPr>
          <w:rFonts w:ascii="Arial" w:cs="Arial" w:eastAsia="Arial" w:hAnsi="Arial"/>
          <w:b/>
          <w:bCs/>
          <w:color w:val="0B1F3A"/>
          <w:sz w:val="24"/>
          <w:szCs w:val="24"/>
        </w:rPr>
        <w:t xml:space="preserve">1. InvestigateIQ — 0:35</w:t>
      </w:r>
    </w:p>
    <w:p>
      <w:pPr>
        <w:spacing w:after="80" w:before="0" w:line="276"/>
      </w:pPr>
      <w:r>
        <w:rPr>
          <w:rFonts w:ascii="Arial" w:cs="Arial" w:eastAsia="Arial" w:hAnsi="Arial"/>
          <w:b w:val="false"/>
          <w:bCs w:val="false"/>
          <w:color w:val="12233F"/>
          <w:sz w:val="19"/>
          <w:szCs w:val="19"/>
        </w:rPr>
        <w:t xml:space="preserve">Pankaj says: “Good morning. We are presenting InvestigateIQ, an AI-assisted copilot for fictional AML case investigations. Its purpose is to keep the alert, the supporting material, the explanation, and the human decision connected. It assists a reviewer; it does not make legal or regulatory conclusions.”</w:t>
      </w:r>
    </w:p>
    <w:p>
      <w:pPr>
        <w:spacing w:after="60" w:before="0" w:line="276"/>
      </w:pPr>
      <w:r>
        <w:rPr>
          <w:rFonts w:ascii="Arial" w:cs="Arial" w:eastAsia="Arial" w:hAnsi="Arial"/>
          <w:b/>
          <w:bCs/>
          <w:color w:val="00A79D"/>
          <w:sz w:val="18"/>
          <w:szCs w:val="18"/>
        </w:rPr>
        <w:t xml:space="preserve">Pointer and pacing: Keep the pointer on the product name, then the words ‘Trace the evidence. Own the decision.’</w:t>
      </w:r>
    </w:p>
    <w:p>
      <w:pPr>
        <w:spacing w:after="130" w:before="0" w:line="276"/>
      </w:pPr>
      <w:r>
        <w:rPr>
          <w:rFonts w:ascii="Arial" w:cs="Arial" w:eastAsia="Arial" w:hAnsi="Arial"/>
          <w:b w:val="false"/>
          <w:bCs w:val="false"/>
          <w:color w:val="63738D"/>
          <w:sz w:val="18"/>
          <w:szCs w:val="18"/>
        </w:rPr>
        <w:t xml:space="preserve">Rahul prepares: Confirm the cover is displayed at full slide size. Rahul Chainani is technical support for questions after the presentation; he does not need to speak during the 15-minute delivery.</w:t>
      </w:r>
    </w:p>
    <w:p>
      <w:pPr>
        <w:pStyle w:val="Heading2"/>
        <w:spacing w:after="80" w:before="220" w:line="276"/>
      </w:pPr>
      <w:r>
        <w:rPr>
          <w:rFonts w:ascii="Arial" w:cs="Arial" w:eastAsia="Arial" w:hAnsi="Arial"/>
          <w:b/>
          <w:bCs/>
          <w:color w:val="0B1F3A"/>
          <w:sz w:val="24"/>
          <w:szCs w:val="24"/>
        </w:rPr>
        <w:t xml:space="preserve">2. Project team — 0:40</w:t>
      </w:r>
    </w:p>
    <w:p>
      <w:pPr>
        <w:spacing w:after="80" w:before="0" w:line="276"/>
      </w:pPr>
      <w:r>
        <w:rPr>
          <w:rFonts w:ascii="Arial" w:cs="Arial" w:eastAsia="Arial" w:hAnsi="Arial"/>
          <w:b w:val="false"/>
          <w:bCs w:val="false"/>
          <w:color w:val="12233F"/>
          <w:sz w:val="19"/>
          <w:szCs w:val="19"/>
        </w:rPr>
        <w:t xml:space="preserve">Pankaj says: “This is our project team. Rahul Chainani led application development and integration. I, Pankaj Bharsakale, led the AI workflow and evidence review. Lakshmi Dudgikar mapped requirements and the case study. Rahul Sharma covered quality and edge cases, Laxman Singh focused on user experience, Soumya coordinated the team and presentation, and Sweta Singh supported the course linkage and project explanation. I will present the product today.”</w:t>
      </w:r>
    </w:p>
    <w:p>
      <w:pPr>
        <w:spacing w:after="60" w:before="0" w:line="276"/>
      </w:pPr>
      <w:r>
        <w:rPr>
          <w:rFonts w:ascii="Arial" w:cs="Arial" w:eastAsia="Arial" w:hAnsi="Arial"/>
          <w:b/>
          <w:bCs/>
          <w:color w:val="00A79D"/>
          <w:sz w:val="18"/>
          <w:szCs w:val="18"/>
        </w:rPr>
        <w:t xml:space="preserve">Pointer and pacing: Move slowly down the roster from Rahul Chainani to Sweta Singh; do not point to an email address because none are shown.</w:t>
      </w:r>
    </w:p>
    <w:p>
      <w:pPr>
        <w:spacing w:after="130" w:before="0" w:line="276"/>
      </w:pPr>
      <w:r>
        <w:rPr>
          <w:rFonts w:ascii="Arial" w:cs="Arial" w:eastAsia="Arial" w:hAnsi="Arial"/>
          <w:b w:val="false"/>
          <w:bCs w:val="false"/>
          <w:color w:val="63738D"/>
          <w:sz w:val="18"/>
          <w:szCs w:val="18"/>
        </w:rPr>
        <w:t xml:space="preserve">Rahul prepares: Use the roster exactly as shown: Rahul Chainani, Pankaj Bharsakale, Lakshmi Dudgikar, Rahul Sharma, Laxman Singh, Soumya, then Sweta Singh last.</w:t>
      </w:r>
    </w:p>
    <w:p>
      <w:pPr>
        <w:pStyle w:val="Heading2"/>
        <w:spacing w:after="80" w:before="220" w:line="276"/>
      </w:pPr>
      <w:r>
        <w:rPr>
          <w:rFonts w:ascii="Arial" w:cs="Arial" w:eastAsia="Arial" w:hAnsi="Arial"/>
          <w:b/>
          <w:bCs/>
          <w:color w:val="0B1F3A"/>
          <w:sz w:val="24"/>
          <w:szCs w:val="24"/>
        </w:rPr>
        <w:t xml:space="preserve">3. Program statement — 0:45</w:t>
      </w:r>
    </w:p>
    <w:p>
      <w:pPr>
        <w:spacing w:after="80" w:before="0" w:line="276"/>
      </w:pPr>
      <w:r>
        <w:rPr>
          <w:rFonts w:ascii="Arial" w:cs="Arial" w:eastAsia="Arial" w:hAnsi="Arial"/>
          <w:b w:val="false"/>
          <w:bCs w:val="false"/>
          <w:color w:val="12233F"/>
          <w:sz w:val="19"/>
          <w:szCs w:val="19"/>
        </w:rPr>
        <w:t xml:space="preserve">Pankaj says: “Our program statement is simple: we are designing and demonstrating a transparent, AI-assisted workflow for fictional AML case review. Every report claim should be traceable to supplied material, every limitation should be visible, and every workflow action must remain a named human decision. We measure success through traceability, clear states, visible gaps, and required rationale—not automated outcomes.”</w:t>
      </w:r>
    </w:p>
    <w:p>
      <w:pPr>
        <w:spacing w:after="60" w:before="0" w:line="276"/>
      </w:pPr>
      <w:r>
        <w:rPr>
          <w:rFonts w:ascii="Arial" w:cs="Arial" w:eastAsia="Arial" w:hAnsi="Arial"/>
          <w:b/>
          <w:bCs/>
          <w:color w:val="00A79D"/>
          <w:sz w:val="18"/>
          <w:szCs w:val="18"/>
        </w:rPr>
        <w:t xml:space="preserve">Pointer and pacing: Hold the pointer on the central Program Statement, then move through Problem, Program outcome, Success measures, and Non-goals.</w:t>
      </w:r>
    </w:p>
    <w:p>
      <w:pPr>
        <w:spacing w:after="130" w:before="0" w:line="276"/>
      </w:pPr>
      <w:r>
        <w:rPr>
          <w:rFonts w:ascii="Arial" w:cs="Arial" w:eastAsia="Arial" w:hAnsi="Arial"/>
          <w:b w:val="false"/>
          <w:bCs w:val="false"/>
          <w:color w:val="63738D"/>
          <w:sz w:val="18"/>
          <w:szCs w:val="18"/>
        </w:rPr>
        <w:t xml:space="preserve">Rahul prepares: Do not shorten the program statement to an AI claim. Read the non-goals: no real data, autonomous action, legal conclusion, or external filing.</w:t>
      </w:r>
    </w:p>
    <w:p>
      <w:pPr>
        <w:pStyle w:val="Heading2"/>
        <w:spacing w:after="80" w:before="220" w:line="276"/>
      </w:pPr>
      <w:r>
        <w:rPr>
          <w:rFonts w:ascii="Arial" w:cs="Arial" w:eastAsia="Arial" w:hAnsi="Arial"/>
          <w:b/>
          <w:bCs/>
          <w:color w:val="0B1F3A"/>
          <w:sz w:val="24"/>
          <w:szCs w:val="24"/>
        </w:rPr>
        <w:t xml:space="preserve">4. The problem — 0:40</w:t>
      </w:r>
    </w:p>
    <w:p>
      <w:pPr>
        <w:spacing w:after="80" w:before="0" w:line="276"/>
      </w:pPr>
      <w:r>
        <w:rPr>
          <w:rFonts w:ascii="Arial" w:cs="Arial" w:eastAsia="Arial" w:hAnsi="Arial"/>
          <w:b w:val="false"/>
          <w:bCs w:val="false"/>
          <w:color w:val="12233F"/>
          <w:sz w:val="19"/>
          <w:szCs w:val="19"/>
        </w:rPr>
        <w:t xml:space="preserve">Pankaj says: “A monitoring alert can prioritize a review, but it does not by itself prove wrongdoing. An investigator still needs the underlying records, a clear view of missing evidence, and a reasoned next action. InvestigateIQ connects those pieces instead of presenting an alert as a verdict.”</w:t>
      </w:r>
    </w:p>
    <w:p>
      <w:pPr>
        <w:spacing w:after="60" w:before="0" w:line="276"/>
      </w:pPr>
      <w:r>
        <w:rPr>
          <w:rFonts w:ascii="Arial" w:cs="Arial" w:eastAsia="Arial" w:hAnsi="Arial"/>
          <w:b/>
          <w:bCs/>
          <w:color w:val="00A79D"/>
          <w:sz w:val="18"/>
          <w:szCs w:val="18"/>
        </w:rPr>
        <w:t xml:space="preserve">Pointer and pacing: Point first to the alert metadata items, then to the Case Queue image.</w:t>
      </w:r>
    </w:p>
    <w:p>
      <w:pPr>
        <w:spacing w:after="130" w:before="0" w:line="276"/>
      </w:pPr>
      <w:r>
        <w:rPr>
          <w:rFonts w:ascii="Arial" w:cs="Arial" w:eastAsia="Arial" w:hAnsi="Arial"/>
          <w:b w:val="false"/>
          <w:bCs w:val="false"/>
          <w:color w:val="63738D"/>
          <w:sz w:val="18"/>
          <w:szCs w:val="18"/>
        </w:rPr>
        <w:t xml:space="preserve">Rahul prepares: Do not call any fictional alert suspicious, illegal, or confirmed. Say ‘needs review’ or ‘requires human assessment.’</w:t>
      </w:r>
    </w:p>
    <w:p>
      <w:pPr>
        <w:pStyle w:val="Heading2"/>
        <w:spacing w:after="80" w:before="220" w:line="276"/>
      </w:pPr>
      <w:r>
        <w:rPr>
          <w:rFonts w:ascii="Arial" w:cs="Arial" w:eastAsia="Arial" w:hAnsi="Arial"/>
          <w:b/>
          <w:bCs/>
          <w:color w:val="0B1F3A"/>
          <w:sz w:val="24"/>
          <w:szCs w:val="24"/>
        </w:rPr>
        <w:t xml:space="preserve">5. Product workflow — 0:50</w:t>
      </w:r>
    </w:p>
    <w:p>
      <w:pPr>
        <w:spacing w:after="80" w:before="0" w:line="276"/>
      </w:pPr>
      <w:r>
        <w:rPr>
          <w:rFonts w:ascii="Arial" w:cs="Arial" w:eastAsia="Arial" w:hAnsi="Arial"/>
          <w:b w:val="false"/>
          <w:bCs w:val="false"/>
          <w:color w:val="12233F"/>
          <w:sz w:val="19"/>
          <w:szCs w:val="19"/>
        </w:rPr>
        <w:t xml:space="preserve">Pankaj says: “We follow one visible workflow. First, an investigator finds a case in the queue. Next, the workspace builds or replays a report. Then Evidence and RAG opens the exact stored material behind the report. A named person records a rationale, and Compliance can perform a separate second review. The system never closes, escalates, refers, or files an action automatically.”</w:t>
      </w:r>
    </w:p>
    <w:p>
      <w:pPr>
        <w:spacing w:after="60" w:before="0" w:line="276"/>
      </w:pPr>
      <w:r>
        <w:rPr>
          <w:rFonts w:ascii="Arial" w:cs="Arial" w:eastAsia="Arial" w:hAnsi="Arial"/>
          <w:b/>
          <w:bCs/>
          <w:color w:val="00A79D"/>
          <w:sz w:val="18"/>
          <w:szCs w:val="18"/>
        </w:rPr>
        <w:t xml:space="preserve">Pointer and pacing: Reveal or point to the five steps from left to right, pausing briefly on Evidence &amp; RAG and Human action.</w:t>
      </w:r>
    </w:p>
    <w:p>
      <w:pPr>
        <w:spacing w:after="130" w:before="0" w:line="276"/>
      </w:pPr>
      <w:r>
        <w:rPr>
          <w:rFonts w:ascii="Arial" w:cs="Arial" w:eastAsia="Arial" w:hAnsi="Arial"/>
          <w:b w:val="false"/>
          <w:bCs w:val="false"/>
          <w:color w:val="63738D"/>
          <w:sz w:val="18"/>
          <w:szCs w:val="18"/>
        </w:rPr>
        <w:t xml:space="preserve">Rahul prepares: Let the fade transition complete before speaking to each stage. Keep the pointer on the stage being named.</w:t>
      </w:r>
    </w:p>
    <w:p>
      <w:pPr>
        <w:pStyle w:val="Heading2"/>
        <w:spacing w:after="80" w:before="220" w:line="276"/>
      </w:pPr>
      <w:r>
        <w:rPr>
          <w:rFonts w:ascii="Arial" w:cs="Arial" w:eastAsia="Arial" w:hAnsi="Arial"/>
          <w:b/>
          <w:bCs/>
          <w:color w:val="0B1F3A"/>
          <w:sz w:val="24"/>
          <w:szCs w:val="24"/>
        </w:rPr>
        <w:t xml:space="preserve">6. Product navigation — 0:35</w:t>
      </w:r>
    </w:p>
    <w:p>
      <w:pPr>
        <w:spacing w:after="80" w:before="0" w:line="276"/>
      </w:pPr>
      <w:r>
        <w:rPr>
          <w:rFonts w:ascii="Arial" w:cs="Arial" w:eastAsia="Arial" w:hAnsi="Arial"/>
          <w:b w:val="false"/>
          <w:bCs w:val="false"/>
          <w:color w:val="12233F"/>
          <w:sz w:val="19"/>
          <w:szCs w:val="19"/>
        </w:rPr>
        <w:t xml:space="preserve">Pankaj says: “The reordered navigation mirrors the investigation sequence. We begin with the Home and Case Queue pages, move into the Investigation Workspace, then use Evidence and RAG to inspect support. Compliance, Analytics, and Global Search serve the later review and context steps. This reduces unnecessary navigation during an investigation.”</w:t>
      </w:r>
    </w:p>
    <w:p>
      <w:pPr>
        <w:spacing w:after="60" w:before="0" w:line="276"/>
      </w:pPr>
      <w:r>
        <w:rPr>
          <w:rFonts w:ascii="Arial" w:cs="Arial" w:eastAsia="Arial" w:hAnsi="Arial"/>
          <w:b/>
          <w:bCs/>
          <w:color w:val="00A79D"/>
          <w:sz w:val="18"/>
          <w:szCs w:val="18"/>
        </w:rPr>
        <w:t xml:space="preserve">Pointer and pacing: Trace only the core workspaces on the right-side list; do not wave across the screenshot.</w:t>
      </w:r>
    </w:p>
    <w:p>
      <w:pPr>
        <w:spacing w:after="130" w:before="0" w:line="276"/>
      </w:pPr>
      <w:r>
        <w:rPr>
          <w:rFonts w:ascii="Arial" w:cs="Arial" w:eastAsia="Arial" w:hAnsi="Arial"/>
          <w:b w:val="false"/>
          <w:bCs w:val="false"/>
          <w:color w:val="63738D"/>
          <w:sz w:val="18"/>
          <w:szCs w:val="18"/>
        </w:rPr>
        <w:t xml:space="preserve">Rahul prepares: Mention that Admin screens are deliberately separated from normal review work.</w:t>
      </w:r>
    </w:p>
    <w:p>
      <w:pPr>
        <w:pStyle w:val="Heading2"/>
        <w:spacing w:after="80" w:before="220" w:line="276"/>
      </w:pPr>
      <w:r>
        <w:rPr>
          <w:rFonts w:ascii="Arial" w:cs="Arial" w:eastAsia="Arial" w:hAnsi="Arial"/>
          <w:b/>
          <w:bCs/>
          <w:color w:val="0B1F3A"/>
          <w:sz w:val="24"/>
          <w:szCs w:val="24"/>
        </w:rPr>
        <w:t xml:space="preserve">7. Case Queue — 0:50</w:t>
      </w:r>
    </w:p>
    <w:p>
      <w:pPr>
        <w:spacing w:after="80" w:before="0" w:line="276"/>
      </w:pPr>
      <w:r>
        <w:rPr>
          <w:rFonts w:ascii="Arial" w:cs="Arial" w:eastAsia="Arial" w:hAnsi="Arial"/>
          <w:b w:val="false"/>
          <w:bCs w:val="false"/>
          <w:color w:val="12233F"/>
          <w:sz w:val="19"/>
          <w:szCs w:val="19"/>
        </w:rPr>
        <w:t xml:space="preserve">Pankaj says: “The Case Queue turns stored fictional alerts into a manageable workload. Filters narrow the queue by customer, status, severity, and scenario. In each row, severity is a priority label, status shows where the case is in the workflow, and Rule(s) records the trigger metadata. The action opens a current case or, for a completed case, lets us inspect the supporting evidence rather than reopening a decision.”</w:t>
      </w:r>
    </w:p>
    <w:p>
      <w:pPr>
        <w:spacing w:after="60" w:before="0" w:line="276"/>
      </w:pPr>
      <w:r>
        <w:rPr>
          <w:rFonts w:ascii="Arial" w:cs="Arial" w:eastAsia="Arial" w:hAnsi="Arial"/>
          <w:b/>
          <w:bCs/>
          <w:color w:val="00A79D"/>
          <w:sz w:val="18"/>
          <w:szCs w:val="18"/>
        </w:rPr>
        <w:t xml:space="preserve">Pointer and pacing: Point to the filters, then follow one row across Severity, Status, Rule(s), and Action.</w:t>
      </w:r>
    </w:p>
    <w:p>
      <w:pPr>
        <w:spacing w:after="130" w:before="0" w:line="276"/>
      </w:pPr>
      <w:r>
        <w:rPr>
          <w:rFonts w:ascii="Arial" w:cs="Arial" w:eastAsia="Arial" w:hAnsi="Arial"/>
          <w:b w:val="false"/>
          <w:bCs w:val="false"/>
          <w:color w:val="63738D"/>
          <w:sz w:val="18"/>
          <w:szCs w:val="18"/>
        </w:rPr>
        <w:t xml:space="preserve">Rahul prepares: Use one row only. State that ‘source closed’ is not the same as a human closure or a Compliance outcome.</w:t>
      </w:r>
    </w:p>
    <w:p>
      <w:pPr>
        <w:pStyle w:val="Heading2"/>
        <w:spacing w:after="80" w:before="220" w:line="276"/>
      </w:pPr>
      <w:r>
        <w:rPr>
          <w:rFonts w:ascii="Arial" w:cs="Arial" w:eastAsia="Arial" w:hAnsi="Arial"/>
          <w:b/>
          <w:bCs/>
          <w:color w:val="0B1F3A"/>
          <w:sz w:val="24"/>
          <w:szCs w:val="24"/>
        </w:rPr>
        <w:t xml:space="preserve">8. Investigation Workspace — 1:00</w:t>
      </w:r>
    </w:p>
    <w:p>
      <w:pPr>
        <w:spacing w:after="80" w:before="0" w:line="276"/>
      </w:pPr>
      <w:r>
        <w:rPr>
          <w:rFonts w:ascii="Arial" w:cs="Arial" w:eastAsia="Arial" w:hAnsi="Arial"/>
          <w:b w:val="false"/>
          <w:bCs w:val="false"/>
          <w:color w:val="12233F"/>
          <w:sz w:val="19"/>
          <w:szCs w:val="19"/>
        </w:rPr>
        <w:t xml:space="preserve">Pankaj says: “The Investigation Workspace is where the reviewer reads the case report. A saved report replays a historical snapshot for a repeatable demonstration. Calculated mode recomputes from the current stored fictional rows. The validator surfaces notes before a decision, but running or replaying a report never records a decision by itself. The human remains responsible for the next action.”</w:t>
      </w:r>
    </w:p>
    <w:p>
      <w:pPr>
        <w:spacing w:after="60" w:before="0" w:line="276"/>
      </w:pPr>
      <w:r>
        <w:rPr>
          <w:rFonts w:ascii="Arial" w:cs="Arial" w:eastAsia="Arial" w:hAnsi="Arial"/>
          <w:b/>
          <w:bCs/>
          <w:color w:val="00A79D"/>
          <w:sz w:val="18"/>
          <w:szCs w:val="18"/>
        </w:rPr>
        <w:t xml:space="preserve">Pointer and pacing: Point to Saved report, Calculated mode, and Validator in that order.</w:t>
      </w:r>
    </w:p>
    <w:p>
      <w:pPr>
        <w:spacing w:after="130" w:before="0" w:line="276"/>
      </w:pPr>
      <w:r>
        <w:rPr>
          <w:rFonts w:ascii="Arial" w:cs="Arial" w:eastAsia="Arial" w:hAnsi="Arial"/>
          <w:b w:val="false"/>
          <w:bCs w:val="false"/>
          <w:color w:val="63738D"/>
          <w:sz w:val="18"/>
          <w:szCs w:val="18"/>
        </w:rPr>
        <w:t xml:space="preserve">Rahul prepares: Do not call a calculated result an AI decision. If asked, explain that the optional AI draft remains advisory and is checked against available material.</w:t>
      </w:r>
    </w:p>
    <w:p>
      <w:pPr>
        <w:pStyle w:val="Heading2"/>
        <w:spacing w:after="80" w:before="220" w:line="276"/>
      </w:pPr>
      <w:r>
        <w:rPr>
          <w:rFonts w:ascii="Arial" w:cs="Arial" w:eastAsia="Arial" w:hAnsi="Arial"/>
          <w:b/>
          <w:bCs/>
          <w:color w:val="0B1F3A"/>
          <w:sz w:val="24"/>
          <w:szCs w:val="24"/>
        </w:rPr>
        <w:t xml:space="preserve">9. Evidence confidence — 0:50</w:t>
      </w:r>
    </w:p>
    <w:p>
      <w:pPr>
        <w:spacing w:after="80" w:before="0" w:line="276"/>
      </w:pPr>
      <w:r>
        <w:rPr>
          <w:rFonts w:ascii="Arial" w:cs="Arial" w:eastAsia="Arial" w:hAnsi="Arial"/>
          <w:b w:val="false"/>
          <w:bCs w:val="false"/>
          <w:color w:val="12233F"/>
          <w:sz w:val="19"/>
          <w:szCs w:val="19"/>
        </w:rPr>
        <w:t xml:space="preserve">Pankaj says: “After a report is available, the product shows evidence confidence. This is a deterministic support-coverage indicator: it summarizes how well the supplied records and guidance support the displayed draft, and it exposes known limitations. It is not a probability of crime, legality, money laundering, or the correct case outcome. The score is a prompt for human review, not an automated recommendation.”</w:t>
      </w:r>
    </w:p>
    <w:p>
      <w:pPr>
        <w:spacing w:after="60" w:before="0" w:line="276"/>
      </w:pPr>
      <w:r>
        <w:rPr>
          <w:rFonts w:ascii="Arial" w:cs="Arial" w:eastAsia="Arial" w:hAnsi="Arial"/>
          <w:b/>
          <w:bCs/>
          <w:color w:val="00A79D"/>
          <w:sz w:val="18"/>
          <w:szCs w:val="18"/>
        </w:rPr>
        <w:t xml:space="preserve">Pointer and pacing: Point to the score, then Coverage, Limitations, and Boundary—one at a time.</w:t>
      </w:r>
    </w:p>
    <w:p>
      <w:pPr>
        <w:spacing w:after="130" w:before="0" w:line="276"/>
      </w:pPr>
      <w:r>
        <w:rPr>
          <w:rFonts w:ascii="Arial" w:cs="Arial" w:eastAsia="Arial" w:hAnsi="Arial"/>
          <w:b w:val="false"/>
          <w:bCs w:val="false"/>
          <w:color w:val="63738D"/>
          <w:sz w:val="18"/>
          <w:szCs w:val="18"/>
        </w:rPr>
        <w:t xml:space="preserve">Rahul prepares: Say ‘support coverage’ every time; never shorten it to ‘risk score.’</w:t>
      </w:r>
    </w:p>
    <w:p>
      <w:pPr>
        <w:pStyle w:val="Heading2"/>
        <w:spacing w:after="80" w:before="220" w:line="276"/>
      </w:pPr>
      <w:r>
        <w:rPr>
          <w:rFonts w:ascii="Arial" w:cs="Arial" w:eastAsia="Arial" w:hAnsi="Arial"/>
          <w:b/>
          <w:bCs/>
          <w:color w:val="0B1F3A"/>
          <w:sz w:val="24"/>
          <w:szCs w:val="24"/>
        </w:rPr>
        <w:t xml:space="preserve">10. OKF, chunks, and RAG — 1:20</w:t>
      </w:r>
    </w:p>
    <w:p>
      <w:pPr>
        <w:spacing w:after="80" w:before="0" w:line="276"/>
      </w:pPr>
      <w:r>
        <w:rPr>
          <w:rFonts w:ascii="Arial" w:cs="Arial" w:eastAsia="Arial" w:hAnsi="Arial"/>
          <w:b w:val="false"/>
          <w:bCs w:val="false"/>
          <w:color w:val="12233F"/>
          <w:sz w:val="19"/>
          <w:szCs w:val="19"/>
        </w:rPr>
        <w:t xml:space="preserve">Pankaj says: “This is the core evidence-retrieval logic. Our OKF, or Open Knowledge Format, keeps a synthetic source ID, scenario, title, criteria, and body text together. The ingestion code creates a metadata chunk, called C0, and then small body chunks of about two sentences. SQLite FTS5 performs a local keyword search, BM25 ranks the matching chunks, and the retrieved chunk IDs become the context for a cited answer. The reviewer can open the exact passage. Retrieval helps find text; it does not prove that the text is true or that an alert is wrongdoing.”</w:t>
      </w:r>
    </w:p>
    <w:p>
      <w:pPr>
        <w:spacing w:after="60" w:before="0" w:line="276"/>
      </w:pPr>
      <w:r>
        <w:rPr>
          <w:rFonts w:ascii="Arial" w:cs="Arial" w:eastAsia="Arial" w:hAnsi="Arial"/>
          <w:b/>
          <w:bCs/>
          <w:color w:val="00A79D"/>
          <w:sz w:val="18"/>
          <w:szCs w:val="18"/>
        </w:rPr>
        <w:t xml:space="preserve">Pointer and pacing: Point to the source chunks screenshot on the left while describing steps 1–2; then point to Index and RAG review on the right and finally the code-flow strip.</w:t>
      </w:r>
    </w:p>
    <w:p>
      <w:pPr>
        <w:spacing w:after="130" w:before="0" w:line="276"/>
      </w:pPr>
      <w:r>
        <w:rPr>
          <w:rFonts w:ascii="Arial" w:cs="Arial" w:eastAsia="Arial" w:hAnsi="Arial"/>
          <w:b w:val="false"/>
          <w:bCs w:val="false"/>
          <w:color w:val="63738D"/>
          <w:sz w:val="18"/>
          <w:szCs w:val="18"/>
        </w:rPr>
        <w:t xml:space="preserve">Rahul prepares: Be ready to define FTS5 as SQLite full-text search and BM25 as the ranking method for keyword matches. Use ‘RAG’—retrieval-augmented generation—not ‘REG.’</w:t>
      </w:r>
    </w:p>
    <w:p>
      <w:pPr>
        <w:pStyle w:val="Heading2"/>
        <w:spacing w:after="80" w:before="220" w:line="276"/>
      </w:pPr>
      <w:r>
        <w:rPr>
          <w:rFonts w:ascii="Arial" w:cs="Arial" w:eastAsia="Arial" w:hAnsi="Arial"/>
          <w:b/>
          <w:bCs/>
          <w:color w:val="0B1F3A"/>
          <w:sz w:val="24"/>
          <w:szCs w:val="24"/>
        </w:rPr>
        <w:t xml:space="preserve">11. InvestigateIQ Copilot — 0:40</w:t>
      </w:r>
    </w:p>
    <w:p>
      <w:pPr>
        <w:spacing w:after="80" w:before="0" w:line="276"/>
      </w:pPr>
      <w:r>
        <w:rPr>
          <w:rFonts w:ascii="Arial" w:cs="Arial" w:eastAsia="Arial" w:hAnsi="Arial"/>
          <w:b w:val="false"/>
          <w:bCs w:val="false"/>
          <w:color w:val="12233F"/>
          <w:sz w:val="19"/>
          <w:szCs w:val="19"/>
        </w:rPr>
        <w:t xml:space="preserve">Pankaj says: “The InvestigateIQ Copilot can summarize the stored fictional records, cite source IDs and evidence gaps, and explain the selected case context. It remains bounded by the available material. It cannot verify an outside document, decide that funds are lawful or unlawful, or submit or change a human decision.”</w:t>
      </w:r>
    </w:p>
    <w:p>
      <w:pPr>
        <w:spacing w:after="60" w:before="0" w:line="276"/>
      </w:pPr>
      <w:r>
        <w:rPr>
          <w:rFonts w:ascii="Arial" w:cs="Arial" w:eastAsia="Arial" w:hAnsi="Arial"/>
          <w:b/>
          <w:bCs/>
          <w:color w:val="00A79D"/>
          <w:sz w:val="18"/>
          <w:szCs w:val="18"/>
        </w:rPr>
        <w:t xml:space="preserve">Pointer and pacing: Point to the three allowed capabilities, then the sentence that it cannot submit or alter a decision.</w:t>
      </w:r>
    </w:p>
    <w:p>
      <w:pPr>
        <w:spacing w:after="130" w:before="0" w:line="276"/>
      </w:pPr>
      <w:r>
        <w:rPr>
          <w:rFonts w:ascii="Arial" w:cs="Arial" w:eastAsia="Arial" w:hAnsi="Arial"/>
          <w:b w:val="false"/>
          <w:bCs w:val="false"/>
          <w:color w:val="63738D"/>
          <w:sz w:val="18"/>
          <w:szCs w:val="18"/>
        </w:rPr>
        <w:t xml:space="preserve">Rahul prepares: Keep the explanation short; the detailed retrieval logic was already covered on the previous slide.</w:t>
      </w:r>
    </w:p>
    <w:p>
      <w:pPr>
        <w:pStyle w:val="Heading2"/>
        <w:spacing w:after="80" w:before="220" w:line="276"/>
      </w:pPr>
      <w:r>
        <w:rPr>
          <w:rFonts w:ascii="Arial" w:cs="Arial" w:eastAsia="Arial" w:hAnsi="Arial"/>
          <w:b/>
          <w:bCs/>
          <w:color w:val="0B1F3A"/>
          <w:sz w:val="24"/>
          <w:szCs w:val="24"/>
        </w:rPr>
        <w:t xml:space="preserve">12. Human decisions and Compliance — 1:00</w:t>
      </w:r>
    </w:p>
    <w:p>
      <w:pPr>
        <w:spacing w:after="80" w:before="0" w:line="276"/>
      </w:pPr>
      <w:r>
        <w:rPr>
          <w:rFonts w:ascii="Arial" w:cs="Arial" w:eastAsia="Arial" w:hAnsi="Arial"/>
          <w:b w:val="false"/>
          <w:bCs w:val="false"/>
          <w:color w:val="12233F"/>
          <w:sz w:val="19"/>
          <w:szCs w:val="19"/>
        </w:rPr>
        <w:t xml:space="preserve">Pankaj says: “A decision becomes an accountable audit event only when a named investigator selects an allowed action and records a rationale. The completed form becomes a recorded state rather than being silently editable. Compliance is a separate human review. It can acknowledge with no further action, return the case for more information, or record an onward referral. Each result maps to a distinct queue state and audit history. The tool does not file externally.”</w:t>
      </w:r>
    </w:p>
    <w:p>
      <w:pPr>
        <w:spacing w:after="60" w:before="0" w:line="276"/>
      </w:pPr>
      <w:r>
        <w:rPr>
          <w:rFonts w:ascii="Arial" w:cs="Arial" w:eastAsia="Arial" w:hAnsi="Arial"/>
          <w:b/>
          <w:bCs/>
          <w:color w:val="00A79D"/>
          <w:sz w:val="18"/>
          <w:szCs w:val="18"/>
        </w:rPr>
        <w:t xml:space="preserve">Pointer and pacing: Point first to Investigator, then Compliance Officer, then the no-automation statement.</w:t>
      </w:r>
    </w:p>
    <w:p>
      <w:pPr>
        <w:spacing w:after="130" w:before="0" w:line="276"/>
      </w:pPr>
      <w:r>
        <w:rPr>
          <w:rFonts w:ascii="Arial" w:cs="Arial" w:eastAsia="Arial" w:hAnsi="Arial"/>
          <w:b w:val="false"/>
          <w:bCs w:val="false"/>
          <w:color w:val="63738D"/>
          <w:sz w:val="18"/>
          <w:szCs w:val="18"/>
        </w:rPr>
        <w:t xml:space="preserve">Rahul prepares: Use ‘append-only audit event’ if a technical examiner asks why the form locks. Do not describe a referral as a regulatory filing.</w:t>
      </w:r>
    </w:p>
    <w:p>
      <w:pPr>
        <w:pStyle w:val="Heading2"/>
        <w:spacing w:after="80" w:before="220" w:line="276"/>
      </w:pPr>
      <w:r>
        <w:rPr>
          <w:rFonts w:ascii="Arial" w:cs="Arial" w:eastAsia="Arial" w:hAnsi="Arial"/>
          <w:b/>
          <w:bCs/>
          <w:color w:val="0B1F3A"/>
          <w:sz w:val="24"/>
          <w:szCs w:val="24"/>
        </w:rPr>
        <w:t xml:space="preserve">13. Analytics — 0:55</w:t>
      </w:r>
    </w:p>
    <w:p>
      <w:pPr>
        <w:spacing w:after="80" w:before="0" w:line="276"/>
      </w:pPr>
      <w:r>
        <w:rPr>
          <w:rFonts w:ascii="Arial" w:cs="Arial" w:eastAsia="Arial" w:hAnsi="Arial"/>
          <w:b w:val="false"/>
          <w:bCs w:val="false"/>
          <w:color w:val="12233F"/>
          <w:sz w:val="19"/>
          <w:szCs w:val="19"/>
        </w:rPr>
        <w:t xml:space="preserve">Pankaj says: “The Analytics page uses clearly named measures. Severity charts count stored labels. Status charts count the latest workflow state. High-severity share is a percentage within a typology. Monthly records describe fictional source dates, and decision charts count saved human events. These are descriptive charts—not a prediction of crime, a staff productivity score, or a model-accuracy measure.”</w:t>
      </w:r>
    </w:p>
    <w:p>
      <w:pPr>
        <w:spacing w:after="60" w:before="0" w:line="276"/>
      </w:pPr>
      <w:r>
        <w:rPr>
          <w:rFonts w:ascii="Arial" w:cs="Arial" w:eastAsia="Arial" w:hAnsi="Arial"/>
          <w:b/>
          <w:bCs/>
          <w:color w:val="00A79D"/>
          <w:sz w:val="18"/>
          <w:szCs w:val="18"/>
        </w:rPr>
        <w:t xml:space="preserve">Pointer and pacing: Point to the title and axes of the chart currently being mentioned; never point at an unrelated plot.</w:t>
      </w:r>
    </w:p>
    <w:p>
      <w:pPr>
        <w:spacing w:after="130" w:before="0" w:line="276"/>
      </w:pPr>
      <w:r>
        <w:rPr>
          <w:rFonts w:ascii="Arial" w:cs="Arial" w:eastAsia="Arial" w:hAnsi="Arial"/>
          <w:b w:val="false"/>
          <w:bCs w:val="false"/>
          <w:color w:val="63738D"/>
          <w:sz w:val="18"/>
          <w:szCs w:val="18"/>
        </w:rPr>
        <w:t xml:space="preserve">Rahul prepares: Read both axis labels before interpreting a chart. If a graph has a small sample, say it is a count in the fictional dataset.</w:t>
      </w:r>
    </w:p>
    <w:p>
      <w:pPr>
        <w:pStyle w:val="Heading2"/>
        <w:spacing w:after="80" w:before="220" w:line="276"/>
      </w:pPr>
      <w:r>
        <w:rPr>
          <w:rFonts w:ascii="Arial" w:cs="Arial" w:eastAsia="Arial" w:hAnsi="Arial"/>
          <w:b/>
          <w:bCs/>
          <w:color w:val="0B1F3A"/>
          <w:sz w:val="24"/>
          <w:szCs w:val="24"/>
        </w:rPr>
        <w:t xml:space="preserve">14. Context and ownership — 0:35</w:t>
      </w:r>
    </w:p>
    <w:p>
      <w:pPr>
        <w:spacing w:after="80" w:before="0" w:line="276"/>
      </w:pPr>
      <w:r>
        <w:rPr>
          <w:rFonts w:ascii="Arial" w:cs="Arial" w:eastAsia="Arial" w:hAnsi="Arial"/>
          <w:b w:val="false"/>
          <w:bCs w:val="false"/>
          <w:color w:val="12233F"/>
          <w:sz w:val="19"/>
          <w:szCs w:val="19"/>
        </w:rPr>
        <w:t xml:space="preserve">Pankaj says: “Global Search is a context-finding tool: it helps the reviewer locate a fictional customer, account, transaction, or case and return to the relevant page. The role guide explains who performs the workflow activities. A displayed role label does not authenticate a person or grant Admin permission.”</w:t>
      </w:r>
    </w:p>
    <w:p>
      <w:pPr>
        <w:spacing w:after="60" w:before="0" w:line="276"/>
      </w:pPr>
      <w:r>
        <w:rPr>
          <w:rFonts w:ascii="Arial" w:cs="Arial" w:eastAsia="Arial" w:hAnsi="Arial"/>
          <w:b/>
          <w:bCs/>
          <w:color w:val="00A79D"/>
          <w:sz w:val="18"/>
          <w:szCs w:val="18"/>
        </w:rPr>
        <w:t xml:space="preserve">Pointer and pacing: Point to Global Search on the left and the Role guide on the right, one after the other.</w:t>
      </w:r>
    </w:p>
    <w:p>
      <w:pPr>
        <w:spacing w:after="130" w:before="0" w:line="276"/>
      </w:pPr>
      <w:r>
        <w:rPr>
          <w:rFonts w:ascii="Arial" w:cs="Arial" w:eastAsia="Arial" w:hAnsi="Arial"/>
          <w:b w:val="false"/>
          <w:bCs w:val="false"/>
          <w:color w:val="63738D"/>
          <w:sz w:val="18"/>
          <w:szCs w:val="18"/>
        </w:rPr>
        <w:t xml:space="preserve">Rahul prepares: Keep the two concepts distinct: search finds context; roles clarify responsibilities.</w:t>
      </w:r>
    </w:p>
    <w:p>
      <w:pPr>
        <w:pStyle w:val="Heading2"/>
        <w:spacing w:after="80" w:before="220" w:line="276"/>
      </w:pPr>
      <w:r>
        <w:rPr>
          <w:rFonts w:ascii="Arial" w:cs="Arial" w:eastAsia="Arial" w:hAnsi="Arial"/>
          <w:b/>
          <w:bCs/>
          <w:color w:val="0B1F3A"/>
          <w:sz w:val="24"/>
          <w:szCs w:val="24"/>
        </w:rPr>
        <w:t xml:space="preserve">15. Technical architecture and code logic — 1:10</w:t>
      </w:r>
    </w:p>
    <w:p>
      <w:pPr>
        <w:spacing w:after="80" w:before="0" w:line="276"/>
      </w:pPr>
      <w:r>
        <w:rPr>
          <w:rFonts w:ascii="Arial" w:cs="Arial" w:eastAsia="Arial" w:hAnsi="Arial"/>
          <w:b w:val="false"/>
          <w:bCs w:val="false"/>
          <w:color w:val="12233F"/>
          <w:sz w:val="19"/>
          <w:szCs w:val="19"/>
        </w:rPr>
        <w:t xml:space="preserve">Pankaj says: “Technically, Streamlit routes each left-navigation selection to a page module. Each page reads the active case context and renders the appropriate queue, report, evidence, or Compliance interface. SQLite stores fictional alerts, sources, chunks, and audit events. FTS5 and BM25 retrieve reviewable passages, while deterministic checks calculate evidence confidence. The key flow is route to active case, then local storage and search, then cited report, then an append-only human audit event. The product favors inspectable logic instead of hidden autonomous behavior.”</w:t>
      </w:r>
    </w:p>
    <w:p>
      <w:pPr>
        <w:spacing w:after="60" w:before="0" w:line="276"/>
      </w:pPr>
      <w:r>
        <w:rPr>
          <w:rFonts w:ascii="Arial" w:cs="Arial" w:eastAsia="Arial" w:hAnsi="Arial"/>
          <w:b/>
          <w:bCs/>
          <w:color w:val="00A79D"/>
          <w:sz w:val="18"/>
          <w:szCs w:val="18"/>
        </w:rPr>
        <w:t xml:space="preserve">Pointer and pacing: Move across the six architecture cards from top left to bottom right; finish on the code-flow line.</w:t>
      </w:r>
    </w:p>
    <w:p>
      <w:pPr>
        <w:spacing w:after="130" w:before="0" w:line="276"/>
      </w:pPr>
      <w:r>
        <w:rPr>
          <w:rFonts w:ascii="Arial" w:cs="Arial" w:eastAsia="Arial" w:hAnsi="Arial"/>
          <w:b w:val="false"/>
          <w:bCs w:val="false"/>
          <w:color w:val="63738D"/>
          <w:sz w:val="18"/>
          <w:szCs w:val="18"/>
        </w:rPr>
        <w:t xml:space="preserve">Rahul prepares: Rahul Chainani should be ready for technical questions on file structure, local SQLite, the FTS5 index, and Railway deployment after the talk.</w:t>
      </w:r>
    </w:p>
    <w:p>
      <w:pPr>
        <w:pStyle w:val="Heading2"/>
        <w:spacing w:after="80" w:before="220" w:line="276"/>
      </w:pPr>
      <w:r>
        <w:rPr>
          <w:rFonts w:ascii="Arial" w:cs="Arial" w:eastAsia="Arial" w:hAnsi="Arial"/>
          <w:b/>
          <w:bCs/>
          <w:color w:val="0B1F3A"/>
          <w:sz w:val="24"/>
          <w:szCs w:val="24"/>
        </w:rPr>
        <w:t xml:space="preserve">16. Protected administration — 0:35</w:t>
      </w:r>
    </w:p>
    <w:p>
      <w:pPr>
        <w:spacing w:after="80" w:before="0" w:line="276"/>
      </w:pPr>
      <w:r>
        <w:rPr>
          <w:rFonts w:ascii="Arial" w:cs="Arial" w:eastAsia="Arial" w:hAnsi="Arial"/>
          <w:b w:val="false"/>
          <w:bCs w:val="false"/>
          <w:color w:val="12233F"/>
          <w:sz w:val="19"/>
          <w:szCs w:val="19"/>
        </w:rPr>
        <w:t xml:space="preserve">Pankaj says: “Administration is visibly separated from normal case review. Knowledge Base and Rule Config support inspection of source material and fictional rule settings behind a masked passcode. We do not reveal or automate that passcode. The point is to make a boundary visible in this learning environment, not to claim production authentication.”</w:t>
      </w:r>
    </w:p>
    <w:p>
      <w:pPr>
        <w:spacing w:after="60" w:before="0" w:line="276"/>
      </w:pPr>
      <w:r>
        <w:rPr>
          <w:rFonts w:ascii="Arial" w:cs="Arial" w:eastAsia="Arial" w:hAnsi="Arial"/>
          <w:b/>
          <w:bCs/>
          <w:color w:val="00A79D"/>
          <w:sz w:val="18"/>
          <w:szCs w:val="18"/>
        </w:rPr>
        <w:t xml:space="preserve">Pointer and pacing: Point only to the locked screen and its explanatory text.</w:t>
      </w:r>
    </w:p>
    <w:p>
      <w:pPr>
        <w:spacing w:after="130" w:before="0" w:line="276"/>
      </w:pPr>
      <w:r>
        <w:rPr>
          <w:rFonts w:ascii="Arial" w:cs="Arial" w:eastAsia="Arial" w:hAnsi="Arial"/>
          <w:b w:val="false"/>
          <w:bCs w:val="false"/>
          <w:color w:val="63738D"/>
          <w:sz w:val="18"/>
          <w:szCs w:val="18"/>
        </w:rPr>
        <w:t xml:space="preserve">Rahul prepares: Never type or speak the passcode during a demo.</w:t>
      </w:r>
    </w:p>
    <w:p>
      <w:pPr>
        <w:pStyle w:val="Heading2"/>
        <w:spacing w:after="80" w:before="220" w:line="276"/>
      </w:pPr>
      <w:r>
        <w:rPr>
          <w:rFonts w:ascii="Arial" w:cs="Arial" w:eastAsia="Arial" w:hAnsi="Arial"/>
          <w:b/>
          <w:bCs/>
          <w:color w:val="0B1F3A"/>
          <w:sz w:val="24"/>
          <w:szCs w:val="24"/>
        </w:rPr>
        <w:t xml:space="preserve">17. Validation and deployment — 0:45</w:t>
      </w:r>
    </w:p>
    <w:p>
      <w:pPr>
        <w:spacing w:after="80" w:before="0" w:line="276"/>
      </w:pPr>
      <w:r>
        <w:rPr>
          <w:rFonts w:ascii="Arial" w:cs="Arial" w:eastAsia="Arial" w:hAnsi="Arial"/>
          <w:b w:val="false"/>
          <w:bCs w:val="false"/>
          <w:color w:val="12233F"/>
          <w:sz w:val="19"/>
          <w:szCs w:val="19"/>
        </w:rPr>
        <w:t xml:space="preserve">Pankaj says: “Our release path starts with exercising the changed screen locally. We protect the workflow by avoiding real decision creation during a demo, run visual checks for contrast, tooltips, tables, and charts, then commit intended files, push the main branch, and verify the Railway deployment by visiting the affected page. This makes the demonstration reproducible as well as presentable.”</w:t>
      </w:r>
    </w:p>
    <w:p>
      <w:pPr>
        <w:spacing w:after="60" w:before="0" w:line="276"/>
      </w:pPr>
      <w:r>
        <w:rPr>
          <w:rFonts w:ascii="Arial" w:cs="Arial" w:eastAsia="Arial" w:hAnsi="Arial"/>
          <w:b/>
          <w:bCs/>
          <w:color w:val="00A79D"/>
          <w:sz w:val="18"/>
          <w:szCs w:val="18"/>
        </w:rPr>
        <w:t xml:space="preserve">Pointer and pacing: Point to each numbered validation card clockwise, then the final release statement.</w:t>
      </w:r>
    </w:p>
    <w:p>
      <w:pPr>
        <w:spacing w:after="130" w:before="0" w:line="276"/>
      </w:pPr>
      <w:r>
        <w:rPr>
          <w:rFonts w:ascii="Arial" w:cs="Arial" w:eastAsia="Arial" w:hAnsi="Arial"/>
          <w:b w:val="false"/>
          <w:bCs w:val="false"/>
          <w:color w:val="63738D"/>
          <w:sz w:val="18"/>
          <w:szCs w:val="18"/>
        </w:rPr>
        <w:t xml:space="preserve">Rahul prepares: Do not claim a build log alone proves release success; say the live page is checked after deployment.</w:t>
      </w:r>
    </w:p>
    <w:p>
      <w:pPr>
        <w:pStyle w:val="Heading2"/>
        <w:spacing w:after="80" w:before="220" w:line="276"/>
      </w:pPr>
      <w:r>
        <w:rPr>
          <w:rFonts w:ascii="Arial" w:cs="Arial" w:eastAsia="Arial" w:hAnsi="Arial"/>
          <w:b/>
          <w:bCs/>
          <w:color w:val="0B1F3A"/>
          <w:sz w:val="24"/>
          <w:szCs w:val="24"/>
        </w:rPr>
        <w:t xml:space="preserve">18. Value realization, ROI, and roadmap — 0:45</w:t>
      </w:r>
    </w:p>
    <w:p>
      <w:pPr>
        <w:spacing w:after="80" w:before="0" w:line="276"/>
      </w:pPr>
      <w:r>
        <w:rPr>
          <w:rFonts w:ascii="Arial" w:cs="Arial" w:eastAsia="Arial" w:hAnsi="Arial"/>
          <w:b w:val="false"/>
          <w:bCs w:val="false"/>
          <w:color w:val="12233F"/>
          <w:sz w:val="19"/>
          <w:szCs w:val="19"/>
        </w:rPr>
        <w:t xml:space="preserve">Pankaj says: “We do not claim financial ROI from fictional data. Instead, we define how a real pilot would measure value: verified time saved finding records and source passages, reduced rework, faster audit reconstruction, and fewer unsupported claims or unclear workflow states. Once a baseline and approved cost boundary exist, ROI can be calculated from verified annual benefit minus implementation and run cost. Our roadmap starts with evaluation fixtures and citation tests, adds authentication and evidence-lineage versioning, and only then considers governed ingestion and approved integrations.”</w:t>
      </w:r>
    </w:p>
    <w:p>
      <w:pPr>
        <w:spacing w:after="60" w:before="0" w:line="276"/>
      </w:pPr>
      <w:r>
        <w:rPr>
          <w:rFonts w:ascii="Arial" w:cs="Arial" w:eastAsia="Arial" w:hAnsi="Arial"/>
          <w:b/>
          <w:bCs/>
          <w:color w:val="00A79D"/>
          <w:sz w:val="18"/>
          <w:szCs w:val="18"/>
        </w:rPr>
        <w:t xml:space="preserve">Pointer and pacing: Move through the four value levers, the ROI formula, then the three future steps at the bottom.</w:t>
      </w:r>
    </w:p>
    <w:p>
      <w:pPr>
        <w:spacing w:after="130" w:before="0" w:line="276"/>
      </w:pPr>
      <w:r>
        <w:rPr>
          <w:rFonts w:ascii="Arial" w:cs="Arial" w:eastAsia="Arial" w:hAnsi="Arial"/>
          <w:b w:val="false"/>
          <w:bCs w:val="false"/>
          <w:color w:val="63738D"/>
          <w:sz w:val="18"/>
          <w:szCs w:val="18"/>
        </w:rPr>
        <w:t xml:space="preserve">Rahul prepares: Call the formula a planning model, not a current result. If asked for a number, explain that it requires pilot baseline data and approved cost assumptions.</w:t>
      </w:r>
    </w:p>
    <w:p>
      <w:pPr>
        <w:pStyle w:val="Heading2"/>
        <w:spacing w:after="80" w:before="220" w:line="276"/>
      </w:pPr>
      <w:r>
        <w:rPr>
          <w:rFonts w:ascii="Arial" w:cs="Arial" w:eastAsia="Arial" w:hAnsi="Arial"/>
          <w:b/>
          <w:bCs/>
          <w:color w:val="0B1F3A"/>
          <w:sz w:val="24"/>
          <w:szCs w:val="24"/>
        </w:rPr>
        <w:t xml:space="preserve">19. Closing — 0:30</w:t>
      </w:r>
    </w:p>
    <w:p>
      <w:pPr>
        <w:spacing w:after="80" w:before="0" w:line="276"/>
      </w:pPr>
      <w:r>
        <w:rPr>
          <w:rFonts w:ascii="Arial" w:cs="Arial" w:eastAsia="Arial" w:hAnsi="Arial"/>
          <w:b w:val="false"/>
          <w:bCs w:val="false"/>
          <w:color w:val="12233F"/>
          <w:sz w:val="19"/>
          <w:szCs w:val="19"/>
        </w:rPr>
        <w:t xml:space="preserve">Pankaj says: “InvestigateIQ makes the review path visible: the stored evidence, exact chunks, retrieval limits, confidence gaps, and accountable human action. It helps a reviewer inspect supplied fictional material. It does not prove guilt, legality, or wrongdoing, and it does not replace the human decision-maker. Thank you.”</w:t>
      </w:r>
    </w:p>
    <w:p>
      <w:pPr>
        <w:spacing w:after="60" w:before="0" w:line="276"/>
      </w:pPr>
      <w:r>
        <w:rPr>
          <w:rFonts w:ascii="Arial" w:cs="Arial" w:eastAsia="Arial" w:hAnsi="Arial"/>
          <w:b/>
          <w:bCs/>
          <w:color w:val="00A79D"/>
          <w:sz w:val="18"/>
          <w:szCs w:val="18"/>
        </w:rPr>
        <w:t xml:space="preserve">Pointer and pacing: Point to the three closing pillars, then leave the pointer still.</w:t>
      </w:r>
    </w:p>
    <w:p>
      <w:pPr>
        <w:spacing w:after="130" w:before="0" w:line="276"/>
      </w:pPr>
      <w:r>
        <w:rPr>
          <w:rFonts w:ascii="Arial" w:cs="Arial" w:eastAsia="Arial" w:hAnsi="Arial"/>
          <w:b w:val="false"/>
          <w:bCs w:val="false"/>
          <w:color w:val="63738D"/>
          <w:sz w:val="18"/>
          <w:szCs w:val="18"/>
        </w:rPr>
        <w:t xml:space="preserve">Rahul prepares: Pause for questions. Rahul Chainani can address implementation detail; Pankaj remains the presenter and first responder.</w:t>
      </w:r>
    </w:p>
    <w:p>
      <w:pPr>
        <w:pStyle w:val="Heading1"/>
        <w:spacing w:after="130" w:before="260" w:line="276"/>
      </w:pPr>
      <w:r>
        <w:rPr>
          <w:rFonts w:ascii="Arial" w:cs="Arial" w:eastAsia="Arial" w:hAnsi="Arial"/>
          <w:b/>
          <w:bCs/>
          <w:color w:val="0B1F3A"/>
          <w:sz w:val="28"/>
          <w:szCs w:val="28"/>
        </w:rPr>
        <w:t xml:space="preserve">Presentation guardrails</w:t>
      </w:r>
    </w:p>
    <w:p>
      <w:pPr>
        <w:spacing w:after="130" w:before="0" w:line="276"/>
      </w:pPr>
      <w:r>
        <w:rPr>
          <w:rFonts w:ascii="Arial" w:cs="Arial" w:eastAsia="Arial" w:hAnsi="Arial"/>
          <w:b w:val="false"/>
          <w:bCs w:val="false"/>
          <w:color w:val="12233F"/>
          <w:sz w:val="20"/>
          <w:szCs w:val="20"/>
        </w:rPr>
        <w:t xml:space="preserve">1. Say fictional data whenever discussing a case, record, customer, transaction, or chart.  2. Describe a citation as a pointer to inspect, not proof.  3. Describe evidence confidence as support coverage, never a risk or crime probability.  4. State that only a named person records an action.  5. Do not show or speak an Admin passcode.</w:t>
      </w:r>
    </w:p>
    <w:p>
      <w:pPr>
        <w:pStyle w:val="Heading1"/>
        <w:spacing w:after="130" w:before="260" w:line="276"/>
      </w:pPr>
      <w:r>
        <w:rPr>
          <w:rFonts w:ascii="Arial" w:cs="Arial" w:eastAsia="Arial" w:hAnsi="Arial"/>
          <w:b/>
          <w:bCs/>
          <w:color w:val="0B1F3A"/>
          <w:sz w:val="28"/>
          <w:szCs w:val="28"/>
        </w:rPr>
        <w:t xml:space="preserve">Suggested close</w:t>
      </w:r>
    </w:p>
    <w:p>
      <w:pPr>
        <w:spacing w:after="130" w:before="0" w:line="276"/>
      </w:pPr>
      <w:r>
        <w:rPr>
          <w:rFonts w:ascii="Arial" w:cs="Arial" w:eastAsia="Arial" w:hAnsi="Arial"/>
          <w:b w:val="false"/>
          <w:bCs w:val="false"/>
          <w:color w:val="12233F"/>
          <w:sz w:val="20"/>
          <w:szCs w:val="20"/>
        </w:rPr>
        <w:t xml:space="preserve">InvestigateIQ makes the review path visible: the alert, the exact stored material, the evidence gaps, the bounded explanation, and the accountable human action. It helps a reviewer inspect the supplied material; it does not make legal, regulatory, or factual conclusions for them.</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Deck Presenter Guide</dc:title>
  <dc:creator>Capstone Group 7</dc:creator>
  <cp:lastModifiedBy>Un-named</cp:lastModifiedBy>
  <cp:revision>1</cp:revision>
  <dcterms:created xsi:type="dcterms:W3CDTF">2026-10-09T17:14:43.505Z</dcterms:created>
  <dcterms:modified xsi:type="dcterms:W3CDTF">2026-10-09T17:14:43.505Z</dcterms:modified>
</cp:coreProperties>
</file>

<file path=docProps/custom.xml><?xml version="1.0" encoding="utf-8"?>
<Properties xmlns="http://schemas.openxmlformats.org/officeDocument/2006/custom-properties" xmlns:vt="http://schemas.openxmlformats.org/officeDocument/2006/docPropsVTypes"/>
</file>