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80" w:before="0" w:line="270"/>
      </w:pPr>
      <w:r>
        <w:rPr>
          <w:rFonts w:ascii="Arial" w:cs="Arial" w:eastAsia="Arial" w:hAnsi="Arial"/>
          <w:b/>
          <w:bCs/>
          <w:color w:val="0B1F3A"/>
          <w:sz w:val="36"/>
          <w:szCs w:val="36"/>
        </w:rPr>
        <w:t xml:space="preserve">InvestigateIQ Compact Presenter Guide</w:t>
      </w:r>
    </w:p>
    <w:p>
      <w:pPr>
        <w:spacing w:after="300" w:before="0" w:line="270"/>
      </w:pPr>
      <w:r>
        <w:rPr>
          <w:rFonts w:ascii="Arial" w:cs="Arial" w:eastAsia="Arial" w:hAnsi="Arial"/>
          <w:b w:val="false"/>
          <w:bCs w:val="false"/>
          <w:color w:val="63738D"/>
          <w:sz w:val="22"/>
          <w:szCs w:val="22"/>
        </w:rPr>
        <w:t xml:space="preserve">15-minute evaluation session: 7:10 concise deck + 4:50 live demo + 3:00 panel Q&amp;A</w:t>
      </w:r>
    </w:p>
    <w:p>
      <w:pPr>
        <w:pStyle w:val="Heading1"/>
        <w:spacing w:after="120" w:before="0" w:line="270"/>
      </w:pPr>
      <w:r>
        <w:rPr>
          <w:rFonts w:ascii="Arial" w:cs="Arial" w:eastAsia="Arial" w:hAnsi="Arial"/>
          <w:b/>
          <w:bCs/>
          <w:color w:val="0B1F3A"/>
          <w:sz w:val="28"/>
          <w:szCs w:val="28"/>
        </w:rPr>
        <w:t xml:space="preserve">Presentation rule</w:t>
      </w:r>
    </w:p>
    <w:p>
      <w:pPr>
        <w:spacing w:after="120" w:before="0" w:line="270"/>
      </w:pPr>
      <w:r>
        <w:rPr>
          <w:rFonts w:ascii="Arial" w:cs="Arial" w:eastAsia="Arial" w:hAnsi="Arial"/>
          <w:b w:val="false"/>
          <w:bCs w:val="false"/>
          <w:color w:val="12233F"/>
          <w:sz w:val="20"/>
          <w:szCs w:val="20"/>
        </w:rPr>
        <w:t xml:space="preserve">The single presenter is to be confirmed tomorrow. That person presents the full session, including Q&amp;A. All other team members prepare materials but do not present. Call every case, record, source, and chart fictional.</w:t>
      </w:r>
    </w:p>
    <w:p>
      <w:pPr>
        <w:pStyle w:val="Heading1"/>
        <w:spacing w:after="120" w:before="200" w:line="270"/>
      </w:pPr>
      <w:r>
        <w:rPr>
          <w:rFonts w:ascii="Arial" w:cs="Arial" w:eastAsia="Arial" w:hAnsi="Arial"/>
          <w:b/>
          <w:bCs/>
          <w:color w:val="0B1F3A"/>
          <w:sz w:val="28"/>
          <w:szCs w:val="28"/>
        </w:rPr>
        <w:t xml:space="preserve">Slide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
        <w:gridCol w:w="2100"/>
        <w:gridCol w:w="950"/>
        <w:gridCol w:w="5790"/>
      </w:tblGrid>
      <w:tr>
        <w:tc>
          <w:tcPr>
            <w:tcW w:type="dxa" w:w="52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w:t>
            </w:r>
          </w:p>
        </w:tc>
        <w:tc>
          <w:tcPr>
            <w:tcW w:type="dxa" w:w="210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Slide</w:t>
            </w:r>
          </w:p>
        </w:tc>
        <w:tc>
          <w:tcPr>
            <w:tcW w:type="dxa" w:w="95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Time</w:t>
            </w:r>
          </w:p>
        </w:tc>
        <w:tc>
          <w:tcPr>
            <w:tcW w:type="dxa" w:w="579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Presenter says / does</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1</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Opening</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0:25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State the fictional-product boundary and the session structure.</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2</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Program statement</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0:35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State the selected submission track, success measures, and non-goals.</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3</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Product flow</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0:30</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Show the alert-to-human-action path.</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4</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Responsible AI</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0:40</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Define evidence confidence and its boundary.</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5</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OKF, chunks, RAG</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0:55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Explain the code-level evidence retrieval path.</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6</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Technical design</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0:55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Connect Streamlit, SQLite, retrieval, checks, and audit state.</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7</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Live demo plan</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0:45</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Explain one-case, read-only demonstration guardrails.</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8</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ROI and roadmap</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0:50</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Present the measurable planning framework and roadmap.</w:t>
            </w:r>
          </w:p>
        </w:tc>
      </w:tr>
      <w:tr>
        <w:tc>
          <w:tcPr>
            <w:tcW w:type="dxa" w:w="52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9</w:t>
            </w:r>
          </w:p>
        </w:tc>
        <w:tc>
          <w:tcPr>
            <w:tcW w:type="dxa" w:w="210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Closing</w:t>
            </w:r>
          </w:p>
        </w:tc>
        <w:tc>
          <w:tcPr>
            <w:tcW w:type="dxa" w:w="9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0:30</w:t>
            </w:r>
          </w:p>
        </w:tc>
        <w:tc>
          <w:tcPr>
            <w:tcW w:type="dxa" w:w="579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Handoff directly to the live demo.</w:t>
            </w:r>
          </w:p>
        </w:tc>
      </w:tr>
    </w:tbl>
    <w:p>
      <w:pPr>
        <w:pStyle w:val="Heading1"/>
        <w:spacing w:after="120" w:before="240" w:line="270"/>
      </w:pPr>
      <w:r>
        <w:rPr>
          <w:rFonts w:ascii="Arial" w:cs="Arial" w:eastAsia="Arial" w:hAnsi="Arial"/>
          <w:b/>
          <w:bCs/>
          <w:color w:val="0B1F3A"/>
          <w:sz w:val="28"/>
          <w:szCs w:val="28"/>
        </w:rPr>
        <w:t xml:space="preserve">Live demo flow — 4 minutes 50 seconds</w:t>
      </w:r>
    </w:p>
    <w:p>
      <w:pPr>
        <w:spacing w:after="120" w:before="0" w:line="270"/>
      </w:pPr>
      <w:r>
        <w:rPr>
          <w:rFonts w:ascii="Arial" w:cs="Arial" w:eastAsia="Arial" w:hAnsi="Arial"/>
          <w:b w:val="false"/>
          <w:bCs w:val="false"/>
          <w:color w:val="12233F"/>
          <w:sz w:val="20"/>
          <w:szCs w:val="20"/>
        </w:rPr>
        <w:t xml:space="preserve">Use exactly one fictional case. Navigate, filter, open tabs, expand accordions, and ask one prepared bounded question. Do not submit an investigator decision, Compliance action, or fictional intake record. Do not reveal or enter an Admin passcode.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50"/>
        <w:gridCol w:w="1850"/>
        <w:gridCol w:w="6060"/>
      </w:tblGrid>
      <w:tr>
        <w:tc>
          <w:tcPr>
            <w:tcW w:type="dxa" w:w="145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Time</w:t>
            </w:r>
          </w:p>
        </w:tc>
        <w:tc>
          <w:tcPr>
            <w:tcW w:type="dxa" w:w="185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Screen</w:t>
            </w:r>
          </w:p>
        </w:tc>
        <w:tc>
          <w:tcPr>
            <w:tcW w:type="dxa" w:w="6060"/>
            <w:shd w:fill="0B1F3A" w:color="0B1F3A" w:val="clear"/>
            <w:tcMar>
              <w:top w:type="dxa" w:w="80"/>
              <w:left w:type="dxa" w:w="100"/>
              <w:bottom w:type="dxa" w:w="80"/>
              <w:right w:type="dxa" w:w="100"/>
            </w:tcMar>
          </w:tcPr>
          <w:p>
            <w:pPr>
              <w:spacing w:after="120" w:before="0" w:line="270"/>
            </w:pPr>
            <w:r>
              <w:rPr>
                <w:rFonts w:ascii="Arial" w:cs="Arial" w:eastAsia="Arial" w:hAnsi="Arial"/>
                <w:b/>
                <w:bCs/>
                <w:color w:val="FFFFFF"/>
                <w:sz w:val="17"/>
                <w:szCs w:val="17"/>
              </w:rPr>
              <w:t xml:space="preserve">Action and narration</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0:00–0:25</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Case Queue</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Find one open case; distinguish Status from Action.</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0:25–1:10</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Workspace</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Show modes, validator, and confidence boundary.</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1:10–2:10</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Evidence &amp; RAG</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Open chunks and run one scoped keyword search.</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2:10–2:55</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Copilot</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Ask one bounded question; show citations and limits.</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2:55–3:40</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Human / Compliance</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Show action/rationale requirements but do not submit.</w:t>
            </w:r>
          </w:p>
        </w:tc>
      </w:tr>
      <w:tr>
        <w:tc>
          <w:tcPr>
            <w:tcW w:type="dxa" w:w="14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3:40–4:50</w:t>
            </w:r>
          </w:p>
        </w:tc>
        <w:tc>
          <w:tcPr>
            <w:tcW w:type="dxa" w:w="185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Analytics / Search</w:t>
            </w:r>
          </w:p>
        </w:tc>
        <w:tc>
          <w:tcPr>
            <w:tcW w:type="dxa" w:w="6060"/>
            <w:tcMar>
              <w:top w:type="dxa" w:w="80"/>
              <w:left w:type="dxa" w:w="100"/>
              <w:bottom w:type="dxa" w:w="80"/>
              <w:right w:type="dxa" w:w="100"/>
            </w:tcMar>
          </w:tcPr>
          <w:p>
            <w:pPr>
              <w:spacing w:after="120" w:before="0" w:line="270"/>
            </w:pPr>
            <w:r>
              <w:rPr>
                <w:rFonts w:ascii="Arial" w:cs="Arial" w:eastAsia="Arial" w:hAnsi="Arial"/>
                <w:b w:val="false"/>
                <w:bCs w:val="false"/>
                <w:color w:val="12233F"/>
                <w:sz w:val="17"/>
                <w:szCs w:val="17"/>
              </w:rPr>
              <w:t xml:space="preserve">Read one axis and return to a related case context.</w:t>
            </w:r>
          </w:p>
        </w:tc>
      </w:tr>
    </w:tbl>
    <w:p>
      <w:pPr>
        <w:pStyle w:val="Heading1"/>
        <w:spacing w:after="120" w:before="240" w:line="270"/>
      </w:pPr>
      <w:r>
        <w:rPr>
          <w:rFonts w:ascii="Arial" w:cs="Arial" w:eastAsia="Arial" w:hAnsi="Arial"/>
          <w:b/>
          <w:bCs/>
          <w:color w:val="0B1F3A"/>
          <w:sz w:val="28"/>
          <w:szCs w:val="28"/>
        </w:rPr>
        <w:t xml:space="preserve">Panel Q&amp;A — 3 minutes</w:t>
      </w:r>
    </w:p>
    <w:p>
      <w:pPr>
        <w:spacing w:after="120" w:before="0" w:line="270"/>
      </w:pPr>
      <w:r>
        <w:rPr>
          <w:rFonts w:ascii="Arial" w:cs="Arial" w:eastAsia="Arial" w:hAnsi="Arial"/>
          <w:b w:val="false"/>
          <w:bCs w:val="false"/>
          <w:color w:val="12233F"/>
          <w:sz w:val="20"/>
          <w:szCs w:val="20"/>
        </w:rPr>
        <w:t xml:space="preserve">The assigned presenter answers every question. For a technical question, explain the visible architecture: Streamlit page routing; SQLite fictional stores; OKF sources; C0/body chunks; FTS5/BM25 retrieval; cited context; deterministic evidence confidence; append-only audit actions. Never claim real-data performance, a verified financial ROI, legal conclusions, or autonomous workflow decisions.</w:t>
      </w:r>
    </w:p>
    <w:p>
      <w:pPr>
        <w:pStyle w:val="Heading1"/>
        <w:spacing w:after="120" w:before="240" w:line="270"/>
      </w:pPr>
      <w:r>
        <w:rPr>
          <w:rFonts w:ascii="Arial" w:cs="Arial" w:eastAsia="Arial" w:hAnsi="Arial"/>
          <w:b/>
          <w:bCs/>
          <w:color w:val="0B1F3A"/>
          <w:sz w:val="28"/>
          <w:szCs w:val="28"/>
        </w:rPr>
        <w:t xml:space="preserve">Demo narration cues</w:t>
      </w:r>
    </w:p>
    <w:p>
      <w:pPr>
        <w:spacing w:after="120" w:before="0" w:line="270"/>
      </w:pPr>
      <w:r>
        <w:rPr>
          <w:rFonts w:ascii="Arial" w:cs="Arial" w:eastAsia="Arial" w:hAnsi="Arial"/>
          <w:b w:val="false"/>
          <w:bCs w:val="false"/>
          <w:color w:val="12233F"/>
          <w:sz w:val="20"/>
          <w:szCs w:val="20"/>
        </w:rPr>
        <w:t xml:space="preserve">Case Queue: ‘Status shows workflow position; Action opens context.’  Workspace: ‘This report is advisory; the validator and confidence card expose its limits.’  Evidence &amp; RAG: ‘This citation points to stored text; it is not proof.’  Copilot: ‘It summarizes available fictional material but cannot submit an action.’  Decision: ‘Only a named person with a rationale can create an audit event.’</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InvestigateIQ Compact Presenter Guide</dc:title>
  <dc:creator>Capstone Group 7</dc:creator>
  <cp:lastModifiedBy>Un-named</cp:lastModifiedBy>
  <cp:revision>1</cp:revision>
  <dcterms:created xsi:type="dcterms:W3CDTF">2026-10-09T17:28:02.000Z</dcterms:created>
  <dcterms:modified xsi:type="dcterms:W3CDTF">2026-10-09T17:28:02.000Z</dcterms:modified>
</cp:coreProperties>
</file>

<file path=docProps/custom.xml><?xml version="1.0" encoding="utf-8"?>
<Properties xmlns="http://schemas.openxmlformats.org/officeDocument/2006/custom-properties" xmlns:vt="http://schemas.openxmlformats.org/officeDocument/2006/docPropsVTypes"/>
</file>