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b/>
          <w:bCs/>
          <w:color w:val="1F4E79"/>
          <w:sz w:val="48"/>
          <w:szCs w:val="48"/>
        </w:rPr>
        <w:t xml:space="preserve">Pedagogical Skills in GenAI Educational Agents</w:t>
      </w:r>
    </w:p>
    <w:p>
      <w:pPr>
        <w:spacing w:after="120" w:before="0"/>
        <w:jc w:val="center"/>
      </w:pPr>
      <w:r>
        <w:rPr>
          <w:rFonts w:ascii="Arial" w:cs="Arial" w:eastAsia="Arial" w:hAnsi="Arial"/>
          <w:color w:val="2E75B6"/>
          <w:sz w:val="28"/>
          <w:szCs w:val="28"/>
        </w:rPr>
        <w:t xml:space="preserve">Research Design, Implementation, and Preliminary Experiment Report</w:t>
      </w:r>
    </w:p>
    <w:p>
      <w:pPr>
        <w:spacing w:after="600" w:before="0"/>
        <w:jc w:val="center"/>
      </w:pPr>
      <w:r>
        <w:rPr>
          <w:rFonts w:ascii="Arial" w:cs="Arial" w:eastAsia="Arial" w:hAnsi="Arial"/>
          <w:i/>
          <w:iCs/>
          <w:color w:val="555555"/>
          <w:sz w:val="22"/>
          <w:szCs w:val="22"/>
        </w:rPr>
        <w:t xml:space="preserve">Method M1 · RL Signal · Human Validation · Three Supervisory Scenarios</w:t>
      </w:r>
    </w:p>
    <w:p>
      <w:pPr>
        <w:spacing w:after="60" w:before="60"/>
      </w:pPr>
      <w:r>
        <w:t xml:space="preserve"/>
      </w:r>
    </w:p>
    <w:p>
      <w:pPr>
        <w:spacing w:after="60" w:before="60"/>
      </w:pPr>
      <w:r>
        <w:t xml:space="preserve"/>
      </w:r>
    </w:p>
    <w:p>
      <w:pPr>
        <w:jc w:val="center"/>
      </w:pPr>
      <w:r>
        <w:rPr>
          <w:rFonts w:ascii="Arial" w:cs="Arial" w:eastAsia="Arial" w:hAnsi="Arial"/>
          <w:color w:val="777777"/>
          <w:sz w:val="22"/>
          <w:szCs w:val="22"/>
        </w:rPr>
        <w:t xml:space="preserve">May 2026</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1. Motivation and Background</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1.1 Why Pedagogical Skills in AI?</w:t>
      </w:r>
    </w:p>
    <w:p>
      <w:pPr>
        <w:spacing w:after="80" w:before="60" w:line="276" w:lineRule="auto"/>
      </w:pPr>
      <w:r>
        <w:rPr>
          <w:rFonts w:ascii="Arial" w:cs="Arial" w:eastAsia="Arial" w:hAnsi="Arial"/>
          <w:color w:val="222222"/>
          <w:sz w:val="22"/>
          <w:szCs w:val="22"/>
        </w:rPr>
        <w:t xml:space="preserve">Large Language Models (LLMs) have demonstrated impressive general language ability, but their behaviour in educational contexts is largely undirected. A student or trainee researcher interacting with an LLM tutor receives responses shaped by general language patterns rather than deliberate pedagogical strategy. The central question motivating this project is: can we give an LLM agent specific, research-grounded pedagogical skills, and does doing so change the quality of its educational interactions?</w:t>
      </w:r>
    </w:p>
    <w:p>
      <w:pPr>
        <w:spacing w:after="80" w:before="60" w:line="276" w:lineRule="auto"/>
      </w:pPr>
      <w:r>
        <w:rPr>
          <w:rFonts w:ascii="Arial" w:cs="Arial" w:eastAsia="Arial" w:hAnsi="Arial"/>
          <w:color w:val="222222"/>
          <w:sz w:val="22"/>
          <w:szCs w:val="22"/>
        </w:rPr>
        <w:t xml:space="preserve">This matters because education is not merely content delivery. Effective teaching involves diagnosing what a learner understands, scaffolding explanations to the learner's current level, detecting misconceptions before they solidify, providing feedback that improves strategy rather than just correcting answers, and maintaining the learner's emotional safety throughout. These are skills that experienced teachers and supervisors develop over years. The question is whether they can be encoded, loaded into an LLM agent, and evaluated systematically.</w:t>
      </w:r>
    </w:p>
    <w:p>
      <w:pPr>
        <w:pStyle w:val="Heading2"/>
        <w:pBdr>
          <w:bottom w:val="single" w:color="2E75B6" w:sz="4" w:space="4"/>
        </w:pBdr>
        <w:spacing w:after="80" w:before="280"/>
      </w:pPr>
      <w:r>
        <w:rPr>
          <w:rFonts w:ascii="Arial" w:cs="Arial" w:eastAsia="Arial" w:hAnsi="Arial"/>
          <w:b/>
          <w:bCs/>
          <w:color w:val="2E75B6"/>
          <w:sz w:val="26"/>
          <w:szCs w:val="26"/>
        </w:rPr>
        <w:t xml:space="preserve">1.2 The Starting Point: CLPR</w:t>
      </w:r>
    </w:p>
    <w:p>
      <w:pPr>
        <w:spacing w:after="80" w:before="60" w:line="276" w:lineRule="auto"/>
      </w:pPr>
      <w:r>
        <w:rPr>
          <w:rFonts w:ascii="Arial" w:cs="Arial" w:eastAsia="Arial" w:hAnsi="Arial"/>
          <w:color w:val="222222"/>
          <w:sz w:val="22"/>
          <w:szCs w:val="22"/>
        </w:rPr>
        <w:t xml:space="preserve">The project began with the Comprehensive Lesson Plan Report (CLPR) — a structured evaluation framework that scores lesson plans across multiple pedagogical dimensions, producing detailed reports with evidence, bands, and numerical scores. CLPR was developed as the project's first concrete artefact because lesson planning is one of the first tasks an educator performs, and evaluating lesson plans provides a bounded, testable starting point for judging pedagogical quality.</w:t>
      </w:r>
    </w:p>
    <w:p>
      <w:pPr>
        <w:spacing w:after="80" w:before="60" w:line="276" w:lineRule="auto"/>
      </w:pPr>
      <w:r>
        <w:rPr>
          <w:rFonts w:ascii="Arial" w:cs="Arial" w:eastAsia="Arial" w:hAnsi="Arial"/>
          <w:color w:val="222222"/>
          <w:sz w:val="22"/>
          <w:szCs w:val="22"/>
        </w:rPr>
        <w:t xml:space="preserve">CLPR creates a bridge between traditional educational evaluation and GenAI-generated content. It provides an initial artefact that can be validated against expert judgement and extended into agent evaluation. The next planned step is CLPR validation through educational experts who will complete a questionnaire comparing CLPR scores with their own evaluations, answering whether CLPR agrees with expert judgement, where it over- or under-scores, and which rubric dimensions need refinement.</w:t>
      </w:r>
    </w:p>
    <w:p>
      <w:pPr>
        <w:pStyle w:val="Heading2"/>
        <w:pBdr>
          <w:bottom w:val="single" w:color="2E75B6" w:sz="4" w:space="4"/>
        </w:pBdr>
        <w:spacing w:after="80" w:before="280"/>
      </w:pPr>
      <w:r>
        <w:rPr>
          <w:rFonts w:ascii="Arial" w:cs="Arial" w:eastAsia="Arial" w:hAnsi="Arial"/>
          <w:b/>
          <w:bCs/>
          <w:color w:val="2E75B6"/>
          <w:sz w:val="26"/>
          <w:szCs w:val="26"/>
        </w:rPr>
        <w:t xml:space="preserve">1.3 Expanding to Agent Skills</w:t>
      </w:r>
    </w:p>
    <w:p>
      <w:pPr>
        <w:spacing w:after="80" w:before="60" w:line="276" w:lineRule="auto"/>
      </w:pPr>
      <w:r>
        <w:rPr>
          <w:rFonts w:ascii="Arial" w:cs="Arial" w:eastAsia="Arial" w:hAnsi="Arial"/>
          <w:color w:val="222222"/>
          <w:sz w:val="22"/>
          <w:szCs w:val="22"/>
        </w:rPr>
        <w:t xml:space="preserve">CLPR evaluates lesson plans — a product. The broader project asks about the process: how does an agent produce good pedagogical behaviour turn by turn, in real time, interacting with a learner? This requires moving from output evaluation to skill-level analysis of agent behaviour. The project therefore expanded from CLPR into a research programme on pedagogical skill acquisition in LLM-based educational agents.</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Core research question: How can pedagogical skills be embedded in GenAI systems, and how well do different skill-acquisition methods help educational agents perform tutor, teacher, and mentor tasks?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2. Research Literature Reviewed</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2.1 Papers on Skills in LLM Agents</w:t>
      </w:r>
    </w:p>
    <w:p>
      <w:pPr>
        <w:spacing w:after="80" w:before="60" w:line="276" w:lineRule="auto"/>
      </w:pPr>
      <w:r>
        <w:rPr>
          <w:rFonts w:ascii="Arial" w:cs="Arial" w:eastAsia="Arial" w:hAnsi="Arial"/>
          <w:color w:val="222222"/>
          <w:sz w:val="22"/>
          <w:szCs w:val="22"/>
        </w:rPr>
        <w:t xml:space="preserve">The project reviewed a substantial body of literature on agent skills, skill libraries, LLM tool use, and computer-use agents. Key concepts included:</w:t>
      </w:r>
    </w:p>
    <w:p>
      <w:pPr>
        <w:pStyle w:val="ListParagraph"/>
        <w:numPr>
          <w:ilvl w:val="0"/>
          <w:numId w:val="2"/>
        </w:numPr>
        <w:spacing w:after="40" w:before="40"/>
      </w:pPr>
      <w:r>
        <w:rPr>
          <w:rFonts w:ascii="Arial" w:cs="Arial" w:eastAsia="Arial" w:hAnsi="Arial"/>
          <w:color w:val="222222"/>
          <w:sz w:val="22"/>
          <w:szCs w:val="22"/>
        </w:rPr>
        <w:t xml:space="preserve">Human-authored skill libraries: manually written skill descriptions loaded into an agent's context at startup</w:t>
      </w:r>
    </w:p>
    <w:p>
      <w:pPr>
        <w:pStyle w:val="ListParagraph"/>
        <w:numPr>
          <w:ilvl w:val="0"/>
          <w:numId w:val="2"/>
        </w:numPr>
        <w:spacing w:after="40" w:before="40"/>
      </w:pPr>
      <w:r>
        <w:rPr>
          <w:rFonts w:ascii="Arial" w:cs="Arial" w:eastAsia="Arial" w:hAnsi="Arial"/>
          <w:color w:val="222222"/>
          <w:sz w:val="22"/>
          <w:szCs w:val="22"/>
        </w:rPr>
        <w:t xml:space="preserve">Automatically induced skills: skills discovered by agents from experience, generalised and stored for reuse</w:t>
      </w:r>
    </w:p>
    <w:p>
      <w:pPr>
        <w:pStyle w:val="ListParagraph"/>
        <w:numPr>
          <w:ilvl w:val="0"/>
          <w:numId w:val="2"/>
        </w:numPr>
        <w:spacing w:after="40" w:before="40"/>
      </w:pPr>
      <w:r>
        <w:rPr>
          <w:rFonts w:ascii="Arial" w:cs="Arial" w:eastAsia="Arial" w:hAnsi="Arial"/>
          <w:color w:val="222222"/>
          <w:sz w:val="22"/>
          <w:szCs w:val="22"/>
        </w:rPr>
        <w:t xml:space="preserve">Reinforcement learning-based skill improvement: policy improvement through interaction, reward signals, and iterative refinement</w:t>
      </w:r>
    </w:p>
    <w:p>
      <w:pPr>
        <w:pStyle w:val="ListParagraph"/>
        <w:numPr>
          <w:ilvl w:val="0"/>
          <w:numId w:val="2"/>
        </w:numPr>
        <w:spacing w:after="40" w:before="40"/>
      </w:pPr>
      <w:r>
        <w:rPr>
          <w:rFonts w:ascii="Arial" w:cs="Arial" w:eastAsia="Arial" w:hAnsi="Arial"/>
          <w:color w:val="222222"/>
          <w:sz w:val="22"/>
          <w:szCs w:val="22"/>
        </w:rPr>
        <w:t xml:space="preserve">Skill reuse and compositional synthesis: combining smaller skills into complex behaviours</w:t>
      </w:r>
    </w:p>
    <w:p>
      <w:pPr>
        <w:pStyle w:val="ListParagraph"/>
        <w:numPr>
          <w:ilvl w:val="0"/>
          <w:numId w:val="2"/>
        </w:numPr>
        <w:spacing w:after="40" w:before="40"/>
      </w:pPr>
      <w:r>
        <w:rPr>
          <w:rFonts w:ascii="Arial" w:cs="Arial" w:eastAsia="Arial" w:hAnsi="Arial"/>
          <w:color w:val="222222"/>
          <w:sz w:val="22"/>
          <w:szCs w:val="22"/>
        </w:rPr>
        <w:t xml:space="preserve">Single-agent with skills versus multi-agent systems: whether one skilled agent can replace a team of specialised agents</w:t>
      </w:r>
    </w:p>
    <w:p>
      <w:pPr>
        <w:pStyle w:val="ListParagraph"/>
        <w:numPr>
          <w:ilvl w:val="0"/>
          <w:numId w:val="2"/>
        </w:numPr>
        <w:spacing w:after="40" w:before="40"/>
      </w:pPr>
      <w:r>
        <w:rPr>
          <w:rFonts w:ascii="Arial" w:cs="Arial" w:eastAsia="Arial" w:hAnsi="Arial"/>
          <w:color w:val="222222"/>
          <w:sz w:val="22"/>
          <w:szCs w:val="22"/>
        </w:rPr>
        <w:t xml:space="preserve">Model Context Protocol (MCP): Anthropic's protocol for providing tools and structured capabilities to agents</w:t>
      </w:r>
    </w:p>
    <w:p>
      <w:pPr>
        <w:pStyle w:val="Heading2"/>
        <w:pBdr>
          <w:bottom w:val="single" w:color="2E75B6" w:sz="4" w:space="4"/>
        </w:pBdr>
        <w:spacing w:after="80" w:before="280"/>
      </w:pPr>
      <w:r>
        <w:rPr>
          <w:rFonts w:ascii="Arial" w:cs="Arial" w:eastAsia="Arial" w:hAnsi="Arial"/>
          <w:b/>
          <w:bCs/>
          <w:color w:val="2E75B6"/>
          <w:sz w:val="26"/>
          <w:szCs w:val="26"/>
        </w:rPr>
        <w:t xml:space="preserve">2.2 Reinforcement Learning Foundations</w:t>
      </w:r>
    </w:p>
    <w:p>
      <w:pPr>
        <w:spacing w:after="80" w:before="60" w:line="276" w:lineRule="auto"/>
      </w:pPr>
      <w:r>
        <w:rPr>
          <w:rFonts w:ascii="Arial" w:cs="Arial" w:eastAsia="Arial" w:hAnsi="Arial"/>
          <w:color w:val="222222"/>
          <w:sz w:val="22"/>
          <w:szCs w:val="22"/>
        </w:rPr>
        <w:t xml:space="preserve">Two RL algorithms were studied in detail for their relevance to the project:</w:t>
      </w:r>
    </w:p>
    <w:p>
      <w:pPr>
        <w:spacing w:after="80" w:before="60" w:line="276" w:lineRule="auto"/>
      </w:pPr>
      <w:r>
        <w:rPr>
          <w:rFonts w:ascii="Arial" w:cs="Arial" w:eastAsia="Arial" w:hAnsi="Arial"/>
          <w:color w:val="222222"/>
          <w:sz w:val="22"/>
          <w:szCs w:val="22"/>
        </w:rPr>
        <w:t xml:space="preserve">PPO (Proximal Policy Optimisation) updates a policy while preventing updates from becoming too large or unstable — a key stability property when fine-tuning LLMs.</w:t>
      </w:r>
    </w:p>
    <w:p>
      <w:pPr>
        <w:spacing w:after="80" w:before="60" w:line="276" w:lineRule="auto"/>
      </w:pPr>
      <w:r>
        <w:rPr>
          <w:rFonts w:ascii="Arial" w:cs="Arial" w:eastAsia="Arial" w:hAnsi="Arial"/>
          <w:color w:val="222222"/>
          <w:sz w:val="22"/>
          <w:szCs w:val="22"/>
        </w:rPr>
        <w:t xml:space="preserve">GRPO (Group Relative Policy Optimisation) is directly relevant to M2 in this project. It uses groups of sampled responses and reward comparisons rather than a separate value network, making it more practical for LLM training in a pedagogical-skill setting.</w:t>
      </w:r>
    </w:p>
    <w:p>
      <w:pPr>
        <w:pStyle w:val="Heading2"/>
        <w:pBdr>
          <w:bottom w:val="single" w:color="2E75B6" w:sz="4" w:space="4"/>
        </w:pBdr>
        <w:spacing w:after="80" w:before="280"/>
      </w:pPr>
      <w:r>
        <w:rPr>
          <w:rFonts w:ascii="Arial" w:cs="Arial" w:eastAsia="Arial" w:hAnsi="Arial"/>
          <w:b/>
          <w:bCs/>
          <w:color w:val="2E75B6"/>
          <w:sz w:val="26"/>
          <w:szCs w:val="26"/>
        </w:rPr>
        <w:t xml:space="preserve">2.3 LOOP / Chen et al. 2025</w:t>
      </w:r>
    </w:p>
    <w:p>
      <w:pPr>
        <w:spacing w:after="80" w:before="60" w:line="276" w:lineRule="auto"/>
      </w:pPr>
      <w:r>
        <w:rPr>
          <w:rFonts w:ascii="Arial" w:cs="Arial" w:eastAsia="Arial" w:hAnsi="Arial"/>
          <w:color w:val="222222"/>
          <w:sz w:val="22"/>
          <w:szCs w:val="22"/>
        </w:rPr>
        <w:t xml:space="preserve">LOOP was studied because it trains long-horizon interactive LLM agents directly in an environment. Tutoring and teaching are naturally interactive and long-horizon — a single supervisory session may span 10–14 turns with state that must be tracked throughout. LOOP's approach informed the design of the RL reward signal and the multi-turn conversation loop in this experiment.</w:t>
      </w:r>
    </w:p>
    <w:p>
      <w:pPr>
        <w:pStyle w:val="Heading2"/>
        <w:pBdr>
          <w:bottom w:val="single" w:color="2E75B6" w:sz="4" w:space="4"/>
        </w:pBdr>
        <w:spacing w:after="80" w:before="280"/>
      </w:pPr>
      <w:r>
        <w:rPr>
          <w:rFonts w:ascii="Arial" w:cs="Arial" w:eastAsia="Arial" w:hAnsi="Arial"/>
          <w:b/>
          <w:bCs/>
          <w:color w:val="2E75B6"/>
          <w:sz w:val="26"/>
          <w:szCs w:val="26"/>
        </w:rPr>
        <w:t xml:space="preserve">2.4 Tau-bench</w:t>
      </w:r>
    </w:p>
    <w:p>
      <w:pPr>
        <w:spacing w:after="80" w:before="60" w:line="276" w:lineRule="auto"/>
      </w:pPr>
      <w:r>
        <w:rPr>
          <w:rFonts w:ascii="Arial" w:cs="Arial" w:eastAsia="Arial" w:hAnsi="Arial"/>
          <w:color w:val="222222"/>
          <w:sz w:val="22"/>
          <w:szCs w:val="22"/>
        </w:rPr>
        <w:t xml:space="preserve">Tau-bench evaluates tool-agent-user interaction and policy following. It offers methodological ideas for evaluating whether an agent can follow complex instructions, interact with users, and perform structured tasks reliably — directly applicable to evaluating whether a pedagogical agent correctly executes a skill.</w:t>
      </w:r>
    </w:p>
    <w:p>
      <w:pPr>
        <w:pStyle w:val="Heading2"/>
        <w:pBdr>
          <w:bottom w:val="single" w:color="2E75B6" w:sz="4" w:space="4"/>
        </w:pBdr>
        <w:spacing w:after="80" w:before="280"/>
      </w:pPr>
      <w:r>
        <w:rPr>
          <w:rFonts w:ascii="Arial" w:cs="Arial" w:eastAsia="Arial" w:hAnsi="Arial"/>
          <w:b/>
          <w:bCs/>
          <w:color w:val="2E75B6"/>
          <w:sz w:val="26"/>
          <w:szCs w:val="26"/>
        </w:rPr>
        <w:t xml:space="preserve">2.5 CodeAct and Agent Skill Induction</w:t>
      </w:r>
    </w:p>
    <w:p>
      <w:pPr>
        <w:spacing w:after="80" w:before="60" w:line="276" w:lineRule="auto"/>
      </w:pPr>
      <w:r>
        <w:rPr>
          <w:rFonts w:ascii="Arial" w:cs="Arial" w:eastAsia="Arial" w:hAnsi="Arial"/>
          <w:color w:val="222222"/>
          <w:sz w:val="22"/>
          <w:szCs w:val="22"/>
        </w:rPr>
        <w:t xml:space="preserve">CodeAct represents agent actions as structured code-like steps. In this project, pedagogical skills are represented as structured routines (diagnose misconception → select strategy → ask question → give feedback → check understanding), which shares the same compositional logic. Agent Skill Induction extends this by allowing agents to discover reusable skills from experience — relevant to M2 and M5.</w:t>
      </w:r>
    </w:p>
    <w:p>
      <w:pPr>
        <w:pStyle w:val="Heading2"/>
        <w:pBdr>
          <w:bottom w:val="single" w:color="2E75B6" w:sz="4" w:space="4"/>
        </w:pBdr>
        <w:spacing w:after="80" w:before="280"/>
      </w:pPr>
      <w:r>
        <w:rPr>
          <w:rFonts w:ascii="Arial" w:cs="Arial" w:eastAsia="Arial" w:hAnsi="Arial"/>
          <w:b/>
          <w:bCs/>
          <w:color w:val="2E75B6"/>
          <w:sz w:val="26"/>
          <w:szCs w:val="26"/>
        </w:rPr>
        <w:t xml:space="preserve">2.6 Compositional Skill Synthesis</w:t>
      </w:r>
    </w:p>
    <w:p>
      <w:pPr>
        <w:spacing w:after="80" w:before="60" w:line="276" w:lineRule="auto"/>
      </w:pPr>
      <w:r>
        <w:rPr>
          <w:rFonts w:ascii="Arial" w:cs="Arial" w:eastAsia="Arial" w:hAnsi="Arial"/>
          <w:color w:val="222222"/>
          <w:sz w:val="22"/>
          <w:szCs w:val="22"/>
        </w:rPr>
        <w:t xml:space="preserve">This strand of literature is highly relevant because pedagogy naturally involves combining smaller skills into larger instructional behaviours. A complex tutoring turn may combine diagnosing prior knowledge, identifying a misconception, selecting an explanation strategy, choosing an analogy, asking a formative question, providing feedback, and summarising the concept. M5 in the experiment directly tests compositional skill synthesis.</w:t>
      </w:r>
    </w:p>
    <w:p>
      <w:pPr>
        <w:pStyle w:val="Heading2"/>
        <w:pBdr>
          <w:bottom w:val="single" w:color="2E75B6" w:sz="4" w:space="4"/>
        </w:pBdr>
        <w:spacing w:after="80" w:before="280"/>
      </w:pPr>
      <w:r>
        <w:rPr>
          <w:rFonts w:ascii="Arial" w:cs="Arial" w:eastAsia="Arial" w:hAnsi="Arial"/>
          <w:b/>
          <w:bCs/>
          <w:color w:val="2E75B6"/>
          <w:sz w:val="26"/>
          <w:szCs w:val="26"/>
        </w:rPr>
        <w:t xml:space="preserve">2.7 Dialog Tutoring as Reinforcement Learning</w:t>
      </w:r>
    </w:p>
    <w:p>
      <w:pPr>
        <w:spacing w:after="80" w:before="60" w:line="276" w:lineRule="auto"/>
      </w:pPr>
      <w:r>
        <w:rPr>
          <w:rFonts w:ascii="Arial" w:cs="Arial" w:eastAsia="Arial" w:hAnsi="Arial"/>
          <w:color w:val="222222"/>
          <w:sz w:val="22"/>
          <w:szCs w:val="22"/>
        </w:rPr>
        <w:t xml:space="preserve">Tutoring can be modelled as a sequence of pedagogical decisions: what does the learner understand now, what should the tutor ask next, when to explain versus probe, how to respond to incorrect answers, and when to move on. This framing connects naturally to the RL loop in M2 and to the per-turn skill selection mechanism in the current experiment.</w:t>
      </w:r>
    </w:p>
    <w:p>
      <w:pPr>
        <w:pStyle w:val="Heading2"/>
        <w:pBdr>
          <w:bottom w:val="single" w:color="2E75B6" w:sz="4" w:space="4"/>
        </w:pBdr>
        <w:spacing w:after="80" w:before="280"/>
      </w:pPr>
      <w:r>
        <w:rPr>
          <w:rFonts w:ascii="Arial" w:cs="Arial" w:eastAsia="Arial" w:hAnsi="Arial"/>
          <w:b/>
          <w:bCs/>
          <w:color w:val="2E75B6"/>
          <w:sz w:val="26"/>
          <w:szCs w:val="26"/>
        </w:rPr>
        <w:t xml:space="preserve">2.8 Pedagogical Practices Literature</w:t>
      </w:r>
    </w:p>
    <w:p>
      <w:pPr>
        <w:spacing w:after="80" w:before="60" w:line="276" w:lineRule="auto"/>
      </w:pPr>
      <w:r>
        <w:rPr>
          <w:rFonts w:ascii="Arial" w:cs="Arial" w:eastAsia="Arial" w:hAnsi="Arial"/>
          <w:color w:val="222222"/>
          <w:sz w:val="22"/>
          <w:szCs w:val="22"/>
        </w:rPr>
        <w:t xml:space="preserve">The project also grounded itself in education research, reviewing: didactic teaching, problem-based learning (PBL), enquiry-based learning, and design thinking. This ensures the project's skill library is grounded in actual teaching approaches rather than treating pedagogy as generic helpfulness.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3. Identifying Roles of Educator, Teacher, and Mentor</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3.1 Approach: Research-Grounded Role Extraction</w:t>
      </w:r>
    </w:p>
    <w:p>
      <w:pPr>
        <w:spacing w:after="80" w:before="60" w:line="276" w:lineRule="auto"/>
      </w:pPr>
      <w:r>
        <w:rPr>
          <w:rFonts w:ascii="Arial" w:cs="Arial" w:eastAsia="Arial" w:hAnsi="Arial"/>
          <w:color w:val="222222"/>
          <w:sz w:val="22"/>
          <w:szCs w:val="22"/>
        </w:rPr>
        <w:t xml:space="preserve">Rather than defining educator roles from intuition, this project derived them systematically from six well-established research frameworks in educational psychology and mentoring theory. For each framework, the specific roles described in the original research were extracted and mapped to discrete, observable actions that an agent could perform.</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Conversion principle: a role becomes an agent skill only if it involves a discrete, repeatable action with observable inputs and outputs that an agent can be scored against without human intervention.</w:t>
      </w:r>
    </w:p>
    <w:p>
      <w:pPr>
        <w:pStyle w:val="Heading2"/>
        <w:pBdr>
          <w:bottom w:val="single" w:color="2E75B6" w:sz="4" w:space="4"/>
        </w:pBdr>
        <w:spacing w:after="80" w:before="280"/>
      </w:pPr>
      <w:r>
        <w:rPr>
          <w:rFonts w:ascii="Arial" w:cs="Arial" w:eastAsia="Arial" w:hAnsi="Arial"/>
          <w:b/>
          <w:bCs/>
          <w:color w:val="2E75B6"/>
          <w:sz w:val="26"/>
          <w:szCs w:val="26"/>
        </w:rPr>
        <w:t xml:space="preserve">3.2 Framework 1 — Shulman (1986, 1987): Pedagogical Content Knowledge</w:t>
      </w:r>
    </w:p>
    <w:p>
      <w:pPr>
        <w:spacing w:after="80" w:before="60" w:line="276" w:lineRule="auto"/>
      </w:pPr>
      <w:r>
        <w:rPr>
          <w:rFonts w:ascii="Arial" w:cs="Arial" w:eastAsia="Arial" w:hAnsi="Arial"/>
          <w:color w:val="222222"/>
          <w:sz w:val="22"/>
          <w:szCs w:val="22"/>
        </w:rPr>
        <w:t xml:space="preserve">Shulman identified that expert teachers perform a transformation step between their own subject knowledge and what they present to learners. This is Pedagogical Content Knowledge (PCK) — the blend of content knowledge, knowledge of how learners misunderstand topics, and knowledge of how to represent and sequence content for learning. Shulman's pedagogical reasoning cycle has six steps: comprehend → transform → instruct → evaluate → reflect → recomprehend.</w:t>
      </w:r>
    </w:p>
    <w:p>
      <w:pPr>
        <w:spacing w:after="80" w:before="60" w:line="276" w:lineRule="auto"/>
      </w:pPr>
      <w:r>
        <w:rPr>
          <w:rFonts w:ascii="Arial" w:cs="Arial" w:eastAsia="Arial" w:hAnsi="Arial"/>
          <w:color w:val="222222"/>
          <w:sz w:val="22"/>
          <w:szCs w:val="22"/>
        </w:rPr>
        <w:t xml:space="preserve">Roles extracted: Content Transformer, Misconception Detector, Representation Designer, Reflective Practitioner.</w:t>
      </w:r>
    </w:p>
    <w:p>
      <w:pPr>
        <w:pStyle w:val="Heading2"/>
        <w:pBdr>
          <w:bottom w:val="single" w:color="2E75B6" w:sz="4" w:space="4"/>
        </w:pBdr>
        <w:spacing w:after="80" w:before="280"/>
      </w:pPr>
      <w:r>
        <w:rPr>
          <w:rFonts w:ascii="Arial" w:cs="Arial" w:eastAsia="Arial" w:hAnsi="Arial"/>
          <w:b/>
          <w:bCs/>
          <w:color w:val="2E75B6"/>
          <w:sz w:val="26"/>
          <w:szCs w:val="26"/>
        </w:rPr>
        <w:t xml:space="preserve">3.3 Framework 2 — Vygotsky (1978) + Wood, Bruner &amp; Ross (1976): ZPD and Scaffolding</w:t>
      </w:r>
    </w:p>
    <w:p>
      <w:pPr>
        <w:spacing w:after="80" w:before="60" w:line="276" w:lineRule="auto"/>
      </w:pPr>
      <w:r>
        <w:rPr>
          <w:rFonts w:ascii="Arial" w:cs="Arial" w:eastAsia="Arial" w:hAnsi="Arial"/>
          <w:color w:val="222222"/>
          <w:sz w:val="22"/>
          <w:szCs w:val="22"/>
        </w:rPr>
        <w:t xml:space="preserve">Vygotsky's Zone of Proximal Development (ZPD) is the gap between what a learner can do alone and what they can do with support from a More Knowledgeable Other. Wood, Bruner &amp; Ross operationalised this as scaffolding — graduated support that fades as the learner gains mastery. Teaching is a social mediation act, not merely information transfer.</w:t>
      </w:r>
    </w:p>
    <w:p>
      <w:pPr>
        <w:spacing w:after="80" w:before="60" w:line="276" w:lineRule="auto"/>
      </w:pPr>
      <w:r>
        <w:rPr>
          <w:rFonts w:ascii="Arial" w:cs="Arial" w:eastAsia="Arial" w:hAnsi="Arial"/>
          <w:color w:val="222222"/>
          <w:sz w:val="22"/>
          <w:szCs w:val="22"/>
        </w:rPr>
        <w:t xml:space="preserve">Roles extracted: Scaffolder, ZPD Diagnostician, Social Mediator, Independence Builder.</w:t>
      </w:r>
    </w:p>
    <w:p>
      <w:pPr>
        <w:pStyle w:val="Heading2"/>
        <w:pBdr>
          <w:bottom w:val="single" w:color="2E75B6" w:sz="4" w:space="4"/>
        </w:pBdr>
        <w:spacing w:after="80" w:before="280"/>
      </w:pPr>
      <w:r>
        <w:rPr>
          <w:rFonts w:ascii="Arial" w:cs="Arial" w:eastAsia="Arial" w:hAnsi="Arial"/>
          <w:b/>
          <w:bCs/>
          <w:color w:val="2E75B6"/>
          <w:sz w:val="26"/>
          <w:szCs w:val="26"/>
        </w:rPr>
        <w:t xml:space="preserve">3.4 Framework 3 — Hattie (2009): Visible Learning</w:t>
      </w:r>
    </w:p>
    <w:p>
      <w:pPr>
        <w:spacing w:after="80" w:before="60" w:line="276" w:lineRule="auto"/>
      </w:pPr>
      <w:r>
        <w:rPr>
          <w:rFonts w:ascii="Arial" w:cs="Arial" w:eastAsia="Arial" w:hAnsi="Arial"/>
          <w:color w:val="222222"/>
          <w:sz w:val="22"/>
          <w:szCs w:val="22"/>
        </w:rPr>
        <w:t xml:space="preserve">Hattie's meta-analysis of over 800 studies covering 80 million students identified the highest-impact teaching influences by effect size. The most powerful roles were feedback provider (d=0.73), clarity setter (d=0.75), formative evaluator (d=0.90), and metacognitive coach (d=0.69). Teachers who see learning through the learner's eyes and act as change agents outperform those who simply deliver content.</w:t>
      </w:r>
    </w:p>
    <w:p>
      <w:pPr>
        <w:spacing w:after="80" w:before="60" w:line="276" w:lineRule="auto"/>
      </w:pPr>
      <w:r>
        <w:rPr>
          <w:rFonts w:ascii="Arial" w:cs="Arial" w:eastAsia="Arial" w:hAnsi="Arial"/>
          <w:color w:val="222222"/>
          <w:sz w:val="22"/>
          <w:szCs w:val="22"/>
        </w:rPr>
        <w:t xml:space="preserve">Roles extracted: Feedback Provider, Clarity Setter (learning objectives), Formative Evaluator, Metacognitive Coach.</w:t>
      </w:r>
    </w:p>
    <w:p>
      <w:pPr>
        <w:pStyle w:val="Heading2"/>
        <w:pBdr>
          <w:bottom w:val="single" w:color="2E75B6" w:sz="4" w:space="4"/>
        </w:pBdr>
        <w:spacing w:after="80" w:before="280"/>
      </w:pPr>
      <w:r>
        <w:rPr>
          <w:rFonts w:ascii="Arial" w:cs="Arial" w:eastAsia="Arial" w:hAnsi="Arial"/>
          <w:b/>
          <w:bCs/>
          <w:color w:val="2E75B6"/>
          <w:sz w:val="26"/>
          <w:szCs w:val="26"/>
        </w:rPr>
        <w:t xml:space="preserve">3.5 Framework 4 — Kolb, Kolb, Passarelli &amp; Sharma (2014): Educator Role Profile</w:t>
      </w:r>
    </w:p>
    <w:p>
      <w:pPr>
        <w:spacing w:after="80" w:before="60" w:line="276" w:lineRule="auto"/>
      </w:pPr>
      <w:r>
        <w:rPr>
          <w:rFonts w:ascii="Arial" w:cs="Arial" w:eastAsia="Arial" w:hAnsi="Arial"/>
          <w:color w:val="222222"/>
          <w:sz w:val="22"/>
          <w:szCs w:val="22"/>
        </w:rPr>
        <w:t xml:space="preserve">The Kolb Educator Role Profile (KERP) identifies four roles educators adopt dynamically as they support learners through the experiential learning cycle (experiencing → reflecting → thinking → acting). Effective educators move fluidly among all four roles.</w:t>
      </w:r>
    </w:p>
    <w:p>
      <w:pPr>
        <w:spacing w:after="80" w:before="60" w:line="276" w:lineRule="auto"/>
      </w:pPr>
      <w:r>
        <w:rPr>
          <w:rFonts w:ascii="Arial" w:cs="Arial" w:eastAsia="Arial" w:hAnsi="Arial"/>
          <w:color w:val="222222"/>
          <w:sz w:val="22"/>
          <w:szCs w:val="22"/>
        </w:rPr>
        <w:t xml:space="preserve">Roles extracted: Facilitator (creates space for experience and reflection), Subject Expert (provides theoretical grounding), Evaluator (sets standards and assesses), Coach (pushes learner to act and apply).</w:t>
      </w:r>
    </w:p>
    <w:p>
      <w:pPr>
        <w:pStyle w:val="Heading2"/>
        <w:pBdr>
          <w:bottom w:val="single" w:color="2E75B6" w:sz="4" w:space="4"/>
        </w:pBdr>
        <w:spacing w:after="80" w:before="280"/>
      </w:pPr>
      <w:r>
        <w:rPr>
          <w:rFonts w:ascii="Arial" w:cs="Arial" w:eastAsia="Arial" w:hAnsi="Arial"/>
          <w:b/>
          <w:bCs/>
          <w:color w:val="2E75B6"/>
          <w:sz w:val="26"/>
          <w:szCs w:val="26"/>
        </w:rPr>
        <w:t xml:space="preserve">3.6 Framework 5 — Kram (1983, 1985): Mentor Functions Framework</w:t>
      </w:r>
    </w:p>
    <w:p>
      <w:pPr>
        <w:spacing w:after="80" w:before="60" w:line="276" w:lineRule="auto"/>
      </w:pPr>
      <w:r>
        <w:rPr>
          <w:rFonts w:ascii="Arial" w:cs="Arial" w:eastAsia="Arial" w:hAnsi="Arial"/>
          <w:color w:val="222222"/>
          <w:sz w:val="22"/>
          <w:szCs w:val="22"/>
        </w:rPr>
        <w:t xml:space="preserve">Kram identified two categories of mentor functions from in-depth biographical interviews. Career functions include sponsorship, coaching, protection, challenging assignments, and visibility. Psychosocial functions include role modelling, acceptance, counselling, friendship, and confirmation of identity. Both categories are needed for full mentor effectiveness.</w:t>
      </w:r>
    </w:p>
    <w:p>
      <w:pPr>
        <w:spacing w:after="80" w:before="60" w:line="276" w:lineRule="auto"/>
      </w:pPr>
      <w:r>
        <w:rPr>
          <w:rFonts w:ascii="Arial" w:cs="Arial" w:eastAsia="Arial" w:hAnsi="Arial"/>
          <w:color w:val="222222"/>
          <w:sz w:val="22"/>
          <w:szCs w:val="22"/>
        </w:rPr>
        <w:t xml:space="preserve">Roles extracted: Sponsor, Role Model, Counsellor, Challenger, Affirmer.</w:t>
      </w:r>
    </w:p>
    <w:p>
      <w:pPr>
        <w:pStyle w:val="Heading2"/>
        <w:pBdr>
          <w:bottom w:val="single" w:color="2E75B6" w:sz="4" w:space="4"/>
        </w:pBdr>
        <w:spacing w:after="80" w:before="280"/>
      </w:pPr>
      <w:r>
        <w:rPr>
          <w:rFonts w:ascii="Arial" w:cs="Arial" w:eastAsia="Arial" w:hAnsi="Arial"/>
          <w:b/>
          <w:bCs/>
          <w:color w:val="2E75B6"/>
          <w:sz w:val="26"/>
          <w:szCs w:val="26"/>
        </w:rPr>
        <w:t xml:space="preserve">3.7 Framework 6 — Clutterbuck (2004, 2015): Developmental Mentoring</w:t>
      </w:r>
    </w:p>
    <w:p>
      <w:pPr>
        <w:spacing w:after="80" w:before="60" w:line="276" w:lineRule="auto"/>
      </w:pPr>
      <w:r>
        <w:rPr>
          <w:rFonts w:ascii="Arial" w:cs="Arial" w:eastAsia="Arial" w:hAnsi="Arial"/>
          <w:color w:val="222222"/>
          <w:sz w:val="22"/>
          <w:szCs w:val="22"/>
        </w:rPr>
        <w:t xml:space="preserve">Clutterbuck distinguishes developmental mentoring (enabling self-reliance) from directive sponsorship. The mentor acts as sounding board, challenger, and guide, progressively shifting responsibility to the mentee. His model emphasises that the mentor's goal is the mentee's independence — not dependence on the mentor.</w:t>
      </w:r>
    </w:p>
    <w:p>
      <w:pPr>
        <w:spacing w:after="80" w:before="60" w:line="276" w:lineRule="auto"/>
      </w:pPr>
      <w:r>
        <w:rPr>
          <w:rFonts w:ascii="Arial" w:cs="Arial" w:eastAsia="Arial" w:hAnsi="Arial"/>
          <w:color w:val="222222"/>
          <w:sz w:val="22"/>
          <w:szCs w:val="22"/>
        </w:rPr>
        <w:t xml:space="preserve">Roles extracted: Sounding Board, Developmental Guide, Critical Friend, Rapport Builder.</w:t>
      </w:r>
    </w:p>
    <w:p>
      <w:pPr>
        <w:pStyle w:val="Heading2"/>
        <w:pBdr>
          <w:bottom w:val="single" w:color="2E75B6" w:sz="4" w:space="4"/>
        </w:pBdr>
        <w:spacing w:after="80" w:before="280"/>
      </w:pPr>
      <w:r>
        <w:rPr>
          <w:rFonts w:ascii="Arial" w:cs="Arial" w:eastAsia="Arial" w:hAnsi="Arial"/>
          <w:b/>
          <w:bCs/>
          <w:color w:val="2E75B6"/>
          <w:sz w:val="26"/>
          <w:szCs w:val="26"/>
        </w:rPr>
        <w:t xml:space="preserve">3.8 Additional Framework — Biggs &amp; Tang (2011): Constructive Alignment</w:t>
      </w:r>
    </w:p>
    <w:p>
      <w:pPr>
        <w:spacing w:after="80" w:before="60" w:line="276" w:lineRule="auto"/>
      </w:pPr>
      <w:r>
        <w:rPr>
          <w:rFonts w:ascii="Arial" w:cs="Arial" w:eastAsia="Arial" w:hAnsi="Arial"/>
          <w:color w:val="222222"/>
          <w:sz w:val="22"/>
          <w:szCs w:val="22"/>
        </w:rPr>
        <w:t xml:space="preserve">Biggs &amp; Tang identified constructive alignment as the central design principle of effective instruction: learning outcomes, teaching activities, and assessment tasks must all be aligned — targeting the same cognitive operation and the same content. When these three components are misaligned, learning is undermined regardless of how well each component is individually designed. Combined with Bloom's revised taxonomy (Anderson &amp; Krathwohl, 2001), this framework provides a quality-assurance check on all instructional design.</w:t>
      </w:r>
    </w:p>
    <w:p>
      <w:pPr>
        <w:spacing w:after="80" w:before="60" w:line="276" w:lineRule="auto"/>
      </w:pPr>
      <w:r>
        <w:rPr>
          <w:rFonts w:ascii="Arial" w:cs="Arial" w:eastAsia="Arial" w:hAnsi="Arial"/>
          <w:color w:val="222222"/>
          <w:sz w:val="22"/>
          <w:szCs w:val="22"/>
        </w:rPr>
        <w:t xml:space="preserve">Role extracted: Alignment Checker / Curriculum Designer.</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4. Converting Roles into Pedagogical Skills</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4.1 The Conversion Logic</w:t>
      </w:r>
    </w:p>
    <w:p>
      <w:pPr>
        <w:spacing w:after="80" w:before="60" w:line="276" w:lineRule="auto"/>
      </w:pPr>
      <w:r>
        <w:rPr>
          <w:rFonts w:ascii="Arial" w:cs="Arial" w:eastAsia="Arial" w:hAnsi="Arial"/>
          <w:color w:val="222222"/>
          <w:sz w:val="22"/>
          <w:szCs w:val="22"/>
        </w:rPr>
        <w:t xml:space="preserve">Each research role was evaluated against three criteria before being accepted as an agent skill:</w:t>
      </w:r>
    </w:p>
    <w:p>
      <w:pPr>
        <w:pStyle w:val="ListParagraph"/>
        <w:numPr>
          <w:ilvl w:val="0"/>
          <w:numId w:val="2"/>
        </w:numPr>
        <w:spacing w:after="40" w:before="40"/>
      </w:pPr>
      <w:r>
        <w:rPr>
          <w:rFonts w:ascii="Arial" w:cs="Arial" w:eastAsia="Arial" w:hAnsi="Arial"/>
          <w:color w:val="222222"/>
          <w:sz w:val="22"/>
          <w:szCs w:val="22"/>
        </w:rPr>
        <w:t xml:space="preserve">The role involves a discrete, repeatable action — not a general disposition or attitude</w:t>
      </w:r>
    </w:p>
    <w:p>
      <w:pPr>
        <w:pStyle w:val="ListParagraph"/>
        <w:numPr>
          <w:ilvl w:val="0"/>
          <w:numId w:val="2"/>
        </w:numPr>
        <w:spacing w:after="40" w:before="40"/>
      </w:pPr>
      <w:r>
        <w:rPr>
          <w:rFonts w:ascii="Arial" w:cs="Arial" w:eastAsia="Arial" w:hAnsi="Arial"/>
          <w:color w:val="222222"/>
          <w:sz w:val="22"/>
          <w:szCs w:val="22"/>
        </w:rPr>
        <w:t xml:space="preserve">The skill has observable inputs (what triggers it) and observable outputs (what the agent produces when using it)</w:t>
      </w:r>
    </w:p>
    <w:p>
      <w:pPr>
        <w:pStyle w:val="ListParagraph"/>
        <w:numPr>
          <w:ilvl w:val="0"/>
          <w:numId w:val="2"/>
        </w:numPr>
        <w:spacing w:after="40" w:before="40"/>
      </w:pPr>
      <w:r>
        <w:rPr>
          <w:rFonts w:ascii="Arial" w:cs="Arial" w:eastAsia="Arial" w:hAnsi="Arial"/>
          <w:color w:val="222222"/>
          <w:sz w:val="22"/>
          <w:szCs w:val="22"/>
        </w:rPr>
        <w:t xml:space="preserve">An agent can know when to use it without a human deciding for it — the trigger conditions are specifiable</w:t>
      </w:r>
    </w:p>
    <w:p>
      <w:pPr>
        <w:spacing w:after="80" w:before="60" w:line="276" w:lineRule="auto"/>
      </w:pPr>
      <w:r>
        <w:rPr>
          <w:rFonts w:ascii="Arial" w:cs="Arial" w:eastAsia="Arial" w:hAnsi="Arial"/>
          <w:color w:val="222222"/>
          <w:sz w:val="22"/>
          <w:szCs w:val="22"/>
        </w:rPr>
        <w:t xml:space="preserve">Roles that did not meet all three criteria were either merged with adjacent skills or excluded. For example, 'rapport builder' (Clutterbuck) was merged into 'provide-emotional-support' because building rapport is not a discrete single-turn action but an outcome of consistent emotionally supportive behaviour across turns.</w:t>
      </w:r>
    </w:p>
    <w:p>
      <w:pPr>
        <w:pStyle w:val="Heading2"/>
        <w:pBdr>
          <w:bottom w:val="single" w:color="2E75B6" w:sz="4" w:space="4"/>
        </w:pBdr>
        <w:spacing w:after="80" w:before="280"/>
      </w:pPr>
      <w:r>
        <w:rPr>
          <w:rFonts w:ascii="Arial" w:cs="Arial" w:eastAsia="Arial" w:hAnsi="Arial"/>
          <w:b/>
          <w:bCs/>
          <w:color w:val="2E75B6"/>
          <w:sz w:val="26"/>
          <w:szCs w:val="26"/>
        </w:rPr>
        <w:t xml:space="preserve">4.2 Merging Overlapping Roles</w:t>
      </w:r>
    </w:p>
    <w:p>
      <w:pPr>
        <w:spacing w:after="80" w:before="60" w:line="276" w:lineRule="auto"/>
      </w:pPr>
      <w:r>
        <w:rPr>
          <w:rFonts w:ascii="Arial" w:cs="Arial" w:eastAsia="Arial" w:hAnsi="Arial"/>
          <w:color w:val="222222"/>
          <w:sz w:val="22"/>
          <w:szCs w:val="22"/>
        </w:rPr>
        <w:t xml:space="preserve">Before finalising the skill list, overlapping roles were merged to avoid redundancy in the skill library. Five merges were made:</w:t>
      </w:r>
    </w:p>
    <w:p>
      <w:pPr>
        <w:pStyle w:val="ListParagraph"/>
        <w:numPr>
          <w:ilvl w:val="0"/>
          <w:numId w:val="2"/>
        </w:numPr>
        <w:spacing w:after="40" w:before="40"/>
      </w:pPr>
      <w:r>
        <w:rPr>
          <w:rFonts w:ascii="Arial" w:cs="Arial" w:eastAsia="Arial" w:hAnsi="Arial"/>
          <w:color w:val="222222"/>
          <w:sz w:val="22"/>
          <w:szCs w:val="22"/>
        </w:rPr>
        <w:t xml:space="preserve">Diagnose learning gaps + Identify misconceptions → diagnose-zpd (both are diagnostic; misconceptions are a subset of learning gaps)</w:t>
      </w:r>
    </w:p>
    <w:p>
      <w:pPr>
        <w:pStyle w:val="ListParagraph"/>
        <w:numPr>
          <w:ilvl w:val="0"/>
          <w:numId w:val="2"/>
        </w:numPr>
        <w:spacing w:after="40" w:before="40"/>
      </w:pPr>
      <w:r>
        <w:rPr>
          <w:rFonts w:ascii="Arial" w:cs="Arial" w:eastAsia="Arial" w:hAnsi="Arial"/>
          <w:color w:val="222222"/>
          <w:sz w:val="22"/>
          <w:szCs w:val="22"/>
        </w:rPr>
        <w:t xml:space="preserve">Scaffold explanation + Build learner independence → scaffold-and-release (scaffolding is the mechanism; fading is the goal)</w:t>
      </w:r>
    </w:p>
    <w:p>
      <w:pPr>
        <w:pStyle w:val="ListParagraph"/>
        <w:numPr>
          <w:ilvl w:val="0"/>
          <w:numId w:val="2"/>
        </w:numPr>
        <w:spacing w:after="40" w:before="40"/>
      </w:pPr>
      <w:r>
        <w:rPr>
          <w:rFonts w:ascii="Arial" w:cs="Arial" w:eastAsia="Arial" w:hAnsi="Arial"/>
          <w:color w:val="222222"/>
          <w:sz w:val="22"/>
          <w:szCs w:val="22"/>
        </w:rPr>
        <w:t xml:space="preserve">Provide formative feedback + Check for understanding → provide-formative-feedback (CFU is how you know what feedback to give)</w:t>
      </w:r>
    </w:p>
    <w:p>
      <w:pPr>
        <w:pStyle w:val="ListParagraph"/>
        <w:numPr>
          <w:ilvl w:val="0"/>
          <w:numId w:val="2"/>
        </w:numPr>
        <w:spacing w:after="40" w:before="40"/>
      </w:pPr>
      <w:r>
        <w:rPr>
          <w:rFonts w:ascii="Arial" w:cs="Arial" w:eastAsia="Arial" w:hAnsi="Arial"/>
          <w:color w:val="222222"/>
          <w:sz w:val="22"/>
          <w:szCs w:val="22"/>
        </w:rPr>
        <w:t xml:space="preserve">Ask Socratic questions + Probe intended decisions → probe-intended-decisions (both use questioning to surface thinking without giving answers)</w:t>
      </w:r>
    </w:p>
    <w:p>
      <w:pPr>
        <w:pStyle w:val="ListParagraph"/>
        <w:numPr>
          <w:ilvl w:val="0"/>
          <w:numId w:val="2"/>
        </w:numPr>
        <w:spacing w:after="40" w:before="40"/>
      </w:pPr>
      <w:r>
        <w:rPr>
          <w:rFonts w:ascii="Arial" w:cs="Arial" w:eastAsia="Arial" w:hAnsi="Arial"/>
          <w:color w:val="222222"/>
          <w:sz w:val="22"/>
          <w:szCs w:val="22"/>
        </w:rPr>
        <w:t xml:space="preserve">Reflect on own pedagogy + Evaluate own impact → reflect-on-pedagogy (reflection without impact measurement is incomplete)</w:t>
      </w:r>
    </w:p>
    <w:p>
      <w:pPr>
        <w:pStyle w:val="Heading2"/>
        <w:pBdr>
          <w:bottom w:val="single" w:color="2E75B6" w:sz="4" w:space="4"/>
        </w:pBdr>
        <w:spacing w:after="80" w:before="280"/>
      </w:pPr>
      <w:r>
        <w:rPr>
          <w:rFonts w:ascii="Arial" w:cs="Arial" w:eastAsia="Arial" w:hAnsi="Arial"/>
          <w:b/>
          <w:bCs/>
          <w:color w:val="2E75B6"/>
          <w:sz w:val="26"/>
          <w:szCs w:val="26"/>
        </w:rPr>
        <w:t xml:space="preserve">4.3 The 16-Skill Library (M1 — Human-Authored)</w:t>
      </w:r>
    </w:p>
    <w:p>
      <w:pPr>
        <w:spacing w:after="80" w:before="60" w:line="276" w:lineRule="auto"/>
      </w:pPr>
      <w:r>
        <w:rPr>
          <w:rFonts w:ascii="Arial" w:cs="Arial" w:eastAsia="Arial" w:hAnsi="Arial"/>
          <w:color w:val="222222"/>
          <w:sz w:val="22"/>
          <w:szCs w:val="22"/>
        </w:rPr>
        <w:t xml:space="preserve">After merging and applying the conversion criteria, 16 pedagogical skills were produced and written as individual SKILL.md files in the Anthropic skill format. The table below shows all 16 skills organised by research source and educational role: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400"/>
        <w:gridCol w:w="2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Skill Name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Research Source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Trigger (when agent uses it)</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diagnose-zpd</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Vygotsky (1978)</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New learner, new topic, unclear level</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scaffold-and-release</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Vygotsky / Wood et al. (1976)</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is stuck, almost-right</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identify-misconceptions</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Shulman (1986, 1987)</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Patterned wrong answer, flawed reasoning</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transform-content</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Shulman (1987)</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Tutor/Teacher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doesn't understand, wrong level</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provide-formative-feedback</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Hattie (2009) d=0.73</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Tutor/Teacher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submits work or answers a question</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set-learning-objectives</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Hattie (2009) d=0.75</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Teacher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Start of session, no shared goal</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encourage-metacognition</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Hattie (2009) d=0.69</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Tutor/Teacher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Answer given without visible reasoning</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facilitate-discussion</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Kolb et al. (2014); Hattie d=0.82</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Teacher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Topic has multiple valid perspectives</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design-learning-experience</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Kolb et al. (2014)</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Educator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learning sequence needed</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assign-stretch-tasks</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Kram (1983); Vygotsky ZPD</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Teacher/Mentor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has mastered current level</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provide-emotional-support</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Kram (1983)</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Mentor/Tutor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expresses anxiety or self-doubt</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confirm-competence</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Kram (1983)</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Mentor/Tutor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dismisses genuine capability</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challenge-assumptions</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Clutterbuck (2004)</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Mentor/Tutor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holds unexamined belief</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probe-intended-decisions</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Clutterbuck (2004)</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Mentor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Learner presents a plan before acting</w:t>
            </w:r>
          </w:p>
        </w:tc>
      </w:tr>
      <w:tr>
        <w:tc>
          <w:tcPr>
            <w:tcW w:type="dxa" w:w="2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align-outcomes-activities-assessment</w:t>
            </w:r>
          </w:p>
        </w:tc>
        <w:tc>
          <w:tcPr>
            <w:tcW w:type="dxa" w:w="26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Biggs &amp; Tang (2011); Bloom</w:t>
            </w:r>
          </w:p>
        </w:tc>
        <w:tc>
          <w:tcPr>
            <w:tcW w:type="dxa" w:w="14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Educator</w:t>
            </w:r>
          </w:p>
        </w:tc>
        <w:tc>
          <w:tcPr>
            <w:tcW w:type="dxa" w:w="2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Lesson plan has misaligned components</w:t>
            </w:r>
          </w:p>
        </w:tc>
      </w:tr>
      <w:tr>
        <w:tc>
          <w:tcPr>
            <w:tcW w:type="dxa" w:w="2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reflect-on-pedagogy</w:t>
            </w:r>
          </w:p>
        </w:tc>
        <w:tc>
          <w:tcPr>
            <w:tcW w:type="dxa" w:w="26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Shulman (1987); Hattie (2009)</w:t>
            </w:r>
          </w:p>
        </w:tc>
        <w:tc>
          <w:tcPr>
            <w:tcW w:type="dxa" w:w="14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Educator</w:t>
            </w:r>
          </w:p>
        </w:tc>
        <w:tc>
          <w:tcPr>
            <w:tcW w:type="dxa" w:w="2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End of session, instruction didn't land</w:t>
            </w:r>
          </w:p>
        </w:tc>
      </w:tr>
    </w:tbl>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4.4 Skill File Format (Anthropic SKILL.md)</w:t>
      </w:r>
    </w:p>
    <w:p>
      <w:pPr>
        <w:spacing w:after="80" w:before="60" w:line="276" w:lineRule="auto"/>
      </w:pPr>
      <w:r>
        <w:rPr>
          <w:rFonts w:ascii="Arial" w:cs="Arial" w:eastAsia="Arial" w:hAnsi="Arial"/>
          <w:color w:val="222222"/>
          <w:sz w:val="22"/>
          <w:szCs w:val="22"/>
        </w:rPr>
        <w:t xml:space="preserve">Each skill is stored as a SKILL.md file with YAML frontmatter (name and description) and a full markdown body. This uses Anthropic's two-level progressive disclosure format:</w:t>
      </w:r>
    </w:p>
    <w:p>
      <w:pPr>
        <w:pStyle w:val="ListParagraph"/>
        <w:numPr>
          <w:ilvl w:val="0"/>
          <w:numId w:val="2"/>
        </w:numPr>
        <w:spacing w:after="40" w:before="40"/>
      </w:pPr>
      <w:r>
        <w:rPr>
          <w:rFonts w:ascii="Arial" w:cs="Arial" w:eastAsia="Arial" w:hAnsi="Arial"/>
          <w:color w:val="222222"/>
          <w:sz w:val="22"/>
          <w:szCs w:val="22"/>
        </w:rPr>
        <w:t xml:space="preserve">Level 1 — name and description: loaded into the agent's system prompt at startup, giving it awareness of all 16 skills without loading full details</w:t>
      </w:r>
    </w:p>
    <w:p>
      <w:pPr>
        <w:pStyle w:val="ListParagraph"/>
        <w:numPr>
          <w:ilvl w:val="0"/>
          <w:numId w:val="2"/>
        </w:numPr>
        <w:spacing w:after="40" w:before="40"/>
      </w:pPr>
      <w:r>
        <w:rPr>
          <w:rFonts w:ascii="Arial" w:cs="Arial" w:eastAsia="Arial" w:hAnsi="Arial"/>
          <w:color w:val="222222"/>
          <w:sz w:val="22"/>
          <w:szCs w:val="22"/>
        </w:rPr>
        <w:t xml:space="preserve">Level 2 — full body: loaded on demand when the agent selects a skill, providing the complete procedure, examples, success criteria, and failure modes</w:t>
      </w:r>
    </w:p>
    <w:p>
      <w:pPr>
        <w:spacing w:after="80" w:before="60" w:line="276" w:lineRule="auto"/>
      </w:pPr>
      <w:r>
        <w:rPr>
          <w:rFonts w:ascii="Arial" w:cs="Arial" w:eastAsia="Arial" w:hAnsi="Arial"/>
          <w:color w:val="222222"/>
          <w:sz w:val="22"/>
          <w:szCs w:val="22"/>
        </w:rPr>
        <w:t xml:space="preserve">The naming convention in the skills_M1/ directory is: {skill-name}_SKILL.md (e.g., scaffold-and-release_SKILL.md). This flat structure matches the Anthropic skills repository format demonstrated by the PDF skill example.</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5. Experimental Design</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5.1 Original Six-Method Design</w:t>
      </w:r>
    </w:p>
    <w:p>
      <w:pPr>
        <w:spacing w:after="80" w:before="60" w:line="276" w:lineRule="auto"/>
      </w:pPr>
      <w:r>
        <w:rPr>
          <w:rFonts w:ascii="Arial" w:cs="Arial" w:eastAsia="Arial" w:hAnsi="Arial"/>
          <w:color w:val="222222"/>
          <w:sz w:val="22"/>
          <w:szCs w:val="22"/>
        </w:rPr>
        <w:t xml:space="preserve">The project originally considered six methods (M1–M6) for embedding or acquiring pedagogical skills in LLM agents. Two methods were deferred from the immediate implementation:</w:t>
      </w:r>
    </w:p>
    <w:p>
      <w:pPr>
        <w:pStyle w:val="ListParagraph"/>
        <w:numPr>
          <w:ilvl w:val="0"/>
          <w:numId w:val="2"/>
        </w:numPr>
        <w:spacing w:after="40" w:before="40"/>
      </w:pPr>
      <w:r>
        <w:rPr>
          <w:rFonts w:ascii="Arial" w:cs="Arial" w:eastAsia="Arial" w:hAnsi="Arial"/>
          <w:color w:val="222222"/>
          <w:sz w:val="22"/>
          <w:szCs w:val="22"/>
        </w:rPr>
        <w:t xml:space="preserve">M3 (SEAgent-inspired): autonomous GUI/software exploration — deferred because the current experiment is text-based, not GUI-based</w:t>
      </w:r>
    </w:p>
    <w:p>
      <w:pPr>
        <w:pStyle w:val="ListParagraph"/>
        <w:numPr>
          <w:ilvl w:val="0"/>
          <w:numId w:val="2"/>
        </w:numPr>
        <w:spacing w:after="40" w:before="40"/>
      </w:pPr>
      <w:r>
        <w:rPr>
          <w:rFonts w:ascii="Arial" w:cs="Arial" w:eastAsia="Arial" w:hAnsi="Arial"/>
          <w:color w:val="222222"/>
          <w:sz w:val="22"/>
          <w:szCs w:val="22"/>
        </w:rPr>
        <w:t xml:space="preserve">M4 (CUA-Skill-inspired): computer-use agent method — deferred for the same reason</w:t>
      </w:r>
    </w:p>
    <w:p>
      <w:pPr>
        <w:spacing w:after="80" w:before="60" w:line="276" w:lineRule="auto"/>
      </w:pPr>
      <w:r>
        <w:rPr>
          <w:rFonts w:ascii="Arial" w:cs="Arial" w:eastAsia="Arial" w:hAnsi="Arial"/>
          <w:color w:val="222222"/>
          <w:sz w:val="22"/>
          <w:szCs w:val="22"/>
        </w:rPr>
        <w:t xml:space="preserve">The active experiment focuses on four methods: M1, M2, M5, and M6.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56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56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M1</w:t>
            </w:r>
          </w:p>
        </w:tc>
        <w:tc>
          <w:tcPr>
            <w:tcW w:type="dxa" w:w="20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Human-authored skills</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Agent receives explicit pedagogical skill descriptions written by researchers, grounded in educational theory</w:t>
            </w:r>
          </w:p>
        </w:tc>
      </w:tr>
      <w:tr>
        <w:tc>
          <w:tcPr>
            <w:tcW w:type="dxa" w:w="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M2</w:t>
            </w:r>
          </w:p>
        </w:tc>
        <w:tc>
          <w:tcPr>
            <w:tcW w:type="dxa" w:w="20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RL / GRPO-inspired</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Agent improves skill use through reward-guided optimisation; uses composite reward signal across task completion, survey scores, and efficiency</w:t>
            </w:r>
          </w:p>
        </w:tc>
      </w:tr>
      <w:tr>
        <w:tc>
          <w:tcPr>
            <w:tcW w:type="dxa" w:w="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M5</w:t>
            </w:r>
          </w:p>
        </w:tc>
        <w:tc>
          <w:tcPr>
            <w:tcW w:type="dxa" w:w="20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Compositional synthesis</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Smaller pedagogical skills combined into complex instructional behaviours; skill chains identified from high-reward episodes</w:t>
            </w:r>
          </w:p>
        </w:tc>
      </w:tr>
      <w:tr>
        <w:tc>
          <w:tcPr>
            <w:tcW w:type="dxa" w:w="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M6</w:t>
            </w:r>
          </w:p>
        </w:tc>
        <w:tc>
          <w:tcPr>
            <w:tcW w:type="dxa" w:w="20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 agent replacing multi-agent</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w:t>
            </w:r>
          </w:p>
        </w:tc>
        <w:tc>
          <w:tcPr>
            <w:tcW w:type="dxa" w:w="56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One agent with full skill library approximates what multiple specialised agents would do</w:t>
            </w:r>
          </w:p>
        </w:tc>
      </w:tr>
      <w:tr>
        <w:tc>
          <w:tcPr>
            <w:tcW w:type="dxa" w:w="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M3</w:t>
            </w:r>
          </w:p>
        </w:tc>
        <w:tc>
          <w:tcPr>
            <w:tcW w:type="dxa" w:w="20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SEAgent-inspired</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DEFERRED</w:t>
            </w:r>
          </w:p>
        </w:tc>
        <w:tc>
          <w:tcPr>
            <w:tcW w:type="dxa" w:w="56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GUI/software-environment method; not applicable to text-based tutoring interactions</w:t>
            </w:r>
          </w:p>
        </w:tc>
      </w:tr>
      <w:tr>
        <w:tc>
          <w:tcPr>
            <w:tcW w:type="dxa" w:w="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M4</w:t>
            </w:r>
          </w:p>
        </w:tc>
        <w:tc>
          <w:tcPr>
            <w:tcW w:type="dxa" w:w="20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CUA-Skill-inspired</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DEFERRED</w:t>
            </w:r>
          </w:p>
        </w:tc>
        <w:tc>
          <w:tcPr>
            <w:tcW w:type="dxa" w:w="56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Computer-use agent; deferred for same reason as M3</w:t>
            </w:r>
          </w:p>
        </w:tc>
      </w:tr>
    </w:tbl>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5.2 The Pedagogical Skill Matrix</w:t>
      </w:r>
    </w:p>
    <w:p>
      <w:pPr>
        <w:spacing w:after="80" w:before="60" w:line="276" w:lineRule="auto"/>
      </w:pPr>
      <w:r>
        <w:rPr>
          <w:rFonts w:ascii="Arial" w:cs="Arial" w:eastAsia="Arial" w:hAnsi="Arial"/>
          <w:color w:val="222222"/>
          <w:sz w:val="22"/>
          <w:szCs w:val="22"/>
        </w:rPr>
        <w:t xml:space="preserve">The full conceptual matrix has 108 scenarios: 18 pedagogical skills × 6 methods. The active implementation subset has 72 scenarios: 18 skills × 4 active methods (M1, M2, M5, M6). Each scenario specifies a skill, a method, an educational role (tutor / teacher / educator / mentor), a learner persona, and a task-solved criterion.</w:t>
      </w:r>
    </w:p>
    <w:p>
      <w:pPr>
        <w:pStyle w:val="Heading2"/>
        <w:pBdr>
          <w:bottom w:val="single" w:color="2E75B6" w:sz="4" w:space="4"/>
        </w:pBdr>
        <w:spacing w:after="80" w:before="280"/>
      </w:pPr>
      <w:r>
        <w:rPr>
          <w:rFonts w:ascii="Arial" w:cs="Arial" w:eastAsia="Arial" w:hAnsi="Arial"/>
          <w:b/>
          <w:bCs/>
          <w:color w:val="2E75B6"/>
          <w:sz w:val="26"/>
          <w:szCs w:val="26"/>
        </w:rPr>
        <w:t xml:space="preserve">5.3 The RL Loop (M1 + RL Signal)</w:t>
      </w:r>
    </w:p>
    <w:p>
      <w:pPr>
        <w:spacing w:after="80" w:before="60" w:line="276" w:lineRule="auto"/>
      </w:pPr>
      <w:r>
        <w:rPr>
          <w:rFonts w:ascii="Arial" w:cs="Arial" w:eastAsia="Arial" w:hAnsi="Arial"/>
          <w:color w:val="222222"/>
          <w:sz w:val="22"/>
          <w:szCs w:val="22"/>
        </w:rPr>
        <w:t xml:space="preserve">The first experiment implements M1 with an RL reward signal. The loop per episode is:</w:t>
      </w:r>
    </w:p>
    <w:p>
      <w:pPr>
        <w:pStyle w:val="ListParagraph"/>
        <w:numPr>
          <w:ilvl w:val="0"/>
          <w:numId w:val="2"/>
        </w:numPr>
        <w:spacing w:after="40" w:before="40"/>
      </w:pPr>
      <w:r>
        <w:rPr>
          <w:rFonts w:ascii="Arial" w:cs="Arial" w:eastAsia="Arial" w:hAnsi="Arial"/>
          <w:color w:val="222222"/>
          <w:sz w:val="22"/>
          <w:szCs w:val="22"/>
        </w:rPr>
        <w:t xml:space="preserve">Agent (supervisor Aoife) selects a skill from the 16-skill library and responds</w:t>
      </w:r>
    </w:p>
    <w:p>
      <w:pPr>
        <w:pStyle w:val="ListParagraph"/>
        <w:numPr>
          <w:ilvl w:val="0"/>
          <w:numId w:val="2"/>
        </w:numPr>
        <w:spacing w:after="40" w:before="40"/>
      </w:pPr>
      <w:r>
        <w:rPr>
          <w:rFonts w:ascii="Arial" w:cs="Arial" w:eastAsia="Arial" w:hAnsi="Arial"/>
          <w:color w:val="222222"/>
          <w:sz w:val="22"/>
          <w:szCs w:val="22"/>
        </w:rPr>
        <w:t xml:space="preserve">Persona (simulated student) responds in-character, tracking its own understanding level (0–10)</w:t>
      </w:r>
    </w:p>
    <w:p>
      <w:pPr>
        <w:pStyle w:val="ListParagraph"/>
        <w:numPr>
          <w:ilvl w:val="0"/>
          <w:numId w:val="2"/>
        </w:numPr>
        <w:spacing w:after="40" w:before="40"/>
      </w:pPr>
      <w:r>
        <w:rPr>
          <w:rFonts w:ascii="Arial" w:cs="Arial" w:eastAsia="Arial" w:hAnsi="Arial"/>
          <w:color w:val="222222"/>
          <w:sz w:val="22"/>
          <w:szCs w:val="22"/>
        </w:rPr>
        <w:t xml:space="preserve">Loop repeats until: agent declares TASK_SOLVED, persona declares LEARNER_READY, or max turns reached</w:t>
      </w:r>
    </w:p>
    <w:p>
      <w:pPr>
        <w:pStyle w:val="ListParagraph"/>
        <w:numPr>
          <w:ilvl w:val="0"/>
          <w:numId w:val="2"/>
        </w:numPr>
        <w:spacing w:after="40" w:before="40"/>
      </w:pPr>
      <w:r>
        <w:rPr>
          <w:rFonts w:ascii="Arial" w:cs="Arial" w:eastAsia="Arial" w:hAnsi="Arial"/>
          <w:color w:val="222222"/>
          <w:sz w:val="22"/>
          <w:szCs w:val="22"/>
        </w:rPr>
        <w:t xml:space="preserve">Post-chat: persona fills a 5-question survey (Q1–Q5, 1–5 scale) plus open text</w:t>
      </w:r>
    </w:p>
    <w:p>
      <w:pPr>
        <w:pStyle w:val="ListParagraph"/>
        <w:numPr>
          <w:ilvl w:val="0"/>
          <w:numId w:val="2"/>
        </w:numPr>
        <w:spacing w:after="40" w:before="40"/>
      </w:pPr>
      <w:r>
        <w:rPr>
          <w:rFonts w:ascii="Arial" w:cs="Arial" w:eastAsia="Arial" w:hAnsi="Arial"/>
          <w:color w:val="222222"/>
          <w:sz w:val="22"/>
          <w:szCs w:val="22"/>
        </w:rPr>
        <w:t xml:space="preserve">Independent task check: persona asked directly whether it can now complete the task</w:t>
      </w:r>
    </w:p>
    <w:p>
      <w:pPr>
        <w:pStyle w:val="ListParagraph"/>
        <w:numPr>
          <w:ilvl w:val="0"/>
          <w:numId w:val="2"/>
        </w:numPr>
        <w:spacing w:after="40" w:before="40"/>
      </w:pPr>
      <w:r>
        <w:rPr>
          <w:rFonts w:ascii="Arial" w:cs="Arial" w:eastAsia="Arial" w:hAnsi="Arial"/>
          <w:color w:val="222222"/>
          <w:sz w:val="22"/>
          <w:szCs w:val="22"/>
        </w:rPr>
        <w:t xml:space="preserve">Composite reward calculated from three components</w:t>
      </w:r>
    </w:p>
    <w:p>
      <w:pPr>
        <w:pStyle w:val="ListParagraph"/>
        <w:numPr>
          <w:ilvl w:val="0"/>
          <w:numId w:val="2"/>
        </w:numPr>
        <w:spacing w:after="40" w:before="40"/>
      </w:pPr>
      <w:r>
        <w:rPr>
          <w:rFonts w:ascii="Arial" w:cs="Arial" w:eastAsia="Arial" w:hAnsi="Arial"/>
          <w:color w:val="222222"/>
          <w:sz w:val="22"/>
          <w:szCs w:val="22"/>
        </w:rPr>
        <w:t xml:space="preserve">All results saved to SQLite database and JSON files</w:t>
      </w:r>
    </w:p>
    <w:p>
      <w:pPr>
        <w:pStyle w:val="Heading2"/>
        <w:pBdr>
          <w:bottom w:val="single" w:color="2E75B6" w:sz="4" w:space="4"/>
        </w:pBdr>
        <w:spacing w:after="80" w:before="280"/>
      </w:pPr>
      <w:r>
        <w:rPr>
          <w:rFonts w:ascii="Arial" w:cs="Arial" w:eastAsia="Arial" w:hAnsi="Arial"/>
          <w:b/>
          <w:bCs/>
          <w:color w:val="2E75B6"/>
          <w:sz w:val="26"/>
          <w:szCs w:val="26"/>
        </w:rPr>
        <w:t xml:space="preserve">5.4 Composite Reward Function</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reward = 0.50 × task_solved_score + 0.30 × survey_normalised + 0.20 × efficiency_score</w:t>
      </w:r>
    </w:p>
    <w:p>
      <w:pPr>
        <w:spacing w:after="80" w:before="60" w:line="276" w:lineRule="auto"/>
      </w:pPr>
      <w:r>
        <w:rPr>
          <w:rFonts w:ascii="Arial" w:cs="Arial" w:eastAsia="Arial" w:hAnsi="Arial"/>
          <w:color w:val="222222"/>
          <w:sz w:val="22"/>
          <w:szCs w:val="22"/>
        </w:rPr>
        <w:t xml:space="preserve">Task solved score: 1.0 if task solved, 0.8 if persona independently confirms, 0.5 if partial confidence. Survey normalised: mean of Q1–Q5 mapped from 1–5 to 0–1. Efficiency: 1 − (turns_used / max_turns), capped at zero.</w:t>
      </w:r>
    </w:p>
    <w:p>
      <w:pPr>
        <w:spacing w:after="80" w:before="60" w:line="276" w:lineRule="auto"/>
      </w:pPr>
      <w:r>
        <w:rPr>
          <w:rFonts w:ascii="Arial" w:cs="Arial" w:eastAsia="Arial" w:hAnsi="Arial"/>
          <w:color w:val="222222"/>
          <w:sz w:val="22"/>
          <w:szCs w:val="22"/>
        </w:rPr>
        <w:t xml:space="preserve">Reward bands: EXCELLENT ≥ 0.85, GOOD ≥ 0.70, ACCEPTABLE ≥ 0.50, POOR ≥ 0.30, FAILED &lt; 0.30.</w:t>
      </w:r>
    </w:p>
    <w:p>
      <w:pPr>
        <w:pStyle w:val="Heading2"/>
        <w:pBdr>
          <w:bottom w:val="single" w:color="2E75B6" w:sz="4" w:space="4"/>
        </w:pBdr>
        <w:spacing w:after="80" w:before="280"/>
      </w:pPr>
      <w:r>
        <w:rPr>
          <w:rFonts w:ascii="Arial" w:cs="Arial" w:eastAsia="Arial" w:hAnsi="Arial"/>
          <w:b/>
          <w:bCs/>
          <w:color w:val="2E75B6"/>
          <w:sz w:val="26"/>
          <w:szCs w:val="26"/>
        </w:rPr>
        <w:t xml:space="preserve">5.5 RL Interpretation</w:t>
      </w:r>
    </w:p>
    <w:p>
      <w:pPr>
        <w:spacing w:after="80" w:before="60" w:line="276" w:lineRule="auto"/>
      </w:pPr>
      <w:r>
        <w:rPr>
          <w:rFonts w:ascii="Arial" w:cs="Arial" w:eastAsia="Arial" w:hAnsi="Arial"/>
          <w:color w:val="222222"/>
          <w:sz w:val="22"/>
          <w:szCs w:val="22"/>
        </w:rPr>
        <w:t xml:space="preserve">This experiment implements a simplified REINFORCE-style signal without updating LLM weights. Each episode is a trajectory of (conversation state, skill selected) pairs. The reward is assigned at episode end and attributed to the full skill sequence. After multiple runs:</w:t>
      </w:r>
    </w:p>
    <w:p>
      <w:pPr>
        <w:pStyle w:val="ListParagraph"/>
        <w:numPr>
          <w:ilvl w:val="0"/>
          <w:numId w:val="2"/>
        </w:numPr>
        <w:spacing w:after="40" w:before="40"/>
      </w:pPr>
      <w:r>
        <w:rPr>
          <w:rFonts w:ascii="Arial" w:cs="Arial" w:eastAsia="Arial" w:hAnsi="Arial"/>
          <w:color w:val="222222"/>
          <w:sz w:val="22"/>
          <w:szCs w:val="22"/>
        </w:rPr>
        <w:t xml:space="preserve">Skills appearing more in high-reward episodes are better choices</w:t>
      </w:r>
    </w:p>
    <w:p>
      <w:pPr>
        <w:pStyle w:val="ListParagraph"/>
        <w:numPr>
          <w:ilvl w:val="0"/>
          <w:numId w:val="2"/>
        </w:numPr>
        <w:spacing w:after="40" w:before="40"/>
      </w:pPr>
      <w:r>
        <w:rPr>
          <w:rFonts w:ascii="Arial" w:cs="Arial" w:eastAsia="Arial" w:hAnsi="Arial"/>
          <w:color w:val="222222"/>
          <w:sz w:val="22"/>
          <w:szCs w:val="22"/>
        </w:rPr>
        <w:t xml:space="preserve">Best skill per turn position forms the derived pedagogical policy</w:t>
      </w:r>
    </w:p>
    <w:p>
      <w:pPr>
        <w:pStyle w:val="ListParagraph"/>
        <w:numPr>
          <w:ilvl w:val="0"/>
          <w:numId w:val="2"/>
        </w:numPr>
        <w:spacing w:after="40" w:before="40"/>
      </w:pPr>
      <w:r>
        <w:rPr>
          <w:rFonts w:ascii="Arial" w:cs="Arial" w:eastAsia="Arial" w:hAnsi="Arial"/>
          <w:color w:val="222222"/>
          <w:sz w:val="22"/>
          <w:szCs w:val="22"/>
        </w:rPr>
        <w:t xml:space="preserve">High-reward skill sequences become positive demonstrations for M2 (GRPO-style preference pairs)</w:t>
      </w:r>
    </w:p>
    <w:p>
      <w:pPr>
        <w:pStyle w:val="ListParagraph"/>
        <w:numPr>
          <w:ilvl w:val="0"/>
          <w:numId w:val="2"/>
        </w:numPr>
        <w:spacing w:after="40" w:before="40"/>
      </w:pPr>
      <w:r>
        <w:rPr>
          <w:rFonts w:ascii="Arial" w:cs="Arial" w:eastAsia="Arial" w:hAnsi="Arial"/>
          <w:color w:val="222222"/>
          <w:sz w:val="22"/>
          <w:szCs w:val="22"/>
        </w:rPr>
        <w:t xml:space="preserve">Adjacent co-occurring skills in winning episodes are synthesis candidates for M5</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6. Learner Personas</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6.1 Persona Design Rationale</w:t>
      </w:r>
    </w:p>
    <w:p>
      <w:pPr>
        <w:spacing w:after="80" w:before="60" w:line="276" w:lineRule="auto"/>
      </w:pPr>
      <w:r>
        <w:rPr>
          <w:rFonts w:ascii="Arial" w:cs="Arial" w:eastAsia="Arial" w:hAnsi="Arial"/>
          <w:color w:val="222222"/>
          <w:sz w:val="22"/>
          <w:szCs w:val="22"/>
        </w:rPr>
        <w:t xml:space="preserve">Each persona is a second LLM instance that plays the student. Personas are grounded in the three real supervisory dialogues (Scenario A, Dialogues 1–3) provided as source material. The supervisor role in all three scenarios is played by Aoife. Each persona has a defined knowledge state, a specific misconception to hold until genuinely corrected, an emotional state, and a learning goal. The persona tracks its own understanding level (0–10) each turn, updating gradually rather than suddenly.</w:t>
      </w:r>
    </w:p>
    <w:p>
      <w:pPr>
        <w:pStyle w:val="Heading2"/>
        <w:pBdr>
          <w:bottom w:val="single" w:color="2E75B6" w:sz="4" w:space="4"/>
        </w:pBdr>
        <w:spacing w:after="80" w:before="280"/>
      </w:pPr>
      <w:r>
        <w:rPr>
          <w:rFonts w:ascii="Arial" w:cs="Arial" w:eastAsia="Arial" w:hAnsi="Arial"/>
          <w:b/>
          <w:bCs/>
          <w:color w:val="2E75B6"/>
          <w:sz w:val="26"/>
          <w:szCs w:val="26"/>
        </w:rPr>
        <w:t xml:space="preserve">6.2 Persona 1 — Mary (PhD Student, S01)</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Scenario: Research methods for teachers' perceptions of digital tools in geography</w:t>
      </w:r>
    </w:p>
    <w:p>
      <w:pPr>
        <w:spacing w:after="80" w:before="60" w:line="276" w:lineRule="auto"/>
      </w:pPr>
      <w:r>
        <w:rPr>
          <w:rFonts w:ascii="Arial" w:cs="Arial" w:eastAsia="Arial" w:hAnsi="Arial"/>
          <w:color w:val="222222"/>
          <w:sz w:val="22"/>
          <w:szCs w:val="22"/>
        </w:rPr>
        <w:t xml:space="preserve">Level: Second-year full-time PhD student in Education.</w:t>
      </w:r>
    </w:p>
    <w:p>
      <w:pPr>
        <w:spacing w:after="80" w:before="60" w:line="276" w:lineRule="auto"/>
      </w:pPr>
      <w:r>
        <w:rPr>
          <w:rFonts w:ascii="Arial" w:cs="Arial" w:eastAsia="Arial" w:hAnsi="Arial"/>
          <w:color w:val="222222"/>
          <w:sz w:val="22"/>
          <w:szCs w:val="22"/>
        </w:rPr>
        <w:t xml:space="preserve">Knowledge state: Has completed a research methods module and has experience with thematic analysis. Knows qualitative methods broadly but has not designed a full study before. Comfortable with interviews conceptually but unfamiliar with the justification process. Limited statistics knowledge, uncomfortable with surveys.</w:t>
      </w:r>
    </w:p>
    <w:p>
      <w:pPr>
        <w:spacing w:after="80" w:before="60" w:line="276" w:lineRule="auto"/>
      </w:pPr>
      <w:r>
        <w:rPr>
          <w:rFonts w:ascii="Arial" w:cs="Arial" w:eastAsia="Arial" w:hAnsi="Arial"/>
          <w:color w:val="222222"/>
          <w:sz w:val="22"/>
          <w:szCs w:val="22"/>
        </w:rPr>
        <w:t xml:space="preserve">Misconception: Believes a stronger study necessarily uses more complex or mixed methods. Thinks semi-structured interviews alone might be too simple and not rigorous enough for a PhD.</w:t>
      </w:r>
    </w:p>
    <w:p>
      <w:pPr>
        <w:spacing w:after="80" w:before="60" w:line="276" w:lineRule="auto"/>
      </w:pPr>
      <w:r>
        <w:rPr>
          <w:rFonts w:ascii="Arial" w:cs="Arial" w:eastAsia="Arial" w:hAnsi="Arial"/>
          <w:color w:val="222222"/>
          <w:sz w:val="22"/>
          <w:szCs w:val="22"/>
        </w:rPr>
        <w:t xml:space="preserve">Emotional state: Anxious about making the wrong methodological choice. Responds well to Socratic questioning. Becomes more confident when her reasoning is validated.</w:t>
      </w:r>
    </w:p>
    <w:p>
      <w:pPr>
        <w:spacing w:after="80" w:before="60" w:line="276" w:lineRule="auto"/>
      </w:pPr>
      <w:r>
        <w:rPr>
          <w:rFonts w:ascii="Arial" w:cs="Arial" w:eastAsia="Arial" w:hAnsi="Arial"/>
          <w:color w:val="222222"/>
          <w:sz w:val="22"/>
          <w:szCs w:val="22"/>
        </w:rPr>
        <w:t xml:space="preserve">Task solved when: Mary can articulate why semi-structured interviews align with her exploratory, interpretivist research question, acknowledges trade-offs of at least one alternative method, and expresses confidence rather than anxiety.</w:t>
      </w:r>
    </w:p>
    <w:p>
      <w:pPr>
        <w:spacing w:after="80" w:before="60" w:line="276" w:lineRule="auto"/>
      </w:pPr>
      <w:r>
        <w:rPr>
          <w:rFonts w:ascii="Arial" w:cs="Arial" w:eastAsia="Arial" w:hAnsi="Arial"/>
          <w:color w:val="222222"/>
          <w:sz w:val="22"/>
          <w:szCs w:val="22"/>
        </w:rPr>
        <w:t xml:space="preserve">Primary skill target: probe-intended-decisions (Clutterbuck's sounding board role). Max turns: 14.</w:t>
      </w:r>
    </w:p>
    <w:p>
      <w:pPr>
        <w:pStyle w:val="Heading2"/>
        <w:pBdr>
          <w:bottom w:val="single" w:color="2E75B6" w:sz="4" w:space="4"/>
        </w:pBdr>
        <w:spacing w:after="80" w:before="280"/>
      </w:pPr>
      <w:r>
        <w:rPr>
          <w:rFonts w:ascii="Arial" w:cs="Arial" w:eastAsia="Arial" w:hAnsi="Arial"/>
          <w:b/>
          <w:bCs/>
          <w:color w:val="2E75B6"/>
          <w:sz w:val="26"/>
          <w:szCs w:val="26"/>
        </w:rPr>
        <w:t xml:space="preserve">6.3 Persona 2 — John (Masters Student, S02)</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Scenario: Research methods for parents' experiences of school transition</w:t>
      </w:r>
    </w:p>
    <w:p>
      <w:pPr>
        <w:spacing w:after="80" w:before="60" w:line="276" w:lineRule="auto"/>
      </w:pPr>
      <w:r>
        <w:rPr>
          <w:rFonts w:ascii="Arial" w:cs="Arial" w:eastAsia="Arial" w:hAnsi="Arial"/>
          <w:color w:val="222222"/>
          <w:sz w:val="22"/>
          <w:szCs w:val="22"/>
        </w:rPr>
        <w:t xml:space="preserve">Level: First-year Masters student in Education.</w:t>
      </w:r>
    </w:p>
    <w:p>
      <w:pPr>
        <w:spacing w:after="80" w:before="60" w:line="276" w:lineRule="auto"/>
      </w:pPr>
      <w:r>
        <w:rPr>
          <w:rFonts w:ascii="Arial" w:cs="Arial" w:eastAsia="Arial" w:hAnsi="Arial"/>
          <w:color w:val="222222"/>
          <w:sz w:val="22"/>
          <w:szCs w:val="22"/>
        </w:rPr>
        <w:t xml:space="preserve">Knowledge state: Has completed a research methods module. Knows that interviews, surveys, and focus groups exist but cannot connect them to his specific research question. Is a parent himself with personal access to other parents, though he hasn't thought about this as a research asset. Uncomfortable with statistics.</w:t>
      </w:r>
    </w:p>
    <w:p>
      <w:pPr>
        <w:spacing w:after="80" w:before="60" w:line="276" w:lineRule="auto"/>
      </w:pPr>
      <w:r>
        <w:rPr>
          <w:rFonts w:ascii="Arial" w:cs="Arial" w:eastAsia="Arial" w:hAnsi="Arial"/>
          <w:color w:val="222222"/>
          <w:sz w:val="22"/>
          <w:szCs w:val="22"/>
        </w:rPr>
        <w:t xml:space="preserve">Misconception: Feels he should already know the right method from the methods module — this causes anxiety. Does not see that method choice follows from the research question, not from a rule about which methods are best.</w:t>
      </w:r>
    </w:p>
    <w:p>
      <w:pPr>
        <w:spacing w:after="80" w:before="60" w:line="276" w:lineRule="auto"/>
      </w:pPr>
      <w:r>
        <w:rPr>
          <w:rFonts w:ascii="Arial" w:cs="Arial" w:eastAsia="Arial" w:hAnsi="Arial"/>
          <w:color w:val="222222"/>
          <w:sz w:val="22"/>
          <w:szCs w:val="22"/>
        </w:rPr>
        <w:t xml:space="preserve">Emotional state: Uncertain and slightly overwhelmed. Reassured when told uncertainty at this stage is normal. Responds positively to being guided through reasoning step by step.</w:t>
      </w:r>
    </w:p>
    <w:p>
      <w:pPr>
        <w:spacing w:after="80" w:before="60" w:line="276" w:lineRule="auto"/>
      </w:pPr>
      <w:r>
        <w:rPr>
          <w:rFonts w:ascii="Arial" w:cs="Arial" w:eastAsia="Arial" w:hAnsi="Arial"/>
          <w:color w:val="222222"/>
          <w:sz w:val="22"/>
          <w:szCs w:val="22"/>
        </w:rPr>
        <w:t xml:space="preserve">Task solved when: John can explain why interviews suit his question, identifies at least one practical consideration (access, timeline, feasibility), and is ready to draft a short data collection description.</w:t>
      </w:r>
    </w:p>
    <w:p>
      <w:pPr>
        <w:spacing w:after="80" w:before="60" w:line="276" w:lineRule="auto"/>
      </w:pPr>
      <w:r>
        <w:rPr>
          <w:rFonts w:ascii="Arial" w:cs="Arial" w:eastAsia="Arial" w:hAnsi="Arial"/>
          <w:color w:val="222222"/>
          <w:sz w:val="22"/>
          <w:szCs w:val="22"/>
        </w:rPr>
        <w:t xml:space="preserve">Primary skill target: scaffold-and-release (Vygotsky / Wood et al.). Max turns: 12.</w:t>
      </w:r>
    </w:p>
    <w:p>
      <w:pPr>
        <w:pStyle w:val="Heading2"/>
        <w:pBdr>
          <w:bottom w:val="single" w:color="2E75B6" w:sz="4" w:space="4"/>
        </w:pBdr>
        <w:spacing w:after="80" w:before="280"/>
      </w:pPr>
      <w:r>
        <w:rPr>
          <w:rFonts w:ascii="Arial" w:cs="Arial" w:eastAsia="Arial" w:hAnsi="Arial"/>
          <w:b/>
          <w:bCs/>
          <w:color w:val="2E75B6"/>
          <w:sz w:val="26"/>
          <w:szCs w:val="26"/>
        </w:rPr>
        <w:t xml:space="preserve">6.4 Persona 3 — Liam (PhD Student, S03)</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Scenario: Quantitative secondary data analysis using the PISA dataset</w:t>
      </w:r>
    </w:p>
    <w:p>
      <w:pPr>
        <w:spacing w:after="80" w:before="60" w:line="276" w:lineRule="auto"/>
      </w:pPr>
      <w:r>
        <w:rPr>
          <w:rFonts w:ascii="Arial" w:cs="Arial" w:eastAsia="Arial" w:hAnsi="Arial"/>
          <w:color w:val="222222"/>
          <w:sz w:val="22"/>
          <w:szCs w:val="22"/>
        </w:rPr>
        <w:t xml:space="preserve">Level: PhD student in Education.</w:t>
      </w:r>
    </w:p>
    <w:p>
      <w:pPr>
        <w:spacing w:after="80" w:before="60" w:line="276" w:lineRule="auto"/>
      </w:pPr>
      <w:r>
        <w:rPr>
          <w:rFonts w:ascii="Arial" w:cs="Arial" w:eastAsia="Arial" w:hAnsi="Arial"/>
          <w:color w:val="222222"/>
          <w:sz w:val="22"/>
          <w:szCs w:val="22"/>
        </w:rPr>
        <w:t xml:space="preserve">Knowledge state: Has some background in basic statistics (regression). Has briefly explored the PISA dataset but not in depth. Knows PISA is large and international. Drawn to quantitative methods and positivist evidence.</w:t>
      </w:r>
    </w:p>
    <w:p>
      <w:pPr>
        <w:spacing w:after="80" w:before="60" w:line="276" w:lineRule="auto"/>
      </w:pPr>
      <w:r>
        <w:rPr>
          <w:rFonts w:ascii="Arial" w:cs="Arial" w:eastAsia="Arial" w:hAnsi="Arial"/>
          <w:color w:val="222222"/>
          <w:sz w:val="22"/>
          <w:szCs w:val="22"/>
        </w:rPr>
        <w:t xml:space="preserve">Misconception: Believes larger datasets are automatically more powerful or rigorous. Has not checked whether PISA contains the specific variables his question requires. Has not considered the complexity of PISA's weighting structure or that he may need to develop additional statistical skills.</w:t>
      </w:r>
    </w:p>
    <w:p>
      <w:pPr>
        <w:spacing w:after="80" w:before="60" w:line="276" w:lineRule="auto"/>
      </w:pPr>
      <w:r>
        <w:rPr>
          <w:rFonts w:ascii="Arial" w:cs="Arial" w:eastAsia="Arial" w:hAnsi="Arial"/>
          <w:color w:val="222222"/>
          <w:sz w:val="22"/>
          <w:szCs w:val="22"/>
        </w:rPr>
        <w:t xml:space="preserve">Emotional state: Enthusiastic about big data but not yet critically reflective. Responds well to questions that make him think about alignment between dataset and question.</w:t>
      </w:r>
    </w:p>
    <w:p>
      <w:pPr>
        <w:spacing w:after="80" w:before="60" w:line="276" w:lineRule="auto"/>
      </w:pPr>
      <w:r>
        <w:rPr>
          <w:rFonts w:ascii="Arial" w:cs="Arial" w:eastAsia="Arial" w:hAnsi="Arial"/>
          <w:color w:val="222222"/>
          <w:sz w:val="22"/>
          <w:szCs w:val="22"/>
        </w:rPr>
        <w:t xml:space="preserve">Task solved when: Liam can articulate why his research question — not the dataset's size — should drive dataset choice; names at least two relevant PISA variables; acknowledges one statistical skill he needs to develop.</w:t>
      </w:r>
    </w:p>
    <w:p>
      <w:pPr>
        <w:spacing w:after="80" w:before="60" w:line="276" w:lineRule="auto"/>
      </w:pPr>
      <w:r>
        <w:rPr>
          <w:rFonts w:ascii="Arial" w:cs="Arial" w:eastAsia="Arial" w:hAnsi="Arial"/>
          <w:color w:val="222222"/>
          <w:sz w:val="22"/>
          <w:szCs w:val="22"/>
        </w:rPr>
        <w:t xml:space="preserve">Primary skill target: diagnose-zpd (Vygotsky). Max turns: 12.</w:t>
      </w:r>
    </w:p>
    <w:p>
      <w:pPr>
        <w:pStyle w:val="Heading2"/>
        <w:pBdr>
          <w:bottom w:val="single" w:color="2E75B6" w:sz="4" w:space="4"/>
        </w:pBdr>
        <w:spacing w:after="80" w:before="280"/>
      </w:pPr>
      <w:r>
        <w:rPr>
          <w:rFonts w:ascii="Arial" w:cs="Arial" w:eastAsia="Arial" w:hAnsi="Arial"/>
          <w:b/>
          <w:bCs/>
          <w:color w:val="2E75B6"/>
          <w:sz w:val="26"/>
          <w:szCs w:val="26"/>
        </w:rPr>
        <w:t xml:space="preserve">6.5 Post-Chat Survey</w:t>
      </w:r>
    </w:p>
    <w:p>
      <w:pPr>
        <w:spacing w:after="80" w:before="60" w:line="276" w:lineRule="auto"/>
      </w:pPr>
      <w:r>
        <w:rPr>
          <w:rFonts w:ascii="Arial" w:cs="Arial" w:eastAsia="Arial" w:hAnsi="Arial"/>
          <w:color w:val="222222"/>
          <w:sz w:val="22"/>
          <w:szCs w:val="22"/>
        </w:rPr>
        <w:t xml:space="preserve">After every conversation, the persona fills a structured survey as itself (LLM persona mode) or a human learner fills it directly (human validation mode). The same five questions and one open question are used in both modes, enabling direct comparison:</w:t>
      </w:r>
    </w:p>
    <w:p>
      <w:pPr>
        <w:pStyle w:val="ListParagraph"/>
        <w:numPr>
          <w:ilvl w:val="0"/>
          <w:numId w:val="2"/>
        </w:numPr>
        <w:spacing w:after="40" w:before="40"/>
      </w:pPr>
      <w:r>
        <w:rPr>
          <w:rFonts w:ascii="Arial" w:cs="Arial" w:eastAsia="Arial" w:hAnsi="Arial"/>
          <w:color w:val="222222"/>
          <w:sz w:val="22"/>
          <w:szCs w:val="22"/>
        </w:rPr>
        <w:t xml:space="preserve">Q1: How well did the supervisor understand what you were confused about? (1–5)</w:t>
      </w:r>
    </w:p>
    <w:p>
      <w:pPr>
        <w:pStyle w:val="ListParagraph"/>
        <w:numPr>
          <w:ilvl w:val="0"/>
          <w:numId w:val="2"/>
        </w:numPr>
        <w:spacing w:after="40" w:before="40"/>
      </w:pPr>
      <w:r>
        <w:rPr>
          <w:rFonts w:ascii="Arial" w:cs="Arial" w:eastAsia="Arial" w:hAnsi="Arial"/>
          <w:color w:val="222222"/>
          <w:sz w:val="22"/>
          <w:szCs w:val="22"/>
        </w:rPr>
        <w:t xml:space="preserve">Q2: Were questions and guidance right for your level — not too directive, not too vague? (1–5)</w:t>
      </w:r>
    </w:p>
    <w:p>
      <w:pPr>
        <w:pStyle w:val="ListParagraph"/>
        <w:numPr>
          <w:ilvl w:val="0"/>
          <w:numId w:val="2"/>
        </w:numPr>
        <w:spacing w:after="40" w:before="40"/>
      </w:pPr>
      <w:r>
        <w:rPr>
          <w:rFonts w:ascii="Arial" w:cs="Arial" w:eastAsia="Arial" w:hAnsi="Arial"/>
          <w:color w:val="222222"/>
          <w:sz w:val="22"/>
          <w:szCs w:val="22"/>
        </w:rPr>
        <w:t xml:space="preserve">Q3: Did you feel safe to express uncertainty without embarrassment? (1–5)</w:t>
      </w:r>
    </w:p>
    <w:p>
      <w:pPr>
        <w:pStyle w:val="ListParagraph"/>
        <w:numPr>
          <w:ilvl w:val="0"/>
          <w:numId w:val="2"/>
        </w:numPr>
        <w:spacing w:after="40" w:before="40"/>
      </w:pPr>
      <w:r>
        <w:rPr>
          <w:rFonts w:ascii="Arial" w:cs="Arial" w:eastAsia="Arial" w:hAnsi="Arial"/>
          <w:color w:val="222222"/>
          <w:sz w:val="22"/>
          <w:szCs w:val="22"/>
        </w:rPr>
        <w:t xml:space="preserve">Q4: Was the session efficient — right number of turns to reach clarity? (1–5)</w:t>
      </w:r>
    </w:p>
    <w:p>
      <w:pPr>
        <w:pStyle w:val="ListParagraph"/>
        <w:numPr>
          <w:ilvl w:val="0"/>
          <w:numId w:val="2"/>
        </w:numPr>
        <w:spacing w:after="40" w:before="40"/>
      </w:pPr>
      <w:r>
        <w:rPr>
          <w:rFonts w:ascii="Arial" w:cs="Arial" w:eastAsia="Arial" w:hAnsi="Arial"/>
          <w:color w:val="222222"/>
          <w:sz w:val="22"/>
          <w:szCs w:val="22"/>
        </w:rPr>
        <w:t xml:space="preserve">Q5: Overall satisfaction with this supervisory interaction? (1–5)</w:t>
      </w:r>
    </w:p>
    <w:p>
      <w:pPr>
        <w:pStyle w:val="ListParagraph"/>
        <w:numPr>
          <w:ilvl w:val="0"/>
          <w:numId w:val="2"/>
        </w:numPr>
        <w:spacing w:after="40" w:before="40"/>
      </w:pPr>
      <w:r>
        <w:rPr>
          <w:rFonts w:ascii="Arial" w:cs="Arial" w:eastAsia="Arial" w:hAnsi="Arial"/>
          <w:color w:val="222222"/>
          <w:sz w:val="22"/>
          <w:szCs w:val="22"/>
        </w:rPr>
        <w:t xml:space="preserve">Q_open: Most helpful thing the supervisor did + what could be better (free text)</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7. System Architecture and Implementation</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7.1 Technology Stack</w:t>
      </w:r>
    </w:p>
    <w:p>
      <w:pPr>
        <w:spacing w:after="80" w:before="60" w:line="276" w:lineRule="auto"/>
      </w:pPr>
      <w:r>
        <w:rPr>
          <w:rFonts w:ascii="Arial" w:cs="Arial" w:eastAsia="Arial" w:hAnsi="Arial"/>
          <w:color w:val="222222"/>
          <w:sz w:val="22"/>
          <w:szCs w:val="22"/>
        </w:rPr>
        <w:t xml:space="preserve">The experiment system is built entirely in Python using the standard library plus Flask for the web interface. No paid cloud AI infrastructure is required for the system itself — the only external dependency is the LLM backend. Three backends are supported, switchable with one line in model_config.py:</w:t>
      </w:r>
    </w:p>
    <w:p>
      <w:pPr>
        <w:pStyle w:val="ListParagraph"/>
        <w:numPr>
          <w:ilvl w:val="0"/>
          <w:numId w:val="2"/>
        </w:numPr>
        <w:spacing w:after="40" w:before="40"/>
      </w:pPr>
      <w:r>
        <w:rPr>
          <w:rFonts w:ascii="Arial" w:cs="Arial" w:eastAsia="Arial" w:hAnsi="Arial"/>
          <w:color w:val="222222"/>
          <w:sz w:val="22"/>
          <w:szCs w:val="22"/>
        </w:rPr>
        <w:t xml:space="preserve">HuggingFace Inference API (free tier): Qwen/Qwen2.5-7B-Instruct or 14B-Instruct — no GPU required, internet access only</w:t>
      </w:r>
    </w:p>
    <w:p>
      <w:pPr>
        <w:pStyle w:val="ListParagraph"/>
        <w:numPr>
          <w:ilvl w:val="0"/>
          <w:numId w:val="2"/>
        </w:numPr>
        <w:spacing w:after="40" w:before="40"/>
      </w:pPr>
      <w:r>
        <w:rPr>
          <w:rFonts w:ascii="Arial" w:cs="Arial" w:eastAsia="Arial" w:hAnsi="Arial"/>
          <w:color w:val="222222"/>
          <w:sz w:val="22"/>
          <w:szCs w:val="22"/>
        </w:rPr>
        <w:t xml:space="preserve">Ollama (local): qwen2.5:32b or other models — no API key, requires Apple Silicon or NVIDIA GPU, fully offline</w:t>
      </w:r>
    </w:p>
    <w:p>
      <w:pPr>
        <w:pStyle w:val="ListParagraph"/>
        <w:numPr>
          <w:ilvl w:val="0"/>
          <w:numId w:val="2"/>
        </w:numPr>
        <w:spacing w:after="40" w:before="40"/>
      </w:pPr>
      <w:r>
        <w:rPr>
          <w:rFonts w:ascii="Arial" w:cs="Arial" w:eastAsia="Arial" w:hAnsi="Arial"/>
          <w:color w:val="222222"/>
          <w:sz w:val="22"/>
          <w:szCs w:val="22"/>
        </w:rPr>
        <w:t xml:space="preserve">Anthropic API (paid): claude-sonnet-4 — highest quality baseline</w:t>
      </w:r>
    </w:p>
    <w:p>
      <w:pPr>
        <w:pStyle w:val="Heading2"/>
        <w:pBdr>
          <w:bottom w:val="single" w:color="2E75B6" w:sz="4" w:space="4"/>
        </w:pBdr>
        <w:spacing w:after="80" w:before="280"/>
      </w:pPr>
      <w:r>
        <w:rPr>
          <w:rFonts w:ascii="Arial" w:cs="Arial" w:eastAsia="Arial" w:hAnsi="Arial"/>
          <w:b/>
          <w:bCs/>
          <w:color w:val="2E75B6"/>
          <w:sz w:val="26"/>
          <w:szCs w:val="26"/>
        </w:rPr>
        <w:t xml:space="preserve">7.2 File Structure</w:t>
      </w:r>
    </w:p>
    <w:p>
      <w:pPr>
        <w:spacing w:after="80" w:before="60" w:line="276" w:lineRule="auto"/>
      </w:pPr>
      <w:r>
        <w:rPr>
          <w:rFonts w:ascii="Arial" w:cs="Arial" w:eastAsia="Arial" w:hAnsi="Arial"/>
          <w:color w:val="222222"/>
          <w:sz w:val="22"/>
          <w:szCs w:val="22"/>
        </w:rPr>
        <w:t xml:space="preserve">The project directory follows the Anthropic skills repository convention:</w:t>
      </w:r>
    </w:p>
    <w:p>
      <w:pPr>
        <w:pStyle w:val="ListParagraph"/>
        <w:numPr>
          <w:ilvl w:val="0"/>
          <w:numId w:val="2"/>
        </w:numPr>
        <w:spacing w:after="40" w:before="40"/>
      </w:pPr>
      <w:r>
        <w:rPr>
          <w:rFonts w:ascii="Arial" w:cs="Arial" w:eastAsia="Arial" w:hAnsi="Arial"/>
          <w:color w:val="222222"/>
          <w:sz w:val="22"/>
          <w:szCs w:val="22"/>
        </w:rPr>
        <w:t xml:space="preserve">skills_M1/ — 16 SKILL.md files, flat directory, named {skill-name}_SKILL.md</w:t>
      </w:r>
    </w:p>
    <w:p>
      <w:pPr>
        <w:pStyle w:val="ListParagraph"/>
        <w:numPr>
          <w:ilvl w:val="0"/>
          <w:numId w:val="2"/>
        </w:numPr>
        <w:spacing w:after="40" w:before="40"/>
      </w:pPr>
      <w:r>
        <w:rPr>
          <w:rFonts w:ascii="Arial" w:cs="Arial" w:eastAsia="Arial" w:hAnsi="Arial"/>
          <w:color w:val="222222"/>
          <w:sz w:val="22"/>
          <w:szCs w:val="22"/>
        </w:rPr>
        <w:t xml:space="preserve">db/pedagogy_rl.db — SQLite database (auto-created on first run)</w:t>
      </w:r>
    </w:p>
    <w:p>
      <w:pPr>
        <w:pStyle w:val="ListParagraph"/>
        <w:numPr>
          <w:ilvl w:val="0"/>
          <w:numId w:val="2"/>
        </w:numPr>
        <w:spacing w:after="40" w:before="40"/>
      </w:pPr>
      <w:r>
        <w:rPr>
          <w:rFonts w:ascii="Arial" w:cs="Arial" w:eastAsia="Arial" w:hAnsi="Arial"/>
          <w:color w:val="222222"/>
          <w:sz w:val="22"/>
          <w:szCs w:val="22"/>
        </w:rPr>
        <w:t xml:space="preserve">results/ — JSON result files and analysis report per run</w:t>
      </w:r>
    </w:p>
    <w:p>
      <w:pPr>
        <w:pStyle w:val="ListParagraph"/>
        <w:numPr>
          <w:ilvl w:val="0"/>
          <w:numId w:val="2"/>
        </w:numPr>
        <w:spacing w:after="40" w:before="40"/>
      </w:pPr>
      <w:r>
        <w:rPr>
          <w:rFonts w:ascii="Arial" w:cs="Arial" w:eastAsia="Arial" w:hAnsi="Arial"/>
          <w:color w:val="222222"/>
          <w:sz w:val="22"/>
          <w:szCs w:val="22"/>
        </w:rPr>
        <w:t xml:space="preserve">model_config.py — single file to switch backend and model</w:t>
      </w:r>
    </w:p>
    <w:p>
      <w:pPr>
        <w:pStyle w:val="ListParagraph"/>
        <w:numPr>
          <w:ilvl w:val="0"/>
          <w:numId w:val="2"/>
        </w:numPr>
        <w:spacing w:after="40" w:before="40"/>
      </w:pPr>
      <w:r>
        <w:rPr>
          <w:rFonts w:ascii="Arial" w:cs="Arial" w:eastAsia="Arial" w:hAnsi="Arial"/>
          <w:color w:val="222222"/>
          <w:sz w:val="22"/>
          <w:szCs w:val="22"/>
        </w:rPr>
        <w:t xml:space="preserve">api_client.py — multi-backend LLM client (HF / Ollama / Anthropic)</w:t>
      </w:r>
    </w:p>
    <w:p>
      <w:pPr>
        <w:pStyle w:val="ListParagraph"/>
        <w:numPr>
          <w:ilvl w:val="0"/>
          <w:numId w:val="2"/>
        </w:numPr>
        <w:spacing w:after="40" w:before="40"/>
      </w:pPr>
      <w:r>
        <w:rPr>
          <w:rFonts w:ascii="Arial" w:cs="Arial" w:eastAsia="Arial" w:hAnsi="Arial"/>
          <w:color w:val="222222"/>
          <w:sz w:val="22"/>
          <w:szCs w:val="22"/>
        </w:rPr>
        <w:t xml:space="preserve">skill_loader.py — reads skills_M1/, parses YAML frontmatter, progressive disclosure</w:t>
      </w:r>
    </w:p>
    <w:p>
      <w:pPr>
        <w:pStyle w:val="ListParagraph"/>
        <w:numPr>
          <w:ilvl w:val="0"/>
          <w:numId w:val="2"/>
        </w:numPr>
        <w:spacing w:after="40" w:before="40"/>
      </w:pPr>
      <w:r>
        <w:rPr>
          <w:rFonts w:ascii="Arial" w:cs="Arial" w:eastAsia="Arial" w:hAnsi="Arial"/>
          <w:color w:val="222222"/>
          <w:sz w:val="22"/>
          <w:szCs w:val="22"/>
        </w:rPr>
        <w:t xml:space="preserve">database.py — all SQLite operations: sessions, turns, skill uses, surveys, rewards</w:t>
      </w:r>
    </w:p>
    <w:p>
      <w:pPr>
        <w:pStyle w:val="ListParagraph"/>
        <w:numPr>
          <w:ilvl w:val="0"/>
          <w:numId w:val="2"/>
        </w:numPr>
        <w:spacing w:after="40" w:before="40"/>
      </w:pPr>
      <w:r>
        <w:rPr>
          <w:rFonts w:ascii="Arial" w:cs="Arial" w:eastAsia="Arial" w:hAnsi="Arial"/>
          <w:color w:val="222222"/>
          <w:sz w:val="22"/>
          <w:szCs w:val="22"/>
        </w:rPr>
        <w:t xml:space="preserve">scenarios.py — scenario and survey definitions</w:t>
      </w:r>
    </w:p>
    <w:p>
      <w:pPr>
        <w:pStyle w:val="ListParagraph"/>
        <w:numPr>
          <w:ilvl w:val="0"/>
          <w:numId w:val="2"/>
        </w:numPr>
        <w:spacing w:after="40" w:before="40"/>
      </w:pPr>
      <w:r>
        <w:rPr>
          <w:rFonts w:ascii="Arial" w:cs="Arial" w:eastAsia="Arial" w:hAnsi="Arial"/>
          <w:color w:val="222222"/>
          <w:sz w:val="22"/>
          <w:szCs w:val="22"/>
        </w:rPr>
        <w:t xml:space="preserve">agent.py — pedagogical agent with robust skill-header parser</w:t>
      </w:r>
    </w:p>
    <w:p>
      <w:pPr>
        <w:pStyle w:val="ListParagraph"/>
        <w:numPr>
          <w:ilvl w:val="0"/>
          <w:numId w:val="2"/>
        </w:numPr>
        <w:spacing w:after="40" w:before="40"/>
      </w:pPr>
      <w:r>
        <w:rPr>
          <w:rFonts w:ascii="Arial" w:cs="Arial" w:eastAsia="Arial" w:hAnsi="Arial"/>
          <w:color w:val="222222"/>
          <w:sz w:val="22"/>
          <w:szCs w:val="22"/>
        </w:rPr>
        <w:t xml:space="preserve">persona.py — simulated learner with gradual understanding tracking</w:t>
      </w:r>
    </w:p>
    <w:p>
      <w:pPr>
        <w:pStyle w:val="ListParagraph"/>
        <w:numPr>
          <w:ilvl w:val="0"/>
          <w:numId w:val="2"/>
        </w:numPr>
        <w:spacing w:after="40" w:before="40"/>
      </w:pPr>
      <w:r>
        <w:rPr>
          <w:rFonts w:ascii="Arial" w:cs="Arial" w:eastAsia="Arial" w:hAnsi="Arial"/>
          <w:color w:val="222222"/>
          <w:sz w:val="22"/>
          <w:szCs w:val="22"/>
        </w:rPr>
        <w:t xml:space="preserve">reward.py — composite reward calculator</w:t>
      </w:r>
    </w:p>
    <w:p>
      <w:pPr>
        <w:pStyle w:val="ListParagraph"/>
        <w:numPr>
          <w:ilvl w:val="0"/>
          <w:numId w:val="2"/>
        </w:numPr>
        <w:spacing w:after="40" w:before="40"/>
      </w:pPr>
      <w:r>
        <w:rPr>
          <w:rFonts w:ascii="Arial" w:cs="Arial" w:eastAsia="Arial" w:hAnsi="Arial"/>
          <w:color w:val="222222"/>
          <w:sz w:val="22"/>
          <w:szCs w:val="22"/>
        </w:rPr>
        <w:t xml:space="preserve">run_experiment.py — automated batch runner (LLM persona)</w:t>
      </w:r>
    </w:p>
    <w:p>
      <w:pPr>
        <w:pStyle w:val="ListParagraph"/>
        <w:numPr>
          <w:ilvl w:val="0"/>
          <w:numId w:val="2"/>
        </w:numPr>
        <w:spacing w:after="40" w:before="40"/>
      </w:pPr>
      <w:r>
        <w:rPr>
          <w:rFonts w:ascii="Arial" w:cs="Arial" w:eastAsia="Arial" w:hAnsi="Arial"/>
          <w:color w:val="222222"/>
          <w:sz w:val="22"/>
          <w:szCs w:val="22"/>
        </w:rPr>
        <w:t xml:space="preserve">human_validation_server.py — Flask web UI (human plays the learner)</w:t>
      </w:r>
    </w:p>
    <w:p>
      <w:pPr>
        <w:pStyle w:val="ListParagraph"/>
        <w:numPr>
          <w:ilvl w:val="0"/>
          <w:numId w:val="2"/>
        </w:numPr>
        <w:spacing w:after="40" w:before="40"/>
      </w:pPr>
      <w:r>
        <w:rPr>
          <w:rFonts w:ascii="Arial" w:cs="Arial" w:eastAsia="Arial" w:hAnsi="Arial"/>
          <w:color w:val="222222"/>
          <w:sz w:val="22"/>
          <w:szCs w:val="22"/>
        </w:rPr>
        <w:t xml:space="preserve">analyse_results.py — reads SQLite DB, produces RL analysis report</w:t>
      </w:r>
    </w:p>
    <w:p>
      <w:pPr>
        <w:pStyle w:val="Heading2"/>
        <w:pBdr>
          <w:bottom w:val="single" w:color="2E75B6" w:sz="4" w:space="4"/>
        </w:pBdr>
        <w:spacing w:after="80" w:before="280"/>
      </w:pPr>
      <w:r>
        <w:rPr>
          <w:rFonts w:ascii="Arial" w:cs="Arial" w:eastAsia="Arial" w:hAnsi="Arial"/>
          <w:b/>
          <w:bCs/>
          <w:color w:val="2E75B6"/>
          <w:sz w:val="26"/>
          <w:szCs w:val="26"/>
        </w:rPr>
        <w:t xml:space="preserve">7.3 SQLite Database Schema</w:t>
      </w:r>
    </w:p>
    <w:p>
      <w:pPr>
        <w:spacing w:after="80" w:before="60" w:line="276" w:lineRule="auto"/>
      </w:pPr>
      <w:r>
        <w:rPr>
          <w:rFonts w:ascii="Arial" w:cs="Arial" w:eastAsia="Arial" w:hAnsi="Arial"/>
          <w:color w:val="222222"/>
          <w:sz w:val="22"/>
          <w:szCs w:val="22"/>
        </w:rPr>
        <w:t xml:space="preserve">Every session, turn, skill use, survey response, and reward is saved to a SQLite database with five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75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it stores</w:t>
            </w:r>
          </w:p>
        </w:tc>
      </w:tr>
      <w:tr>
        <w:tc>
          <w:tcPr>
            <w:tcW w:type="dxa" w:w="1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sessions</w:t>
            </w:r>
          </w:p>
        </w:tc>
        <w:tc>
          <w:tcPr>
            <w:tcW w:type="dxa" w:w="7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 row per episode: scenario, mode (automated/human), backend, model, status, task_solved, total_turns, timestamps</w:t>
            </w:r>
          </w:p>
        </w:tc>
      </w:tr>
      <w:tr>
        <w:tc>
          <w:tcPr>
            <w:tcW w:type="dxa" w:w="1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turns</w:t>
            </w:r>
          </w:p>
        </w:tc>
        <w:tc>
          <w:tcPr>
            <w:tcW w:type="dxa" w:w="7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message: speaker (agent/persona/human), message text, understanding level, learner_ready flag, agent_declared_solved flag</w:t>
            </w:r>
          </w:p>
        </w:tc>
      </w:tr>
      <w:tr>
        <w:tc>
          <w:tcPr>
            <w:tcW w:type="dxa" w:w="1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skill_uses</w:t>
            </w:r>
          </w:p>
        </w:tc>
        <w:tc>
          <w:tcPr>
            <w:tcW w:type="dxa" w:w="7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skill invocation: session_id, turn_id, turn_number, skill_name, reasoning (why the agent chose it)</w:t>
            </w:r>
          </w:p>
        </w:tc>
      </w:tr>
      <w:tr>
        <w:tc>
          <w:tcPr>
            <w:tcW w:type="dxa" w:w="18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survey_responses</w:t>
            </w:r>
          </w:p>
        </w:tc>
        <w:tc>
          <w:tcPr>
            <w:tcW w:type="dxa" w:w="75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survey answer: session_id, question_id, score (null for open text), comment, respondent_type (persona or human)</w:t>
            </w:r>
          </w:p>
        </w:tc>
      </w:tr>
      <w:tr>
        <w:tc>
          <w:tcPr>
            <w:tcW w:type="dxa" w:w="18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rewards</w:t>
            </w:r>
          </w:p>
        </w:tc>
        <w:tc>
          <w:tcPr>
            <w:tcW w:type="dxa" w:w="75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reward breakdown: total reward, band, task_solved_score, survey_normalised, efficiency, turns, weights</w:t>
            </w:r>
          </w:p>
        </w:tc>
      </w:tr>
    </w:tbl>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7.4 Two-Level Skill Disclosure</w:t>
      </w:r>
    </w:p>
    <w:p>
      <w:pPr>
        <w:spacing w:after="80" w:before="60" w:line="276" w:lineRule="auto"/>
      </w:pPr>
      <w:r>
        <w:rPr>
          <w:rFonts w:ascii="Arial" w:cs="Arial" w:eastAsia="Arial" w:hAnsi="Arial"/>
          <w:color w:val="222222"/>
          <w:sz w:val="22"/>
          <w:szCs w:val="22"/>
        </w:rPr>
        <w:t xml:space="preserve">The skill loader implements Anthropic's progressive disclosure design:</w:t>
      </w:r>
    </w:p>
    <w:p>
      <w:pPr>
        <w:pStyle w:val="ListParagraph"/>
        <w:numPr>
          <w:ilvl w:val="0"/>
          <w:numId w:val="2"/>
        </w:numPr>
        <w:spacing w:after="40" w:before="40"/>
      </w:pPr>
      <w:r>
        <w:rPr>
          <w:rFonts w:ascii="Arial" w:cs="Arial" w:eastAsia="Arial" w:hAnsi="Arial"/>
          <w:color w:val="222222"/>
          <w:sz w:val="22"/>
          <w:szCs w:val="22"/>
        </w:rPr>
        <w:t xml:space="preserve">At startup: name and description of all 16 skills loaded into the agent's system prompt — enough to know when each skill applies, without loading full procedure text</w:t>
      </w:r>
    </w:p>
    <w:p>
      <w:pPr>
        <w:pStyle w:val="ListParagraph"/>
        <w:numPr>
          <w:ilvl w:val="0"/>
          <w:numId w:val="2"/>
        </w:numPr>
        <w:spacing w:after="40" w:before="40"/>
      </w:pPr>
      <w:r>
        <w:rPr>
          <w:rFonts w:ascii="Arial" w:cs="Arial" w:eastAsia="Arial" w:hAnsi="Arial"/>
          <w:color w:val="222222"/>
          <w:sz w:val="22"/>
          <w:szCs w:val="22"/>
        </w:rPr>
        <w:t xml:space="preserve">Per turn: the agent selects a skill, declared in the output as SKILL: &lt;name&gt;. The full SKILL.md body is available for loading if needed for strict procedure adherence</w:t>
      </w:r>
    </w:p>
    <w:p>
      <w:pPr>
        <w:spacing w:after="80" w:before="60" w:line="276" w:lineRule="auto"/>
      </w:pPr>
      <w:r>
        <w:rPr>
          <w:rFonts w:ascii="Arial" w:cs="Arial" w:eastAsia="Arial" w:hAnsi="Arial"/>
          <w:color w:val="222222"/>
          <w:sz w:val="22"/>
          <w:szCs w:val="22"/>
        </w:rPr>
        <w:t xml:space="preserve">The agent system prompt instructs it to output SKILL: / REASONING: / TASK_SOLVED: header lines before its response. A robust parser scans all lines for these headers regardless of position in the output, fixing the 'unknown skill' problem seen in early runs where the model placed preamble text before the headers.</w:t>
      </w:r>
    </w:p>
    <w:p>
      <w:pPr>
        <w:pStyle w:val="Heading2"/>
        <w:pBdr>
          <w:bottom w:val="single" w:color="2E75B6" w:sz="4" w:space="4"/>
        </w:pBdr>
        <w:spacing w:after="80" w:before="280"/>
      </w:pPr>
      <w:r>
        <w:rPr>
          <w:rFonts w:ascii="Arial" w:cs="Arial" w:eastAsia="Arial" w:hAnsi="Arial"/>
          <w:b/>
          <w:bCs/>
          <w:color w:val="2E75B6"/>
          <w:sz w:val="26"/>
          <w:szCs w:val="26"/>
        </w:rPr>
        <w:t xml:space="preserve">7.5 Human Validation Web Interface</w:t>
      </w:r>
    </w:p>
    <w:p>
      <w:pPr>
        <w:spacing w:after="80" w:before="60" w:line="276" w:lineRule="auto"/>
      </w:pPr>
      <w:r>
        <w:rPr>
          <w:rFonts w:ascii="Arial" w:cs="Arial" w:eastAsia="Arial" w:hAnsi="Arial"/>
          <w:color w:val="222222"/>
          <w:sz w:val="22"/>
          <w:szCs w:val="22"/>
        </w:rPr>
        <w:t xml:space="preserve">A Flask server provides a chat interface where a real human plays the learner. The interface shows the agent's skill tag under each bubble (e.g. 'skill: diagnose-zpd'), allows the human to end the session and fill the same 5-question survey, and saves results in the same SQLite schema as automated runs. This enables direct comparison between LLM-persona results and human-participant results in the analysis.</w:t>
      </w:r>
    </w:p>
    <w:p>
      <w:pPr>
        <w:spacing w:after="80" w:before="60" w:line="276" w:lineRule="auto"/>
      </w:pPr>
      <w:r>
        <w:rPr>
          <w:rFonts w:ascii="Arial" w:cs="Arial" w:eastAsia="Arial" w:hAnsi="Arial"/>
          <w:color w:val="222222"/>
          <w:sz w:val="22"/>
          <w:szCs w:val="22"/>
        </w:rPr>
        <w:t xml:space="preserve">Routes: / (scenario picker), /chat/&lt;scenario_id&gt; (chat UI), /results (dashboard showing all sessions), /api/db-stats (JSON database statistics).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8. Early Experiments and Debugging</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8.1 First Runs: Four Bugs Discovered</w:t>
      </w:r>
    </w:p>
    <w:p>
      <w:pPr>
        <w:spacing w:after="80" w:before="60" w:line="276" w:lineRule="auto"/>
      </w:pPr>
      <w:r>
        <w:rPr>
          <w:rFonts w:ascii="Arial" w:cs="Arial" w:eastAsia="Arial" w:hAnsi="Arial"/>
          <w:color w:val="222222"/>
          <w:sz w:val="22"/>
          <w:szCs w:val="22"/>
        </w:rPr>
        <w:t xml:space="preserve">The first batch run (5 runs, S01, Qwen2.5-7B-Instruct) revealed four distinct bugs simultaneously:</w:t>
      </w:r>
    </w:p>
    <w:p>
      <w:pPr>
        <w:pStyle w:val="Heading3"/>
        <w:spacing w:after="60" w:before="200"/>
      </w:pPr>
      <w:r>
        <w:rPr>
          <w:rFonts w:ascii="Arial" w:cs="Arial" w:eastAsia="Arial" w:hAnsi="Arial"/>
          <w:b/>
          <w:bCs/>
          <w:color w:val="17375E"/>
          <w:sz w:val="22"/>
          <w:szCs w:val="22"/>
        </w:rPr>
        <w:t xml:space="preserve">Bug 1 — Wrong Scenario Content</w:t>
      </w:r>
    </w:p>
    <w:p>
      <w:pPr>
        <w:spacing w:after="80" w:before="60" w:line="276" w:lineRule="auto"/>
      </w:pPr>
      <w:r>
        <w:rPr>
          <w:rFonts w:ascii="Arial" w:cs="Arial" w:eastAsia="Arial" w:hAnsi="Arial"/>
          <w:color w:val="222222"/>
          <w:sz w:val="22"/>
          <w:szCs w:val="22"/>
        </w:rPr>
        <w:t xml:space="preserve">S01 was running a 'research methods for teachers' perceptions of digital tools in geography' scenario correctly — but that was wrong because the scenarios.py file on the local machine had been replaced with a different version that did not match the keys in run_experiment.py's SCENARIO_ID_MAP. The SCENARIO_ID_MAP was pointing to keys that did not exist in the local scenarios.py, causing an old version of scenarios (from an intermediate development state) to be used. Fixed by: rewriting scenarios.py with the correct three personas (Mary/John/Liam) and aligning SCENARIO_ID_MAP exactly to the new keys.</w:t>
      </w:r>
    </w:p>
    <w:p>
      <w:pPr>
        <w:pStyle w:val="Heading3"/>
        <w:spacing w:after="60" w:before="200"/>
      </w:pPr>
      <w:r>
        <w:rPr>
          <w:rFonts w:ascii="Arial" w:cs="Arial" w:eastAsia="Arial" w:hAnsi="Arial"/>
          <w:b/>
          <w:bCs/>
          <w:color w:val="17375E"/>
          <w:sz w:val="22"/>
          <w:szCs w:val="22"/>
        </w:rPr>
        <w:t xml:space="preserve">Bug 2 — Skill Parser Breaking After Turn 2</w:t>
      </w:r>
    </w:p>
    <w:p>
      <w:pPr>
        <w:spacing w:after="80" w:before="60" w:line="276" w:lineRule="auto"/>
      </w:pPr>
      <w:r>
        <w:rPr>
          <w:rFonts w:ascii="Arial" w:cs="Arial" w:eastAsia="Arial" w:hAnsi="Arial"/>
          <w:color w:val="222222"/>
          <w:sz w:val="22"/>
          <w:szCs w:val="22"/>
        </w:rPr>
        <w:t xml:space="preserve">From turn 3 onward, all skills showed 'unknown' in the output. The original parser only read lines until it encountered non-header content, so when the LLM put any preamble text before SKILL:, the header was missed. Fixed by: rewriting the parser to scan every line of the full response, with case-insensitive and partial-match fallbacks. Also added explicit format instructions to the system prompt: 'SKILL: must appear on the first line, no preamble'.</w:t>
      </w:r>
    </w:p>
    <w:p>
      <w:pPr>
        <w:pStyle w:val="Heading3"/>
        <w:spacing w:after="60" w:before="200"/>
      </w:pPr>
      <w:r>
        <w:rPr>
          <w:rFonts w:ascii="Arial" w:cs="Arial" w:eastAsia="Arial" w:hAnsi="Arial"/>
          <w:b/>
          <w:bCs/>
          <w:color w:val="17375E"/>
          <w:sz w:val="22"/>
          <w:szCs w:val="22"/>
        </w:rPr>
        <w:t xml:space="preserve">Bug 3 — 402 Payment Required</w:t>
      </w:r>
    </w:p>
    <w:p>
      <w:pPr>
        <w:spacing w:after="80" w:before="60" w:line="276" w:lineRule="auto"/>
      </w:pPr>
      <w:r>
        <w:rPr>
          <w:rFonts w:ascii="Arial" w:cs="Arial" w:eastAsia="Arial" w:hAnsi="Arial"/>
          <w:color w:val="222222"/>
          <w:sz w:val="22"/>
          <w:szCs w:val="22"/>
        </w:rPr>
        <w:t xml:space="preserve">The HuggingFace InferenceClient was routing to router.huggingface.co/together (a paid Together AI endpoint) instead of the free api-inference.huggingface.co endpoint. Root cause: HF_PROVIDER=together was set both in model_config.py and as a shell environment variable (export HF_PROVIDER=together in ~/.zshrc). Newer versions of huggingface_hub (≥0.24) read this variable and route to third-party providers. Fixed by: removing HF_PROVIDER from model_config.py entirely, adding os.environ.pop('HF_PROVIDER', None) at the very first line of api_client.py, and forcing base_url='https://api-inference.huggingface.co/v1' in InferenceClient.</w:t>
      </w:r>
    </w:p>
    <w:p>
      <w:pPr>
        <w:pStyle w:val="Heading3"/>
        <w:spacing w:after="60" w:before="200"/>
      </w:pPr>
      <w:r>
        <w:rPr>
          <w:rFonts w:ascii="Arial" w:cs="Arial" w:eastAsia="Arial" w:hAnsi="Arial"/>
          <w:b/>
          <w:bCs/>
          <w:color w:val="17375E"/>
          <w:sz w:val="22"/>
          <w:szCs w:val="22"/>
        </w:rPr>
        <w:t xml:space="preserve">Bug 4 — Understanding Level Always 0</w:t>
      </w:r>
    </w:p>
    <w:p>
      <w:pPr>
        <w:spacing w:after="80" w:before="60" w:line="276" w:lineRule="auto"/>
      </w:pPr>
      <w:r>
        <w:rPr>
          <w:rFonts w:ascii="Arial" w:cs="Arial" w:eastAsia="Arial" w:hAnsi="Arial"/>
          <w:color w:val="222222"/>
          <w:sz w:val="22"/>
          <w:szCs w:val="22"/>
        </w:rPr>
        <w:t xml:space="preserve">The persona's UNDERSTANDING_LEVEL was always 0 across all turns despite successful conversations. The persona system prompt was not clearly instructing the model to update the level, and the parser was fragile. Fixed by: adding explicit scale instructions ('Start at 1-2, only reach 8+ when genuinely clear'), enforcing the metadata lines-first format in the system prompt, and adding clamping (max(0, min(10, int(...)))) to the parser.</w:t>
      </w:r>
    </w:p>
    <w:p>
      <w:pPr>
        <w:pStyle w:val="Heading2"/>
        <w:pBdr>
          <w:bottom w:val="single" w:color="2E75B6" w:sz="4" w:space="4"/>
        </w:pBdr>
        <w:spacing w:after="80" w:before="280"/>
      </w:pPr>
      <w:r>
        <w:rPr>
          <w:rFonts w:ascii="Arial" w:cs="Arial" w:eastAsia="Arial" w:hAnsi="Arial"/>
          <w:b/>
          <w:bCs/>
          <w:color w:val="2E75B6"/>
          <w:sz w:val="26"/>
          <w:szCs w:val="26"/>
        </w:rPr>
        <w:t xml:space="preserve">8.2 SSL Certificate Failures</w:t>
      </w:r>
    </w:p>
    <w:p>
      <w:pPr>
        <w:spacing w:after="80" w:before="60" w:line="276" w:lineRule="auto"/>
      </w:pPr>
      <w:r>
        <w:rPr>
          <w:rFonts w:ascii="Arial" w:cs="Arial" w:eastAsia="Arial" w:hAnsi="Arial"/>
          <w:color w:val="222222"/>
          <w:sz w:val="22"/>
          <w:szCs w:val="22"/>
        </w:rPr>
        <w:t xml:space="preserve">After fixing the above four bugs, a new error appeared: SSLError — certificate verify failed for api-inference.huggingface.co. This was a Mac/conda environment issue where the system CA store does not trust the Google Cloud Load Balancer certificate used by HF's API. Three SSL fixes were applied:</w:t>
      </w:r>
    </w:p>
    <w:p>
      <w:pPr>
        <w:pStyle w:val="ListParagraph"/>
        <w:numPr>
          <w:ilvl w:val="0"/>
          <w:numId w:val="2"/>
        </w:numPr>
        <w:spacing w:after="40" w:before="40"/>
      </w:pPr>
      <w:r>
        <w:rPr>
          <w:rFonts w:ascii="Arial" w:cs="Arial" w:eastAsia="Arial" w:hAnsi="Arial"/>
          <w:color w:val="222222"/>
          <w:sz w:val="22"/>
          <w:szCs w:val="22"/>
        </w:rPr>
        <w:t xml:space="preserve">Module-level SSL env injection: REQUESTS_CA_BUNDLE, SSL_CERT_FILE, and CURL_CA_BUNDLE set to certifi's CA bundle before any import</w:t>
      </w:r>
    </w:p>
    <w:p>
      <w:pPr>
        <w:pStyle w:val="ListParagraph"/>
        <w:numPr>
          <w:ilvl w:val="0"/>
          <w:numId w:val="2"/>
        </w:numPr>
        <w:spacing w:after="40" w:before="40"/>
      </w:pPr>
      <w:r>
        <w:rPr>
          <w:rFonts w:ascii="Arial" w:cs="Arial" w:eastAsia="Arial" w:hAnsi="Arial"/>
          <w:color w:val="222222"/>
          <w:sz w:val="22"/>
          <w:szCs w:val="22"/>
        </w:rPr>
        <w:t xml:space="preserve">requests.Session monkey-patch: Session.__init__ overridden at class level so every session — past and future — uses certifi certs</w:t>
      </w:r>
    </w:p>
    <w:p>
      <w:pPr>
        <w:pStyle w:val="ListParagraph"/>
        <w:numPr>
          <w:ilvl w:val="0"/>
          <w:numId w:val="2"/>
        </w:numPr>
        <w:spacing w:after="40" w:before="40"/>
      </w:pPr>
      <w:r>
        <w:rPr>
          <w:rFonts w:ascii="Arial" w:cs="Arial" w:eastAsia="Arial" w:hAnsi="Arial"/>
          <w:color w:val="222222"/>
          <w:sz w:val="22"/>
          <w:szCs w:val="22"/>
        </w:rPr>
        <w:t xml:space="preserve">urllib explicit SSL context: all urllib calls use ssl.create_default_context(cafile=certifi.where())</w:t>
      </w:r>
    </w:p>
    <w:p>
      <w:pPr>
        <w:pStyle w:val="Heading2"/>
        <w:pBdr>
          <w:bottom w:val="single" w:color="2E75B6" w:sz="4" w:space="4"/>
        </w:pBdr>
        <w:spacing w:after="80" w:before="280"/>
      </w:pPr>
      <w:r>
        <w:rPr>
          <w:rFonts w:ascii="Arial" w:cs="Arial" w:eastAsia="Arial" w:hAnsi="Arial"/>
          <w:b/>
          <w:bCs/>
          <w:color w:val="2E75B6"/>
          <w:sz w:val="26"/>
          <w:szCs w:val="26"/>
        </w:rPr>
        <w:t xml:space="preserve">8.3 'Received both model and base_url' Error</w:t>
      </w:r>
    </w:p>
    <w:p>
      <w:pPr>
        <w:spacing w:after="80" w:before="60" w:line="276" w:lineRule="auto"/>
      </w:pPr>
      <w:r>
        <w:rPr>
          <w:rFonts w:ascii="Arial" w:cs="Arial" w:eastAsia="Arial" w:hAnsi="Arial"/>
          <w:color w:val="222222"/>
          <w:sz w:val="22"/>
          <w:szCs w:val="22"/>
        </w:rPr>
        <w:t xml:space="preserve">In huggingface_hub 0.29.2, base_url is an alias for the model parameter in InferenceClient. Passing both raises 'Received both model and base_url arguments'. Fixed by: passing only base_url to InferenceClient() and passing model= only in chat.completions.create() where it is an HTTP request body field rather than a constructor parameter.</w:t>
      </w:r>
    </w:p>
    <w:p>
      <w:pPr>
        <w:pStyle w:val="Heading2"/>
        <w:pBdr>
          <w:bottom w:val="single" w:color="2E75B6" w:sz="4" w:space="4"/>
        </w:pBdr>
        <w:spacing w:after="80" w:before="280"/>
      </w:pPr>
      <w:r>
        <w:rPr>
          <w:rFonts w:ascii="Arial" w:cs="Arial" w:eastAsia="Arial" w:hAnsi="Arial"/>
          <w:b/>
          <w:bCs/>
          <w:color w:val="2E75B6"/>
          <w:sz w:val="26"/>
          <w:szCs w:val="26"/>
        </w:rPr>
        <w:t xml:space="preserve">8.4 DNS Resolution Failure</w:t>
      </w:r>
    </w:p>
    <w:p>
      <w:pPr>
        <w:spacing w:after="80" w:before="60" w:line="276" w:lineRule="auto"/>
      </w:pPr>
      <w:r>
        <w:rPr>
          <w:rFonts w:ascii="Arial" w:cs="Arial" w:eastAsia="Arial" w:hAnsi="Arial"/>
          <w:color w:val="222222"/>
          <w:sz w:val="22"/>
          <w:szCs w:val="22"/>
        </w:rPr>
        <w:t xml:space="preserve">In an earlier conda environment (PA), api-inference.huggingface.co could not be resolved by the system DNS. The SQL_tutor environment resolved it correctly. The diagnostic tool revealed the difference. The environment-level fix was to switch to the SQL_tutor conda environment where DNS resolution worked for this hostname.</w:t>
      </w:r>
    </w:p>
    <w:p>
      <w:pPr>
        <w:pStyle w:val="Heading2"/>
        <w:pBdr>
          <w:bottom w:val="single" w:color="2E75B6" w:sz="4" w:space="4"/>
        </w:pBdr>
        <w:spacing w:after="80" w:before="280"/>
      </w:pPr>
      <w:r>
        <w:rPr>
          <w:rFonts w:ascii="Arial" w:cs="Arial" w:eastAsia="Arial" w:hAnsi="Arial"/>
          <w:b/>
          <w:bCs/>
          <w:color w:val="2E75B6"/>
          <w:sz w:val="26"/>
          <w:szCs w:val="26"/>
        </w:rPr>
        <w:t xml:space="preserve">8.5 Successful Early Run Observed</w:t>
      </w:r>
    </w:p>
    <w:p>
      <w:pPr>
        <w:spacing w:after="80" w:before="60" w:line="276" w:lineRule="auto"/>
      </w:pPr>
      <w:r>
        <w:rPr>
          <w:rFonts w:ascii="Arial" w:cs="Arial" w:eastAsia="Arial" w:hAnsi="Arial"/>
          <w:color w:val="222222"/>
          <w:sz w:val="22"/>
          <w:szCs w:val="22"/>
        </w:rPr>
        <w:t xml:space="preserve">A partially successful run was observed: Episodes 1 and 2 of a 5-run batch completed with rewards of 0.8221 (GOOD) and 0.8671 (EXCELLENT) before the network error crashed episode 4. This confirmed that the core loop — agent skill selection, persona response, understanding tracking, survey, and reward calculation — was functioning correctly. The skill sequence in the best episode was: challenge-assumptions → challenge-assumptions → probe-intended-decisions (turns 1–3, solved in 3 turns).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9. Preliminary Experiment Results</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9.1 Status of Results</w:t>
      </w:r>
    </w:p>
    <w:p>
      <w:pPr>
        <w:spacing w:after="80" w:before="60" w:line="276" w:lineRule="auto"/>
      </w:pPr>
      <w:r>
        <w:rPr>
          <w:rFonts w:ascii="Arial" w:cs="Arial" w:eastAsia="Arial" w:hAnsi="Arial"/>
          <w:color w:val="222222"/>
          <w:sz w:val="22"/>
          <w:szCs w:val="22"/>
        </w:rPr>
        <w:t xml:space="preserve">At the time of writing, the experiment system is fully implemented and verified but the full 5-run batch across all three scenarios has not yet completed without network interruption. The partial results observed are documented here. Full results will be added as the system runs stably.</w:t>
      </w:r>
    </w:p>
    <w:p>
      <w:pPr>
        <w:pStyle w:val="Heading2"/>
        <w:pBdr>
          <w:bottom w:val="single" w:color="2E75B6" w:sz="4" w:space="4"/>
        </w:pBdr>
        <w:spacing w:after="80" w:before="280"/>
      </w:pPr>
      <w:r>
        <w:rPr>
          <w:rFonts w:ascii="Arial" w:cs="Arial" w:eastAsia="Arial" w:hAnsi="Arial"/>
          <w:b/>
          <w:bCs/>
          <w:color w:val="2E75B6"/>
          <w:sz w:val="26"/>
          <w:szCs w:val="26"/>
        </w:rPr>
        <w:t xml:space="preserve">9.2 Partial Results from S01 (Mary — Digital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1200"/>
        <w:gridCol w:w="42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Episode</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Turns</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Solved</w:t>
            </w:r>
          </w:p>
        </w:tc>
        <w:tc>
          <w:tcPr>
            <w:tcW w:type="dxa" w:w="9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Reward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Band</w:t>
            </w:r>
          </w:p>
        </w:tc>
        <w:tc>
          <w:tcPr>
            <w:tcW w:type="dxa" w:w="426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Skill Sequence</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S01_run01</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0.8221</w:t>
            </w:r>
          </w:p>
        </w:tc>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GOOD</w:t>
            </w:r>
          </w:p>
        </w:tc>
        <w:tc>
          <w:tcPr>
            <w:tcW w:type="dxa" w:w="42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challenge-assumptions → challenge-assumptions → challenge-assumptions</w:t>
            </w:r>
          </w:p>
        </w:tc>
      </w:tr>
      <w:tr>
        <w:tc>
          <w:tcPr>
            <w:tcW w:type="dxa" w:w="12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S01_run02</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3</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9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0.8671</w:t>
            </w:r>
          </w:p>
        </w:tc>
        <w:tc>
          <w:tcPr>
            <w:tcW w:type="dxa" w:w="120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EXCELLENT</w:t>
            </w:r>
          </w:p>
        </w:tc>
        <w:tc>
          <w:tcPr>
            <w:tcW w:type="dxa" w:w="4260"/>
            <w:tcBorders>
              <w:top w:val="single" w:color="C8D3E0" w:sz="1"/>
              <w:left w:val="single" w:color="C8D3E0" w:sz="1"/>
              <w:bottom w:val="single" w:color="C8D3E0" w:sz="1"/>
              <w:right w:val="single" w:color="C8D3E0" w:sz="1"/>
            </w:tcBorders>
            <w:shd w:fill="F2F2F2" w:val="clear"/>
            <w:tcMar>
              <w:top w:type="dxa" w:w="80"/>
              <w:left w:type="dxa" w:w="140"/>
              <w:bottom w:type="dxa" w:w="80"/>
              <w:right w:type="dxa" w:w="140"/>
            </w:tcMar>
          </w:tcPr>
          <w:p>
            <w:r>
              <w:rPr>
                <w:rFonts w:ascii="Arial" w:cs="Arial" w:eastAsia="Arial" w:hAnsi="Arial"/>
                <w:b w:val="false"/>
                <w:bCs w:val="false"/>
                <w:color w:val="1A1A1A"/>
                <w:sz w:val="20"/>
                <w:szCs w:val="20"/>
              </w:rPr>
              <w:t xml:space="preserve">challenge-assumptions → challenge-assumptions → probe-intended-decisions</w:t>
            </w:r>
          </w:p>
        </w:tc>
      </w:tr>
      <w:tr>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S01_run03</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14</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9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0.30</w:t>
            </w:r>
          </w:p>
        </w:tc>
        <w:tc>
          <w:tcPr>
            <w:tcW w:type="dxa" w:w="120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POOR</w:t>
            </w:r>
          </w:p>
        </w:tc>
        <w:tc>
          <w:tcPr>
            <w:tcW w:type="dxa" w:w="4260"/>
            <w:tcBorders>
              <w:top w:val="single" w:color="C8D3E0" w:sz="1"/>
              <w:left w:val="single" w:color="C8D3E0" w:sz="1"/>
              <w:bottom w:val="single" w:color="C8D3E0" w:sz="1"/>
              <w:right w:val="single" w:color="C8D3E0"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challenge-assumptions × 2 → unknown × 12 (parser bug, pre-fix)</w:t>
            </w:r>
          </w:p>
        </w:tc>
      </w:tr>
    </w:tbl>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9.3 Observations from Early Runs</w:t>
      </w:r>
    </w:p>
    <w:p>
      <w:pPr>
        <w:spacing w:after="80" w:before="60" w:line="276" w:lineRule="auto"/>
      </w:pPr>
      <w:r>
        <w:rPr>
          <w:rFonts w:ascii="Arial" w:cs="Arial" w:eastAsia="Arial" w:hAnsi="Arial"/>
          <w:color w:val="222222"/>
          <w:sz w:val="22"/>
          <w:szCs w:val="22"/>
        </w:rPr>
        <w:t xml:space="preserve">Several preliminary observations emerge from the partial results:</w:t>
      </w:r>
    </w:p>
    <w:p>
      <w:pPr>
        <w:pStyle w:val="ListParagraph"/>
        <w:numPr>
          <w:ilvl w:val="0"/>
          <w:numId w:val="2"/>
        </w:numPr>
        <w:spacing w:after="40" w:before="40"/>
      </w:pPr>
      <w:r>
        <w:rPr>
          <w:rFonts w:ascii="Arial" w:cs="Arial" w:eastAsia="Arial" w:hAnsi="Arial"/>
          <w:color w:val="222222"/>
          <w:sz w:val="22"/>
          <w:szCs w:val="22"/>
        </w:rPr>
        <w:t xml:space="preserve">When the system worked correctly, tasks were solved in 3 turns — well below the 14-turn maximum. This suggests the skill-equipped agent is reasonably efficient for this scenario.</w:t>
      </w:r>
    </w:p>
    <w:p>
      <w:pPr>
        <w:pStyle w:val="ListParagraph"/>
        <w:numPr>
          <w:ilvl w:val="0"/>
          <w:numId w:val="2"/>
        </w:numPr>
        <w:spacing w:after="40" w:before="40"/>
      </w:pPr>
      <w:r>
        <w:rPr>
          <w:rFonts w:ascii="Arial" w:cs="Arial" w:eastAsia="Arial" w:hAnsi="Arial"/>
          <w:color w:val="222222"/>
          <w:sz w:val="22"/>
          <w:szCs w:val="22"/>
        </w:rPr>
        <w:t xml:space="preserve">The agent consistently selected challenge-assumptions as its opening skill for S01 (Mary). This is pedagogically appropriate: Mary's misconception is that complex methods are inherently stronger, which is an unexamined assumption that needs surfacing before any other skill can land.</w:t>
      </w:r>
    </w:p>
    <w:p>
      <w:pPr>
        <w:pStyle w:val="ListParagraph"/>
        <w:numPr>
          <w:ilvl w:val="0"/>
          <w:numId w:val="2"/>
        </w:numPr>
        <w:spacing w:after="40" w:before="40"/>
      </w:pPr>
      <w:r>
        <w:rPr>
          <w:rFonts w:ascii="Arial" w:cs="Arial" w:eastAsia="Arial" w:hAnsi="Arial"/>
          <w:color w:val="222222"/>
          <w:sz w:val="22"/>
          <w:szCs w:val="22"/>
        </w:rPr>
        <w:t xml:space="preserve">The transition from challenge-assumptions to probe-intended-decisions in the highest-scoring episode (0.8671) suggests a skill chain: first surface the assumption, then help the student think through her actual decision. This is consistent with Clutterbuck's mentoring model.</w:t>
      </w:r>
    </w:p>
    <w:p>
      <w:pPr>
        <w:pStyle w:val="ListParagraph"/>
        <w:numPr>
          <w:ilvl w:val="0"/>
          <w:numId w:val="2"/>
        </w:numPr>
        <w:spacing w:after="40" w:before="40"/>
      </w:pPr>
      <w:r>
        <w:rPr>
          <w:rFonts w:ascii="Arial" w:cs="Arial" w:eastAsia="Arial" w:hAnsi="Arial"/>
          <w:color w:val="222222"/>
          <w:sz w:val="22"/>
          <w:szCs w:val="22"/>
        </w:rPr>
        <w:t xml:space="preserve">The POOR result (0.30) was caused by the skill parser bug (pre-fix), where the agent's skill selection defaulted to 'unknown' from turn 3 onward, destroying coherence. This validates the importance of the parser fix.</w:t>
      </w:r>
    </w:p>
    <w:p>
      <w:pPr>
        <w:pStyle w:val="ListParagraph"/>
        <w:numPr>
          <w:ilvl w:val="0"/>
          <w:numId w:val="2"/>
        </w:numPr>
        <w:spacing w:after="40" w:before="40"/>
      </w:pPr>
      <w:r>
        <w:rPr>
          <w:rFonts w:ascii="Arial" w:cs="Arial" w:eastAsia="Arial" w:hAnsi="Arial"/>
          <w:color w:val="222222"/>
          <w:sz w:val="22"/>
          <w:szCs w:val="22"/>
        </w:rPr>
        <w:t xml:space="preserve">Understanding level was always 0 in pre-fix runs (Bug 4 above). Post-fix, the persona correctly updates understanding across turns.</w:t>
      </w:r>
    </w:p>
    <w:p>
      <w:pPr>
        <w:pStyle w:val="Heading2"/>
        <w:pBdr>
          <w:bottom w:val="single" w:color="2E75B6" w:sz="4" w:space="4"/>
        </w:pBdr>
        <w:spacing w:after="80" w:before="280"/>
      </w:pPr>
      <w:r>
        <w:rPr>
          <w:rFonts w:ascii="Arial" w:cs="Arial" w:eastAsia="Arial" w:hAnsi="Arial"/>
          <w:b/>
          <w:bCs/>
          <w:color w:val="2E75B6"/>
          <w:sz w:val="26"/>
          <w:szCs w:val="26"/>
        </w:rPr>
        <w:t xml:space="preserve">9.4 Reward Distribution Context</w:t>
      </w:r>
    </w:p>
    <w:p>
      <w:pPr>
        <w:spacing w:after="80" w:before="60" w:line="276" w:lineRule="auto"/>
      </w:pPr>
      <w:r>
        <w:rPr>
          <w:rFonts w:ascii="Arial" w:cs="Arial" w:eastAsia="Arial" w:hAnsi="Arial"/>
          <w:color w:val="222222"/>
          <w:sz w:val="22"/>
          <w:szCs w:val="22"/>
        </w:rPr>
        <w:t xml:space="preserve">The reward function weights task completion most heavily (50%), reflecting that pedagogical effectiveness is ultimately judged by whether the learning goal was achieved. Survey satisfaction (30%) captures the learner's experience quality. Efficiency (20%) rewards minimal-turn solutions, incentivising the agent to avoid padding conversations. A session solved in 3 of 14 turns with high survey scores achieves EXCELLENT; a session that reaches max turns without solving achieves at most ACCEPTABLE even with high survey scores.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10. Analysis Capability</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10.1 RL Policy Derivation</w:t>
      </w:r>
    </w:p>
    <w:p>
      <w:pPr>
        <w:spacing w:after="80" w:before="60" w:line="276" w:lineRule="auto"/>
      </w:pPr>
      <w:r>
        <w:rPr>
          <w:rFonts w:ascii="Arial" w:cs="Arial" w:eastAsia="Arial" w:hAnsi="Arial"/>
          <w:color w:val="222222"/>
          <w:sz w:val="22"/>
          <w:szCs w:val="22"/>
        </w:rPr>
        <w:t xml:space="preserve">After sufficient runs (recommended: 5–10 per scenario), the analyse_results.py script reads the SQLite database and produces:</w:t>
      </w:r>
    </w:p>
    <w:p>
      <w:pPr>
        <w:pStyle w:val="ListParagraph"/>
        <w:numPr>
          <w:ilvl w:val="0"/>
          <w:numId w:val="2"/>
        </w:numPr>
        <w:spacing w:after="40" w:before="40"/>
      </w:pPr>
      <w:r>
        <w:rPr>
          <w:rFonts w:ascii="Arial" w:cs="Arial" w:eastAsia="Arial" w:hAnsi="Arial"/>
          <w:color w:val="222222"/>
          <w:sz w:val="22"/>
          <w:szCs w:val="22"/>
        </w:rPr>
        <w:t xml:space="preserve">Skill frequency by reward band: which skills appear more in high-reward versus low-reward episodes</w:t>
      </w:r>
    </w:p>
    <w:p>
      <w:pPr>
        <w:pStyle w:val="ListParagraph"/>
        <w:numPr>
          <w:ilvl w:val="0"/>
          <w:numId w:val="2"/>
        </w:numPr>
        <w:spacing w:after="40" w:before="40"/>
      </w:pPr>
      <w:r>
        <w:rPr>
          <w:rFonts w:ascii="Arial" w:cs="Arial" w:eastAsia="Arial" w:hAnsi="Arial"/>
          <w:color w:val="222222"/>
          <w:sz w:val="22"/>
          <w:szCs w:val="22"/>
        </w:rPr>
        <w:t xml:space="preserve">Best skill per turn position: for each turn 1, 2, 3, ..., which skill had the highest mean reward — this is the derived pedagogical policy</w:t>
      </w:r>
    </w:p>
    <w:p>
      <w:pPr>
        <w:pStyle w:val="ListParagraph"/>
        <w:numPr>
          <w:ilvl w:val="0"/>
          <w:numId w:val="2"/>
        </w:numPr>
        <w:spacing w:after="40" w:before="40"/>
      </w:pPr>
      <w:r>
        <w:rPr>
          <w:rFonts w:ascii="Arial" w:cs="Arial" w:eastAsia="Arial" w:hAnsi="Arial"/>
          <w:color w:val="222222"/>
          <w:sz w:val="22"/>
          <w:szCs w:val="22"/>
        </w:rPr>
        <w:t xml:space="preserve">Human vs LLM persona comparison: whether the simulated persona is too easy or too agreeable relative to human learners</w:t>
      </w:r>
    </w:p>
    <w:p>
      <w:pPr>
        <w:pStyle w:val="ListParagraph"/>
        <w:numPr>
          <w:ilvl w:val="0"/>
          <w:numId w:val="2"/>
        </w:numPr>
        <w:spacing w:after="40" w:before="40"/>
      </w:pPr>
      <w:r>
        <w:rPr>
          <w:rFonts w:ascii="Arial" w:cs="Arial" w:eastAsia="Arial" w:hAnsi="Arial"/>
          <w:color w:val="222222"/>
          <w:sz w:val="22"/>
          <w:szCs w:val="22"/>
        </w:rPr>
        <w:t xml:space="preserve">M2 positive demonstrations: high-reward skill sequences become preferred examples for GRPO-style reward-guided selection</w:t>
      </w:r>
    </w:p>
    <w:p>
      <w:pPr>
        <w:pStyle w:val="ListParagraph"/>
        <w:numPr>
          <w:ilvl w:val="0"/>
          <w:numId w:val="2"/>
        </w:numPr>
        <w:spacing w:after="40" w:before="40"/>
      </w:pPr>
      <w:r>
        <w:rPr>
          <w:rFonts w:ascii="Arial" w:cs="Arial" w:eastAsia="Arial" w:hAnsi="Arial"/>
          <w:color w:val="222222"/>
          <w:sz w:val="22"/>
          <w:szCs w:val="22"/>
        </w:rPr>
        <w:t xml:space="preserve">M5 synthesis candidates: adjacent skills co-occurring in high-reward sequences are candidates for compositional synthesis</w:t>
      </w:r>
    </w:p>
    <w:p>
      <w:pPr>
        <w:pStyle w:val="Heading2"/>
        <w:pBdr>
          <w:bottom w:val="single" w:color="2E75B6" w:sz="4" w:space="4"/>
        </w:pBdr>
        <w:spacing w:after="80" w:before="280"/>
      </w:pPr>
      <w:r>
        <w:rPr>
          <w:rFonts w:ascii="Arial" w:cs="Arial" w:eastAsia="Arial" w:hAnsi="Arial"/>
          <w:b/>
          <w:bCs/>
          <w:color w:val="2E75B6"/>
          <w:sz w:val="26"/>
          <w:szCs w:val="26"/>
        </w:rPr>
        <w:t xml:space="preserve">10.2 Database Queries</w:t>
      </w:r>
    </w:p>
    <w:p>
      <w:pPr>
        <w:spacing w:after="80" w:before="60" w:line="276" w:lineRule="auto"/>
      </w:pPr>
      <w:r>
        <w:rPr>
          <w:rFonts w:ascii="Arial" w:cs="Arial" w:eastAsia="Arial" w:hAnsi="Arial"/>
          <w:color w:val="222222"/>
          <w:sz w:val="22"/>
          <w:szCs w:val="22"/>
        </w:rPr>
        <w:t xml:space="preserve">The SQLite database supports direct SQL analysis. Example query for skill effectiveness:</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SELECT skill_name, COUNT(*) as uses, AVG(r.total_reward) as avg_reward FROM skill_uses su JOIN rewards r ON r.session_id = su.session_id GROUP BY skill_name ORDER BY avg_reward DESC;</w:t>
      </w:r>
    </w:p>
    <w:p>
      <w:pPr>
        <w:spacing w:after="80" w:before="60" w:line="276" w:lineRule="auto"/>
      </w:pPr>
      <w:r>
        <w:rPr>
          <w:rFonts w:ascii="Arial" w:cs="Arial" w:eastAsia="Arial" w:hAnsi="Arial"/>
          <w:color w:val="222222"/>
          <w:sz w:val="22"/>
          <w:szCs w:val="22"/>
        </w:rPr>
        <w:t xml:space="preserve">This directly answers: which skills, when used, correlate with higher rewards — giving an empirical basis for the RL policy rather than relying on theoretical predictions alone.</w:t>
      </w:r>
    </w:p>
    <w:p>
      <w:pPr>
        <w:pStyle w:val="Heading2"/>
        <w:pBdr>
          <w:bottom w:val="single" w:color="2E75B6" w:sz="4" w:space="4"/>
        </w:pBdr>
        <w:spacing w:after="80" w:before="280"/>
      </w:pPr>
      <w:r>
        <w:rPr>
          <w:rFonts w:ascii="Arial" w:cs="Arial" w:eastAsia="Arial" w:hAnsi="Arial"/>
          <w:b/>
          <w:bCs/>
          <w:color w:val="2E75B6"/>
          <w:sz w:val="26"/>
          <w:szCs w:val="26"/>
        </w:rPr>
        <w:t xml:space="preserve">10.3 Human vs LLM Validation</w:t>
      </w:r>
    </w:p>
    <w:p>
      <w:pPr>
        <w:spacing w:after="80" w:before="60" w:line="276" w:lineRule="auto"/>
      </w:pPr>
      <w:r>
        <w:rPr>
          <w:rFonts w:ascii="Arial" w:cs="Arial" w:eastAsia="Arial" w:hAnsi="Arial"/>
          <w:color w:val="222222"/>
          <w:sz w:val="22"/>
          <w:szCs w:val="22"/>
        </w:rPr>
        <w:t xml:space="preserve">The two-mode design (automated LLM persona + human validation web UI) enables systematic comparison. If human sessions show lower solve rates or lower survey scores than LLM-persona sessions, this indicates the persona is too easy — a well-known problem with LLM-as-evaluator setups where simulated learners tend to be too cooperative and too quickly satisfied. The analysis report includes a dedicated human vs LLM comparison section for this purpose.</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11. Future Work</w:t>
      </w:r>
    </w:p>
    <w:p>
      <w:pPr>
        <w:spacing w:after="60" w:before="60"/>
      </w:pPr>
      <w:r>
        <w:t xml:space="preserve"/>
      </w:r>
    </w:p>
    <w:p>
      <w:pPr>
        <w:pStyle w:val="Heading2"/>
        <w:pBdr>
          <w:bottom w:val="single" w:color="2E75B6" w:sz="4" w:space="4"/>
        </w:pBdr>
        <w:spacing w:after="80" w:before="280"/>
      </w:pPr>
      <w:r>
        <w:rPr>
          <w:rFonts w:ascii="Arial" w:cs="Arial" w:eastAsia="Arial" w:hAnsi="Arial"/>
          <w:b/>
          <w:bCs/>
          <w:color w:val="2E75B6"/>
          <w:sz w:val="26"/>
          <w:szCs w:val="26"/>
        </w:rPr>
        <w:t xml:space="preserve">11.1 Complete the M1 Baseline Experiment</w:t>
      </w:r>
    </w:p>
    <w:p>
      <w:pPr>
        <w:spacing w:after="80" w:before="60" w:line="276" w:lineRule="auto"/>
      </w:pPr>
      <w:r>
        <w:rPr>
          <w:rFonts w:ascii="Arial" w:cs="Arial" w:eastAsia="Arial" w:hAnsi="Arial"/>
          <w:color w:val="222222"/>
          <w:sz w:val="22"/>
          <w:szCs w:val="22"/>
        </w:rPr>
        <w:t xml:space="preserve">Run the full 72-scenario matrix (18 skills × 4 methods) with 5+ runs per scenario to generate sufficient data for the RL analysis. The current implementation supports this via python run_experiment.py --scenario all --runs 5.</w:t>
      </w:r>
    </w:p>
    <w:p>
      <w:pPr>
        <w:pStyle w:val="Heading2"/>
        <w:pBdr>
          <w:bottom w:val="single" w:color="2E75B6" w:sz="4" w:space="4"/>
        </w:pBdr>
        <w:spacing w:after="80" w:before="280"/>
      </w:pPr>
      <w:r>
        <w:rPr>
          <w:rFonts w:ascii="Arial" w:cs="Arial" w:eastAsia="Arial" w:hAnsi="Arial"/>
          <w:b/>
          <w:bCs/>
          <w:color w:val="2E75B6"/>
          <w:sz w:val="26"/>
          <w:szCs w:val="26"/>
        </w:rPr>
        <w:t xml:space="preserve">11.2 Implement M2 (RL / GRPO)</w:t>
      </w:r>
    </w:p>
    <w:p>
      <w:pPr>
        <w:spacing w:after="80" w:before="60" w:line="276" w:lineRule="auto"/>
      </w:pPr>
      <w:r>
        <w:rPr>
          <w:rFonts w:ascii="Arial" w:cs="Arial" w:eastAsia="Arial" w:hAnsi="Arial"/>
          <w:color w:val="222222"/>
          <w:sz w:val="22"/>
          <w:szCs w:val="22"/>
        </w:rPr>
        <w:t xml:space="preserve">Use the high-reward skill sequences from M1 runs as positive GRPO demonstrations. Low-reward sequences become negative examples. The M2 agent is then trained (or prompted with preference pairs) to select skills in the manner of high-reward episodes. This creates a reward-guided skill selection policy that can be compared to the naive M1 baseline.</w:t>
      </w:r>
    </w:p>
    <w:p>
      <w:pPr>
        <w:pStyle w:val="Heading2"/>
        <w:pBdr>
          <w:bottom w:val="single" w:color="2E75B6" w:sz="4" w:space="4"/>
        </w:pBdr>
        <w:spacing w:after="80" w:before="280"/>
      </w:pPr>
      <w:r>
        <w:rPr>
          <w:rFonts w:ascii="Arial" w:cs="Arial" w:eastAsia="Arial" w:hAnsi="Arial"/>
          <w:b/>
          <w:bCs/>
          <w:color w:val="2E75B6"/>
          <w:sz w:val="26"/>
          <w:szCs w:val="26"/>
        </w:rPr>
        <w:t xml:space="preserve">11.3 Implement M5 (Compositional Skill Synthesis)</w:t>
      </w:r>
    </w:p>
    <w:p>
      <w:pPr>
        <w:spacing w:after="80" w:before="60" w:line="276" w:lineRule="auto"/>
      </w:pPr>
      <w:r>
        <w:rPr>
          <w:rFonts w:ascii="Arial" w:cs="Arial" w:eastAsia="Arial" w:hAnsi="Arial"/>
          <w:color w:val="222222"/>
          <w:sz w:val="22"/>
          <w:szCs w:val="22"/>
        </w:rPr>
        <w:t xml:space="preserve">Extract adjacent skill pairs from high-reward M1 episodes. Skills that consistently co-occur in winning episodes are candidates for synthesis into higher-level composite skills (e.g., 'challenge-assumptions then probe-intended-decisions' as a single 'reflective-decision-support' skill). Test whether composite skills outperform the component skills applied separately.</w:t>
      </w:r>
    </w:p>
    <w:p>
      <w:pPr>
        <w:pStyle w:val="Heading2"/>
        <w:pBdr>
          <w:bottom w:val="single" w:color="2E75B6" w:sz="4" w:space="4"/>
        </w:pBdr>
        <w:spacing w:after="80" w:before="280"/>
      </w:pPr>
      <w:r>
        <w:rPr>
          <w:rFonts w:ascii="Arial" w:cs="Arial" w:eastAsia="Arial" w:hAnsi="Arial"/>
          <w:b/>
          <w:bCs/>
          <w:color w:val="2E75B6"/>
          <w:sz w:val="26"/>
          <w:szCs w:val="26"/>
        </w:rPr>
        <w:t xml:space="preserve">11.4 Implement M6 (Single Agent Replacing Multi-Agent)</w:t>
      </w:r>
    </w:p>
    <w:p>
      <w:pPr>
        <w:spacing w:after="80" w:before="60" w:line="276" w:lineRule="auto"/>
      </w:pPr>
      <w:r>
        <w:rPr>
          <w:rFonts w:ascii="Arial" w:cs="Arial" w:eastAsia="Arial" w:hAnsi="Arial"/>
          <w:color w:val="222222"/>
          <w:sz w:val="22"/>
          <w:szCs w:val="22"/>
        </w:rPr>
        <w:t xml:space="preserve">Design a multi-agent baseline where separate specialised agents handle tutor, teacher, and mentor roles. Compare this to a single agent with the full 16-skill library. Measure whether the single agent achieves comparable or better performance with lower complexity.</w:t>
      </w:r>
    </w:p>
    <w:p>
      <w:pPr>
        <w:pStyle w:val="Heading2"/>
        <w:pBdr>
          <w:bottom w:val="single" w:color="2E75B6" w:sz="4" w:space="4"/>
        </w:pBdr>
        <w:spacing w:after="80" w:before="280"/>
      </w:pPr>
      <w:r>
        <w:rPr>
          <w:rFonts w:ascii="Arial" w:cs="Arial" w:eastAsia="Arial" w:hAnsi="Arial"/>
          <w:b/>
          <w:bCs/>
          <w:color w:val="2E75B6"/>
          <w:sz w:val="26"/>
          <w:szCs w:val="26"/>
        </w:rPr>
        <w:t xml:space="preserve">11.5 CLPR Expert Validation</w:t>
      </w:r>
    </w:p>
    <w:p>
      <w:pPr>
        <w:spacing w:after="80" w:before="60" w:line="276" w:lineRule="auto"/>
      </w:pPr>
      <w:r>
        <w:rPr>
          <w:rFonts w:ascii="Arial" w:cs="Arial" w:eastAsia="Arial" w:hAnsi="Arial"/>
          <w:color w:val="222222"/>
          <w:sz w:val="22"/>
          <w:szCs w:val="22"/>
        </w:rPr>
        <w:t xml:space="preserve">Complete the expert validation of CLPR by distributing the prepared questionnaire to educational experts. Compare CLPR scores with expert ratings across rubric dimensions. Use results to identify which dimensions need refinement and whether CLPR can be trusted as an automatic evaluator.</w:t>
      </w:r>
    </w:p>
    <w:p>
      <w:pPr>
        <w:pStyle w:val="Heading2"/>
        <w:pBdr>
          <w:bottom w:val="single" w:color="2E75B6" w:sz="4" w:space="4"/>
        </w:pBdr>
        <w:spacing w:after="80" w:before="280"/>
      </w:pPr>
      <w:r>
        <w:rPr>
          <w:rFonts w:ascii="Arial" w:cs="Arial" w:eastAsia="Arial" w:hAnsi="Arial"/>
          <w:b/>
          <w:bCs/>
          <w:color w:val="2E75B6"/>
          <w:sz w:val="26"/>
          <w:szCs w:val="26"/>
        </w:rPr>
        <w:t xml:space="preserve">11.6 Extend Scenarios to Full 72-Scenario Matrix</w:t>
      </w:r>
    </w:p>
    <w:p>
      <w:pPr>
        <w:spacing w:after="80" w:before="60" w:line="276" w:lineRule="auto"/>
      </w:pPr>
      <w:r>
        <w:rPr>
          <w:rFonts w:ascii="Arial" w:cs="Arial" w:eastAsia="Arial" w:hAnsi="Arial"/>
          <w:color w:val="222222"/>
          <w:sz w:val="22"/>
          <w:szCs w:val="22"/>
        </w:rPr>
        <w:t xml:space="preserve">Add 15 more scenarios to the current 3, covering all 18 skills across all educational roles (tutor, teacher, educator, mentor). Include scenarios for tasks beyond research supervision — lesson planning, formative assessment, curriculum alignment, and reflective practice.</w:t>
      </w:r>
    </w:p>
    <w:p>
      <w:pPr>
        <w:pStyle w:val="Heading2"/>
        <w:pBdr>
          <w:bottom w:val="single" w:color="2E75B6" w:sz="4" w:space="4"/>
        </w:pBdr>
        <w:spacing w:after="80" w:before="280"/>
      </w:pPr>
      <w:r>
        <w:rPr>
          <w:rFonts w:ascii="Arial" w:cs="Arial" w:eastAsia="Arial" w:hAnsi="Arial"/>
          <w:b/>
          <w:bCs/>
          <w:color w:val="2E75B6"/>
          <w:sz w:val="26"/>
          <w:szCs w:val="26"/>
        </w:rPr>
        <w:t xml:space="preserve">11.7 Harder Persona Calibration</w:t>
      </w:r>
    </w:p>
    <w:p>
      <w:pPr>
        <w:spacing w:after="80" w:before="60" w:line="276" w:lineRule="auto"/>
      </w:pPr>
      <w:r>
        <w:rPr>
          <w:rFonts w:ascii="Arial" w:cs="Arial" w:eastAsia="Arial" w:hAnsi="Arial"/>
          <w:color w:val="222222"/>
          <w:sz w:val="22"/>
          <w:szCs w:val="22"/>
        </w:rPr>
        <w:t xml:space="preserve">The early runs suggest the LLM persona may be too cooperative. Future work includes: increasing persona stubbornness (harder to convince), adding persona backsliding (understanding level drops if explanations confuse), and introducing more varied emotional states. Human validation sessions will provide the calibration target.</w:t>
      </w:r>
    </w:p>
    <w:p>
      <w:pPr>
        <w:pStyle w:val="Heading2"/>
        <w:pBdr>
          <w:bottom w:val="single" w:color="2E75B6" w:sz="4" w:space="4"/>
        </w:pBdr>
        <w:spacing w:after="80" w:before="280"/>
      </w:pPr>
      <w:r>
        <w:rPr>
          <w:rFonts w:ascii="Arial" w:cs="Arial" w:eastAsia="Arial" w:hAnsi="Arial"/>
          <w:b/>
          <w:bCs/>
          <w:color w:val="2E75B6"/>
          <w:sz w:val="26"/>
          <w:szCs w:val="26"/>
        </w:rPr>
        <w:t xml:space="preserve">11.8 Evaluation Framework Extension</w:t>
      </w:r>
    </w:p>
    <w:p>
      <w:pPr>
        <w:spacing w:after="80" w:before="60" w:line="276" w:lineRule="auto"/>
      </w:pPr>
      <w:r>
        <w:rPr>
          <w:rFonts w:ascii="Arial" w:cs="Arial" w:eastAsia="Arial" w:hAnsi="Arial"/>
          <w:color w:val="222222"/>
          <w:sz w:val="22"/>
          <w:szCs w:val="22"/>
        </w:rPr>
        <w:t xml:space="preserve">CLPR currently evaluates lesson plans. A complementary rubric is needed for tutoring dialogue quality: feedback quality, questioning quality, misconception diagnosis accuracy, adaptivity to learner level, learner engagement, and pedagogical strategy use. This rubric should be validated against expert judgement before being used as an automatic evaluator.</w:t>
      </w:r>
    </w:p>
    <w:p>
      <w:pPr>
        <w:pStyle w:val="Heading2"/>
        <w:pBdr>
          <w:bottom w:val="single" w:color="2E75B6" w:sz="4" w:space="4"/>
        </w:pBdr>
        <w:spacing w:after="80" w:before="280"/>
      </w:pPr>
      <w:r>
        <w:rPr>
          <w:rFonts w:ascii="Arial" w:cs="Arial" w:eastAsia="Arial" w:hAnsi="Arial"/>
          <w:b/>
          <w:bCs/>
          <w:color w:val="2E75B6"/>
          <w:sz w:val="26"/>
          <w:szCs w:val="26"/>
        </w:rPr>
        <w:t xml:space="preserve">11.9 Upgrade to Larger Models</w:t>
      </w:r>
    </w:p>
    <w:p>
      <w:pPr>
        <w:spacing w:after="80" w:before="60" w:line="276" w:lineRule="auto"/>
      </w:pPr>
      <w:r>
        <w:rPr>
          <w:rFonts w:ascii="Arial" w:cs="Arial" w:eastAsia="Arial" w:hAnsi="Arial"/>
          <w:color w:val="222222"/>
          <w:sz w:val="22"/>
          <w:szCs w:val="22"/>
        </w:rPr>
        <w:t xml:space="preserve">Current experiments use Qwen2.5-7B-Instruct (free tier). Future experiments should compare 7B, 14B, and 70B variants to understand the relationship between model size and pedagogical skill execution quality. Expected hypothesis: larger models better follow the skill procedure (Level 2 disclosure) but may not select better skills at Level 1. This would have implications for deployment decisions.</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12. Summary</w:t>
      </w:r>
    </w:p>
    <w:p>
      <w:pPr>
        <w:spacing w:after="60" w:before="60"/>
      </w:pPr>
      <w:r>
        <w:t xml:space="preserve"/>
      </w:r>
    </w:p>
    <w:p>
      <w:pPr>
        <w:spacing w:after="80" w:before="60" w:line="276" w:lineRule="auto"/>
      </w:pPr>
      <w:r>
        <w:rPr>
          <w:rFonts w:ascii="Arial" w:cs="Arial" w:eastAsia="Arial" w:hAnsi="Arial"/>
          <w:color w:val="222222"/>
          <w:sz w:val="22"/>
          <w:szCs w:val="22"/>
        </w:rPr>
        <w:t xml:space="preserve">This project has, to date, accomplished the following:</w:t>
      </w:r>
    </w:p>
    <w:p>
      <w:pPr>
        <w:pStyle w:val="ListParagraph"/>
        <w:numPr>
          <w:ilvl w:val="0"/>
          <w:numId w:val="2"/>
        </w:numPr>
        <w:spacing w:after="40" w:before="40"/>
      </w:pPr>
      <w:r>
        <w:rPr>
          <w:rFonts w:ascii="Arial" w:cs="Arial" w:eastAsia="Arial" w:hAnsi="Arial"/>
          <w:color w:val="222222"/>
          <w:sz w:val="22"/>
          <w:szCs w:val="22"/>
        </w:rPr>
        <w:t xml:space="preserve">Reviewed six research frameworks (Shulman, Vygotsky/Wood, Hattie, Kolb, Kram, Clutterbuck, Biggs) and extracted educator, teacher, and mentor roles from each</w:t>
      </w:r>
    </w:p>
    <w:p>
      <w:pPr>
        <w:pStyle w:val="ListParagraph"/>
        <w:numPr>
          <w:ilvl w:val="0"/>
          <w:numId w:val="2"/>
        </w:numPr>
        <w:spacing w:after="40" w:before="40"/>
      </w:pPr>
      <w:r>
        <w:rPr>
          <w:rFonts w:ascii="Arial" w:cs="Arial" w:eastAsia="Arial" w:hAnsi="Arial"/>
          <w:color w:val="222222"/>
          <w:sz w:val="22"/>
          <w:szCs w:val="22"/>
        </w:rPr>
        <w:t xml:space="preserve">Applied a three-criterion conversion test to transform roles into 16 discrete agent skills</w:t>
      </w:r>
    </w:p>
    <w:p>
      <w:pPr>
        <w:pStyle w:val="ListParagraph"/>
        <w:numPr>
          <w:ilvl w:val="0"/>
          <w:numId w:val="2"/>
        </w:numPr>
        <w:spacing w:after="40" w:before="40"/>
      </w:pPr>
      <w:r>
        <w:rPr>
          <w:rFonts w:ascii="Arial" w:cs="Arial" w:eastAsia="Arial" w:hAnsi="Arial"/>
          <w:color w:val="222222"/>
          <w:sz w:val="22"/>
          <w:szCs w:val="22"/>
        </w:rPr>
        <w:t xml:space="preserve">Written all 16 skills as SKILL.md files in the Anthropic two-level progressive disclosure format</w:t>
      </w:r>
    </w:p>
    <w:p>
      <w:pPr>
        <w:pStyle w:val="ListParagraph"/>
        <w:numPr>
          <w:ilvl w:val="0"/>
          <w:numId w:val="2"/>
        </w:numPr>
        <w:spacing w:after="40" w:before="40"/>
      </w:pPr>
      <w:r>
        <w:rPr>
          <w:rFonts w:ascii="Arial" w:cs="Arial" w:eastAsia="Arial" w:hAnsi="Arial"/>
          <w:color w:val="222222"/>
          <w:sz w:val="22"/>
          <w:szCs w:val="22"/>
        </w:rPr>
        <w:t xml:space="preserve">Implemented a complete RL experiment system: agent, persona, reward, database, analysis, and human validation web UI</w:t>
      </w:r>
    </w:p>
    <w:p>
      <w:pPr>
        <w:pStyle w:val="ListParagraph"/>
        <w:numPr>
          <w:ilvl w:val="0"/>
          <w:numId w:val="2"/>
        </w:numPr>
        <w:spacing w:after="40" w:before="40"/>
      </w:pPr>
      <w:r>
        <w:rPr>
          <w:rFonts w:ascii="Arial" w:cs="Arial" w:eastAsia="Arial" w:hAnsi="Arial"/>
          <w:color w:val="222222"/>
          <w:sz w:val="22"/>
          <w:szCs w:val="22"/>
        </w:rPr>
        <w:t xml:space="preserve">Defined three PhD/Masters supervisory scenarios grounded in real dialogues (Mary, John, Liam)</w:t>
      </w:r>
    </w:p>
    <w:p>
      <w:pPr>
        <w:pStyle w:val="ListParagraph"/>
        <w:numPr>
          <w:ilvl w:val="0"/>
          <w:numId w:val="2"/>
        </w:numPr>
        <w:spacing w:after="40" w:before="40"/>
      </w:pPr>
      <w:r>
        <w:rPr>
          <w:rFonts w:ascii="Arial" w:cs="Arial" w:eastAsia="Arial" w:hAnsi="Arial"/>
          <w:color w:val="222222"/>
          <w:sz w:val="22"/>
          <w:szCs w:val="22"/>
        </w:rPr>
        <w:t xml:space="preserve">Discovered and fixed four experiment bugs plus three infrastructure bugs (SSL, DNS, API routing) through systematic debugging</w:t>
      </w:r>
    </w:p>
    <w:p>
      <w:pPr>
        <w:pStyle w:val="ListParagraph"/>
        <w:numPr>
          <w:ilvl w:val="0"/>
          <w:numId w:val="2"/>
        </w:numPr>
        <w:spacing w:after="40" w:before="40"/>
      </w:pPr>
      <w:r>
        <w:rPr>
          <w:rFonts w:ascii="Arial" w:cs="Arial" w:eastAsia="Arial" w:hAnsi="Arial"/>
          <w:color w:val="222222"/>
          <w:sz w:val="22"/>
          <w:szCs w:val="22"/>
        </w:rPr>
        <w:t xml:space="preserve">Observed preliminary results showing the skill-equipped agent achieving EXCELLENT (0.87) in 3 turns for the S01 scenario when working correctly</w:t>
      </w:r>
    </w:p>
    <w:p>
      <w:pPr>
        <w:spacing w:after="80" w:before="60" w:line="276" w:lineRule="auto"/>
      </w:pPr>
      <w:r>
        <w:rPr>
          <w:rFonts w:ascii="Arial" w:cs="Arial" w:eastAsia="Arial" w:hAnsi="Arial"/>
          <w:color w:val="222222"/>
          <w:sz w:val="22"/>
          <w:szCs w:val="22"/>
        </w:rPr>
        <w:t xml:space="preserve">The system is now ready for full-scale experimentation. The next steps are: complete the M1 baseline, implement M2/M5/M6, validate against human participants, and extend CLPR to cover tutoring quality.</w:t>
      </w:r>
    </w:p>
    <w:p>
      <w:pPr>
        <w:pBdr>
          <w:left w:val="single" w:color="2E75B6" w:sz="16" w:space="4"/>
        </w:pBdr>
        <w:shd w:fill="F2F2F2" w:val="clear"/>
        <w:spacing w:after="120" w:before="120"/>
        <w:ind w:left="360" w:right="360"/>
      </w:pPr>
      <w:r>
        <w:rPr>
          <w:rFonts w:ascii="Arial" w:cs="Arial" w:eastAsia="Arial" w:hAnsi="Arial"/>
          <w:i/>
          <w:iCs/>
          <w:color w:val="1F3864"/>
          <w:sz w:val="22"/>
          <w:szCs w:val="22"/>
        </w:rPr>
        <w:t xml:space="preserve">The core claim this project is building evidence for: pedagogical skills grounded in educational research, when loaded into an LLM agent via a structured skill library, produce measurably better supervisory and tutoring interactions than unstructured LLM responses — and this improvement can be quantified, analysed, and used as a reward signal for further improvement.</w:t>
      </w:r>
    </w:p>
    <w:p>
      <w:r>
        <w:br w:type="page"/>
      </w:r>
    </w:p>
    <w:p>
      <w:pPr>
        <w:pStyle w:val="Heading1"/>
        <w:shd w:fill="1F4E79" w:val="clear"/>
        <w:spacing w:after="120" w:before="360"/>
        <w:ind w:left="240" w:right="240"/>
      </w:pPr>
      <w:r>
        <w:rPr>
          <w:rFonts w:ascii="Arial" w:cs="Arial" w:eastAsia="Arial" w:hAnsi="Arial"/>
          <w:b/>
          <w:bCs/>
          <w:color w:val="FFFFFF"/>
          <w:sz w:val="32"/>
          <w:szCs w:val="32"/>
        </w:rPr>
        <w:t xml:space="preserve">References</w:t>
      </w:r>
    </w:p>
    <w:p>
      <w:pPr>
        <w:spacing w:after="60" w:before="60"/>
      </w:pPr>
      <w:r>
        <w:t xml:space="preserve"/>
      </w:r>
    </w:p>
    <w:p>
      <w:pPr>
        <w:spacing w:after="80" w:before="60" w:line="276" w:lineRule="auto"/>
      </w:pPr>
      <w:r>
        <w:rPr>
          <w:rFonts w:ascii="Arial" w:cs="Arial" w:eastAsia="Arial" w:hAnsi="Arial"/>
          <w:color w:val="222222"/>
          <w:sz w:val="22"/>
          <w:szCs w:val="22"/>
        </w:rPr>
        <w:t xml:space="preserve">Anderson, L. W., &amp; Krathwohl, D. R. (Eds.). (2001). A taxonomy for learning, teaching, and assessing. Longman.</w:t>
      </w:r>
    </w:p>
    <w:p>
      <w:pPr>
        <w:spacing w:after="80" w:before="60" w:line="276" w:lineRule="auto"/>
      </w:pPr>
      <w:r>
        <w:rPr>
          <w:rFonts w:ascii="Arial" w:cs="Arial" w:eastAsia="Arial" w:hAnsi="Arial"/>
          <w:color w:val="222222"/>
          <w:sz w:val="22"/>
          <w:szCs w:val="22"/>
        </w:rPr>
        <w:t xml:space="preserve">Biggs, J., &amp; Tang, C. (2011). Teaching for quality learning at university (4th ed.). Open University Press / McGraw-Hill.</w:t>
      </w:r>
    </w:p>
    <w:p>
      <w:pPr>
        <w:spacing w:after="80" w:before="60" w:line="276" w:lineRule="auto"/>
      </w:pPr>
      <w:r>
        <w:rPr>
          <w:rFonts w:ascii="Arial" w:cs="Arial" w:eastAsia="Arial" w:hAnsi="Arial"/>
          <w:color w:val="222222"/>
          <w:sz w:val="22"/>
          <w:szCs w:val="22"/>
        </w:rPr>
        <w:t xml:space="preserve">Bloom, B. S. (Ed.). (1956). Taxonomy of educational objectives. Longmans.</w:t>
      </w:r>
    </w:p>
    <w:p>
      <w:pPr>
        <w:spacing w:after="80" w:before="60" w:line="276" w:lineRule="auto"/>
      </w:pPr>
      <w:r>
        <w:rPr>
          <w:rFonts w:ascii="Arial" w:cs="Arial" w:eastAsia="Arial" w:hAnsi="Arial"/>
          <w:color w:val="222222"/>
          <w:sz w:val="22"/>
          <w:szCs w:val="22"/>
        </w:rPr>
        <w:t xml:space="preserve">Clutterbuck, D. (2004). Everyone needs a mentor. CIPD.</w:t>
      </w:r>
    </w:p>
    <w:p>
      <w:pPr>
        <w:spacing w:after="80" w:before="60" w:line="276" w:lineRule="auto"/>
      </w:pPr>
      <w:r>
        <w:rPr>
          <w:rFonts w:ascii="Arial" w:cs="Arial" w:eastAsia="Arial" w:hAnsi="Arial"/>
          <w:color w:val="222222"/>
          <w:sz w:val="22"/>
          <w:szCs w:val="22"/>
        </w:rPr>
        <w:t xml:space="preserve">Clutterbuck, D. (2015). In coaching and mentoring. Routledge.</w:t>
      </w:r>
    </w:p>
    <w:p>
      <w:pPr>
        <w:spacing w:after="80" w:before="60" w:line="276" w:lineRule="auto"/>
      </w:pPr>
      <w:r>
        <w:rPr>
          <w:rFonts w:ascii="Arial" w:cs="Arial" w:eastAsia="Arial" w:hAnsi="Arial"/>
          <w:color w:val="222222"/>
          <w:sz w:val="22"/>
          <w:szCs w:val="22"/>
        </w:rPr>
        <w:t xml:space="preserve">Hattie, J. (2009). Visible learning. Routledge.</w:t>
      </w:r>
    </w:p>
    <w:p>
      <w:pPr>
        <w:spacing w:after="80" w:before="60" w:line="276" w:lineRule="auto"/>
      </w:pPr>
      <w:r>
        <w:rPr>
          <w:rFonts w:ascii="Arial" w:cs="Arial" w:eastAsia="Arial" w:hAnsi="Arial"/>
          <w:color w:val="222222"/>
          <w:sz w:val="22"/>
          <w:szCs w:val="22"/>
        </w:rPr>
        <w:t xml:space="preserve">Hattie, J., &amp; Timperley, H. (2007). The power of feedback. Review of Educational Research, 77(1), 81–112.</w:t>
      </w:r>
    </w:p>
    <w:p>
      <w:pPr>
        <w:spacing w:after="80" w:before="60" w:line="276" w:lineRule="auto"/>
      </w:pPr>
      <w:r>
        <w:rPr>
          <w:rFonts w:ascii="Arial" w:cs="Arial" w:eastAsia="Arial" w:hAnsi="Arial"/>
          <w:color w:val="222222"/>
          <w:sz w:val="22"/>
          <w:szCs w:val="22"/>
        </w:rPr>
        <w:t xml:space="preserve">Kolb, A. Y., Kolb, D. A., Passarelli, A., &amp; Sharma, G. (2014). On becoming an experiential educator. Simulation &amp; Gaming, 45(2), 204–234.</w:t>
      </w:r>
    </w:p>
    <w:p>
      <w:pPr>
        <w:spacing w:after="80" w:before="60" w:line="276" w:lineRule="auto"/>
      </w:pPr>
      <w:r>
        <w:rPr>
          <w:rFonts w:ascii="Arial" w:cs="Arial" w:eastAsia="Arial" w:hAnsi="Arial"/>
          <w:color w:val="222222"/>
          <w:sz w:val="22"/>
          <w:szCs w:val="22"/>
        </w:rPr>
        <w:t xml:space="preserve">Kolb, D. A. (1984). Experiential learning. Prentice-Hall.</w:t>
      </w:r>
    </w:p>
    <w:p>
      <w:pPr>
        <w:spacing w:after="80" w:before="60" w:line="276" w:lineRule="auto"/>
      </w:pPr>
      <w:r>
        <w:rPr>
          <w:rFonts w:ascii="Arial" w:cs="Arial" w:eastAsia="Arial" w:hAnsi="Arial"/>
          <w:color w:val="222222"/>
          <w:sz w:val="22"/>
          <w:szCs w:val="22"/>
        </w:rPr>
        <w:t xml:space="preserve">Kram, K. E. (1983). Phases of the mentor relationship. Academy of Management Journal, 26(4), 608–625.</w:t>
      </w:r>
    </w:p>
    <w:p>
      <w:pPr>
        <w:spacing w:after="80" w:before="60" w:line="276" w:lineRule="auto"/>
      </w:pPr>
      <w:r>
        <w:rPr>
          <w:rFonts w:ascii="Arial" w:cs="Arial" w:eastAsia="Arial" w:hAnsi="Arial"/>
          <w:color w:val="222222"/>
          <w:sz w:val="22"/>
          <w:szCs w:val="22"/>
        </w:rPr>
        <w:t xml:space="preserve">Kram, K. E. (1985). Mentoring at work. Scott Foresman.</w:t>
      </w:r>
    </w:p>
    <w:p>
      <w:pPr>
        <w:spacing w:after="80" w:before="60" w:line="276" w:lineRule="auto"/>
      </w:pPr>
      <w:r>
        <w:rPr>
          <w:rFonts w:ascii="Arial" w:cs="Arial" w:eastAsia="Arial" w:hAnsi="Arial"/>
          <w:color w:val="222222"/>
          <w:sz w:val="22"/>
          <w:szCs w:val="22"/>
        </w:rPr>
        <w:t xml:space="preserve">Shulman, L. S. (1986). Those who understand: Knowledge growth in teaching. Educational Researcher, 15(2), 4–14.</w:t>
      </w:r>
    </w:p>
    <w:p>
      <w:pPr>
        <w:spacing w:after="80" w:before="60" w:line="276" w:lineRule="auto"/>
      </w:pPr>
      <w:r>
        <w:rPr>
          <w:rFonts w:ascii="Arial" w:cs="Arial" w:eastAsia="Arial" w:hAnsi="Arial"/>
          <w:color w:val="222222"/>
          <w:sz w:val="22"/>
          <w:szCs w:val="22"/>
        </w:rPr>
        <w:t xml:space="preserve">Shulman, L. S. (1987). Knowledge and teaching: Foundations of the new reform. Harvard Educational Review, 57(1), 1–22.</w:t>
      </w:r>
    </w:p>
    <w:p>
      <w:pPr>
        <w:spacing w:after="80" w:before="60" w:line="276" w:lineRule="auto"/>
      </w:pPr>
      <w:r>
        <w:rPr>
          <w:rFonts w:ascii="Arial" w:cs="Arial" w:eastAsia="Arial" w:hAnsi="Arial"/>
          <w:color w:val="222222"/>
          <w:sz w:val="22"/>
          <w:szCs w:val="22"/>
        </w:rPr>
        <w:t xml:space="preserve">Vygotsky, L. S. (1978). Mind in society. Harvard University Press.</w:t>
      </w:r>
    </w:p>
    <w:p>
      <w:pPr>
        <w:spacing w:after="80" w:before="60" w:line="276" w:lineRule="auto"/>
      </w:pPr>
      <w:r>
        <w:rPr>
          <w:rFonts w:ascii="Arial" w:cs="Arial" w:eastAsia="Arial" w:hAnsi="Arial"/>
          <w:color w:val="222222"/>
          <w:sz w:val="22"/>
          <w:szCs w:val="22"/>
        </w:rPr>
        <w:t xml:space="preserve">Wood, D., Bruner, J. S., &amp; Ross, G. (1976). The role of tutoring in problem solving. Journal of Child Psychology and Psychiatry, 17(2), 89–100.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before="0"/>
    </w:pPr>
    <w:r>
      <w:rPr>
        <w:rFonts w:ascii="Arial" w:cs="Arial" w:eastAsia="Arial" w:hAnsi="Arial"/>
        <w:color w:val="555555"/>
        <w:sz w:val="18"/>
        <w:szCs w:val="18"/>
      </w:rPr>
      <w:t xml:space="preserve">Pedagogical Skills in GenAI Educational Agents</w:t>
    </w:r>
    <w:r>
      <w:rPr>
        <w:rFonts w:ascii="Arial" w:cs="Arial" w:eastAsia="Arial" w:hAnsi="Arial"/>
        <w:color w:val="888888"/>
        <w:sz w:val="18"/>
        <w:szCs w:val="18"/>
      </w:rPr>
      <w:t xml:space="preserve">  |  Research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2026-05-28T12:59:55.526Z</dcterms:created>
  <dcterms:modified xsi:type="dcterms:W3CDTF">2026-05-28T12:59:55.540Z</dcterms:modified>
</cp:coreProperties>
</file>

<file path=docProps/custom.xml><?xml version="1.0" encoding="utf-8"?>
<Properties xmlns="http://schemas.openxmlformats.org/officeDocument/2006/custom-properties" xmlns:vt="http://schemas.openxmlformats.org/officeDocument/2006/docPropsVTypes"/>
</file>