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About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Raynor Garage Doors of Central Nebraska has been an authorized dealer dedicated to providing exceptional garage door sales, installation, repair, and service.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sz w:val="36"/>
          <w:szCs w:val="36"/>
        </w:rPr>
      </w:pPr>
      <w:r w:rsidDel="00000000" w:rsidR="00000000" w:rsidRPr="00000000">
        <w:rPr>
          <w:b w:val="1"/>
          <w:bCs w:val="1"/>
          <w:sz w:val="36"/>
          <w:szCs w:val="36"/>
          <w:rtl w:val="0"/>
        </w:rPr>
        <w:t xml:space="preserve">26 Years of Excellence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Raynor Garage Doors of Central Nebraska is a name Lincoln homeowners and businesses can count on. As an authorized Raynor dealer, we bring factory-backed products, professional installation, and honest service to every project we take on — because a garage door is only as good as the team standing behind it. We are proud to serve Lincoln and the surrounding communities, and we approach every job with the same care and commitment that has defined our company since its founding in 1999.</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36"/>
          <w:szCs w:val="36"/>
        </w:rPr>
      </w:pPr>
      <w:r w:rsidDel="00000000" w:rsidR="00000000" w:rsidRPr="00000000">
        <w:rPr>
          <w:b w:val="1"/>
          <w:bCs w:val="1"/>
          <w:sz w:val="36"/>
          <w:szCs w:val="36"/>
          <w:rtl w:val="0"/>
        </w:rPr>
        <w:t xml:space="preserve">Our History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story of Raynor Garage Doors of Central Nebraska began in 1999 when owner Tom Quinn launched the company from his home garage in Hastings with one truck and a vision for honest, community-focused service. From that single-vehicle start, the business grew steadily into a multi-location dealership trusted across Central Nebraska. In October 2025, that growth brought us to Lincoln — and we couldn't be more proud to call this community home.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April 15, 1999 –</w:t>
      </w:r>
      <w:r w:rsidDel="00000000" w:rsidR="00000000" w:rsidRPr="00000000">
        <w:rPr>
          <w:rtl w:val="0"/>
        </w:rPr>
        <w:t xml:space="preserve"> Raynor Garage Doors of Central Nebraska opens for business out of Tom and Joan Quinn's home garage in Hastings.</w:t>
      </w:r>
    </w:p>
    <w:p w:rsidR="00000000" w:rsidDel="00000000" w:rsidP="00000000" w:rsidRDefault="00000000" w:rsidRPr="00000000" w14:paraId="00000012">
      <w:pPr>
        <w:numPr>
          <w:ilvl w:val="0"/>
          <w:numId w:val="1"/>
        </w:numPr>
        <w:ind w:left="720" w:hanging="360"/>
        <w:rPr>
          <w:highlight w:val="yellow"/>
        </w:rPr>
      </w:pPr>
      <w:r w:rsidDel="00000000" w:rsidR="00000000" w:rsidRPr="00000000">
        <w:rPr>
          <w:b w:val="1"/>
          <w:bCs w:val="1"/>
          <w:highlight w:val="yellow"/>
          <w:rtl w:val="0"/>
        </w:rPr>
        <w:t xml:space="preserve">2001 –</w:t>
      </w:r>
      <w:r w:rsidDel="00000000" w:rsidR="00000000" w:rsidRPr="00000000">
        <w:rPr>
          <w:highlight w:val="yellow"/>
          <w:rtl w:val="0"/>
        </w:rPr>
        <w:t xml:space="preserve"> A dedicated showroom opens at 110 S. Hastings, giving customers a place to see products in person.</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2009 –</w:t>
      </w:r>
      <w:r w:rsidDel="00000000" w:rsidR="00000000" w:rsidRPr="00000000">
        <w:rPr>
          <w:rtl w:val="0"/>
        </w:rPr>
        <w:t xml:space="preserve"> The company relocates to 212 N. Lexington, combining showroom and warehouse under one roof.</w:t>
      </w:r>
    </w:p>
    <w:p w:rsidR="00000000" w:rsidDel="00000000" w:rsidP="00000000" w:rsidRDefault="00000000" w:rsidRPr="00000000" w14:paraId="00000014">
      <w:pPr>
        <w:numPr>
          <w:ilvl w:val="0"/>
          <w:numId w:val="1"/>
        </w:numPr>
        <w:ind w:left="720" w:hanging="360"/>
        <w:rPr>
          <w:highlight w:val="yellow"/>
        </w:rPr>
      </w:pPr>
      <w:r w:rsidDel="00000000" w:rsidR="00000000" w:rsidRPr="00000000">
        <w:rPr>
          <w:b w:val="1"/>
          <w:bCs w:val="1"/>
          <w:highlight w:val="yellow"/>
          <w:rtl w:val="0"/>
        </w:rPr>
        <w:t xml:space="preserve">2018 –</w:t>
      </w:r>
      <w:r w:rsidDel="00000000" w:rsidR="00000000" w:rsidRPr="00000000">
        <w:rPr>
          <w:highlight w:val="yellow"/>
          <w:rtl w:val="0"/>
        </w:rPr>
        <w:t xml:space="preserve"> A purpose-built facility at 525 E 33rd St. in Hastings is completed to support continued growth.</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2024 –</w:t>
      </w:r>
      <w:r w:rsidDel="00000000" w:rsidR="00000000" w:rsidRPr="00000000">
        <w:rPr>
          <w:rtl w:val="0"/>
        </w:rPr>
        <w:t xml:space="preserve"> Raynor Garage Doors of Central Nebraska celebrates 25 years of serving Nebraska families and businesses.</w:t>
      </w:r>
    </w:p>
    <w:p w:rsidR="00000000" w:rsidDel="00000000" w:rsidP="00000000" w:rsidRDefault="00000000" w:rsidRPr="00000000" w14:paraId="00000016">
      <w:pPr>
        <w:numPr>
          <w:ilvl w:val="0"/>
          <w:numId w:val="1"/>
        </w:numPr>
        <w:ind w:left="720" w:hanging="360"/>
        <w:rPr>
          <w:highlight w:val="yellow"/>
        </w:rPr>
      </w:pPr>
      <w:r w:rsidDel="00000000" w:rsidR="00000000" w:rsidRPr="00000000">
        <w:rPr>
          <w:b w:val="1"/>
          <w:bCs w:val="1"/>
          <w:highlight w:val="yellow"/>
          <w:rtl w:val="0"/>
        </w:rPr>
        <w:t xml:space="preserve">October 2025 –</w:t>
      </w:r>
      <w:r w:rsidDel="00000000" w:rsidR="00000000" w:rsidRPr="00000000">
        <w:rPr>
          <w:highlight w:val="yellow"/>
          <w:rtl w:val="0"/>
        </w:rPr>
        <w:t xml:space="preserve"> Raynor Garage Doors of Central Nebraska opens its Lincoln location at 3830 S. 6th St., Suite 5, bringing local expertise to the capital city.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sz w:val="36"/>
          <w:szCs w:val="36"/>
        </w:rPr>
      </w:pPr>
      <w:r w:rsidDel="00000000" w:rsidR="00000000" w:rsidRPr="00000000">
        <w:rPr>
          <w:b w:val="1"/>
          <w:bCs w:val="1"/>
          <w:sz w:val="36"/>
          <w:szCs w:val="36"/>
          <w:rtl w:val="0"/>
        </w:rPr>
        <w:t xml:space="preserve">Who We Are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At Raynor Garage Doors of Central Nebraska, we are more than a garage door company — we are a second-generation, family-owned business rooted in Nebraska values. Our Lincoln location extends over 25 years of experience, integrity, and relationship-driven service to the Hastings and its surrounding communities. What sets us apart isn't just the products we carry — it's the people behind every installation, repair, and service call. From the moment you reach out, our goal is to exceed your expectations with friendly, knowledgeable service built around your specific needs.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Our team members bring deep product knowledge and a genuine commitment to doing the job right. We treat every home and business as if it were our own. Whether you're a first-time customer or a longtime Raynor client who followed us to Lincoln, you'll receive the same level of care, transparency, and craftsmanship that has defined our company since day one. For us, it has never been about simply completing a job — it is about earning your trust and delivering peace of mind every single time we show up.</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sz w:val="36"/>
          <w:szCs w:val="36"/>
        </w:rPr>
      </w:pPr>
      <w:r w:rsidDel="00000000" w:rsidR="00000000" w:rsidRPr="00000000">
        <w:rPr>
          <w:b w:val="1"/>
          <w:bCs w:val="1"/>
          <w:sz w:val="36"/>
          <w:szCs w:val="36"/>
          <w:rtl w:val="0"/>
        </w:rPr>
        <w:t xml:space="preserve">Mission &amp; Values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sz w:val="28"/>
          <w:szCs w:val="28"/>
        </w:rPr>
      </w:pPr>
      <w:r w:rsidDel="00000000" w:rsidR="00000000" w:rsidRPr="00000000">
        <w:rPr>
          <w:b w:val="1"/>
          <w:bCs w:val="1"/>
          <w:sz w:val="28"/>
          <w:szCs w:val="28"/>
          <w:rtl w:val="0"/>
        </w:rPr>
        <w:t xml:space="preserve">1. Integrity First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We say what we mean and do what we say. Every estimate, every recommendation, and every installation is guided by honesty — not upsells or shortcuts.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sz w:val="28"/>
          <w:szCs w:val="28"/>
        </w:rPr>
      </w:pPr>
      <w:r w:rsidDel="00000000" w:rsidR="00000000" w:rsidRPr="00000000">
        <w:rPr>
          <w:b w:val="1"/>
          <w:bCs w:val="1"/>
          <w:sz w:val="28"/>
          <w:szCs w:val="28"/>
          <w:rtl w:val="0"/>
        </w:rPr>
        <w:t xml:space="preserve">2. Positive Attitude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Garage door problems are stressful. We take that seriously, show up ready to solve it, and treat every customer interaction as an opportunity to make their day a little easier.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sz w:val="28"/>
          <w:szCs w:val="28"/>
        </w:rPr>
      </w:pPr>
      <w:r w:rsidDel="00000000" w:rsidR="00000000" w:rsidRPr="00000000">
        <w:rPr>
          <w:b w:val="1"/>
          <w:bCs w:val="1"/>
          <w:sz w:val="28"/>
          <w:szCs w:val="28"/>
          <w:rtl w:val="0"/>
        </w:rPr>
        <w:t xml:space="preserve">3. Unwavering Grit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Nebraska weather is demanding. Our Lincoln team is built for it — reliable, resourceful, and committed to getting every job done right, regardless of the challenge.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sz w:val="28"/>
          <w:szCs w:val="28"/>
        </w:rPr>
      </w:pPr>
      <w:r w:rsidDel="00000000" w:rsidR="00000000" w:rsidRPr="00000000">
        <w:rPr>
          <w:b w:val="1"/>
          <w:bCs w:val="1"/>
          <w:sz w:val="28"/>
          <w:szCs w:val="28"/>
          <w:rtl w:val="0"/>
        </w:rPr>
        <w:t xml:space="preserve">4. Exceptional Service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From your first phone call to the final inspection, exceptional service is our standard — not an exception we make for select customers.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sz w:val="28"/>
          <w:szCs w:val="28"/>
        </w:rPr>
      </w:pPr>
      <w:r w:rsidDel="00000000" w:rsidR="00000000" w:rsidRPr="00000000">
        <w:rPr>
          <w:b w:val="1"/>
          <w:bCs w:val="1"/>
          <w:sz w:val="28"/>
          <w:szCs w:val="28"/>
          <w:rtl w:val="0"/>
        </w:rPr>
        <w:t xml:space="preserve">5. Team Spirit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Our Lincoln team works as a unit. Shared expertise and mutual accountability mean better outcomes for every customer we serve across the capital city.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sz w:val="28"/>
          <w:szCs w:val="28"/>
        </w:rPr>
      </w:pPr>
      <w:r w:rsidDel="00000000" w:rsidR="00000000" w:rsidRPr="00000000">
        <w:rPr>
          <w:b w:val="1"/>
          <w:bCs w:val="1"/>
          <w:sz w:val="28"/>
          <w:szCs w:val="28"/>
          <w:rtl w:val="0"/>
        </w:rPr>
        <w:t xml:space="preserve">6. Family Values</w:t>
      </w:r>
    </w:p>
    <w:p w:rsidR="00000000" w:rsidDel="00000000" w:rsidP="00000000" w:rsidRDefault="00000000" w:rsidRPr="00000000" w14:paraId="00000039">
      <w:pPr>
        <w:rPr/>
      </w:pPr>
      <w:r w:rsidDel="00000000" w:rsidR="00000000" w:rsidRPr="00000000">
        <w:rPr>
          <w:rtl w:val="0"/>
        </w:rPr>
        <w:t xml:space="preserve">We extend the same care to our customers that we do to our own family. That's not a tagline — it's the reason customers return to us year after year and recommend us to their neighbors.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sz w:val="36"/>
          <w:szCs w:val="36"/>
        </w:rPr>
      </w:pPr>
      <w:r w:rsidDel="00000000" w:rsidR="00000000" w:rsidRPr="00000000">
        <w:rPr>
          <w:b w:val="1"/>
          <w:bCs w:val="1"/>
          <w:sz w:val="36"/>
          <w:szCs w:val="36"/>
          <w:rtl w:val="0"/>
        </w:rPr>
        <w:t xml:space="preserve">Proud to Serve Lincoln and the Surrounding Central Nebraska Communities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Raynor Garage Doors of Central Nebraska provides garage door installation, repair, and service throughout Lincoln, NE and the surrounding Central Nebraska communities. Whether you're in a residential neighborhood near downtown Lincoln, managing a commercial property on the city's edge, or operating a facility in an outlying community, our team is equipped and ready to help.</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8.84581843"/>
        <w:gridCol w:w="3027.820174163623"/>
        <w:gridCol w:w="2998.84581843"/>
        <w:tblGridChange w:id="0">
          <w:tblGrid>
            <w:gridCol w:w="2998.84581843"/>
            <w:gridCol w:w="3027.820174163623"/>
            <w:gridCol w:w="2998.84581843"/>
          </w:tblGrid>
        </w:tblGridChange>
      </w:tblGrid>
      <w:tr>
        <w:trPr>
          <w:cantSplit w:val="0"/>
          <w:trHeight w:val="495" w:hRule="atLeast"/>
          <w:tblHeader w:val="0"/>
        </w:trPr>
        <w:tc>
          <w:tcPr>
            <w:tcBorders>
              <w:top w:color="c8d8ed" w:space="0" w:sz="5" w:val="single"/>
              <w:left w:color="c8d8ed" w:space="0" w:sz="5" w:val="single"/>
              <w:bottom w:color="c8d8ed" w:space="0" w:sz="5" w:val="single"/>
              <w:right w:color="c8d8ed" w:space="0" w:sz="5" w:val="single"/>
            </w:tcBorders>
            <w:shd w:fill="eaf0f8" w:val="clear"/>
            <w:tcMar>
              <w:top w:w="80.0" w:type="dxa"/>
              <w:left w:w="160.0" w:type="dxa"/>
              <w:bottom w:w="80.0" w:type="dxa"/>
              <w:right w:w="16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 Ashland</w:t>
            </w:r>
          </w:p>
        </w:tc>
        <w:tc>
          <w:tcPr>
            <w:tcBorders>
              <w:top w:color="c8d8ed" w:space="0" w:sz="5" w:val="single"/>
              <w:left w:color="000000" w:space="0" w:sz="0" w:val="nil"/>
              <w:bottom w:color="c8d8ed" w:space="0" w:sz="5" w:val="single"/>
              <w:right w:color="c8d8ed" w:space="0" w:sz="5" w:val="single"/>
            </w:tcBorders>
            <w:shd w:fill="eaf0f8" w:val="clear"/>
            <w:tcMar>
              <w:top w:w="80.0" w:type="dxa"/>
              <w:left w:w="160.0" w:type="dxa"/>
              <w:bottom w:w="80.0" w:type="dxa"/>
              <w:right w:w="16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 Beatrice</w:t>
            </w:r>
          </w:p>
        </w:tc>
        <w:tc>
          <w:tcPr>
            <w:tcBorders>
              <w:top w:color="c8d8ed" w:space="0" w:sz="5" w:val="single"/>
              <w:left w:color="000000" w:space="0" w:sz="0" w:val="nil"/>
              <w:bottom w:color="c8d8ed" w:space="0" w:sz="5" w:val="single"/>
              <w:right w:color="c8d8ed" w:space="0" w:sz="5" w:val="single"/>
            </w:tcBorders>
            <w:shd w:fill="eaf0f8" w:val="clear"/>
            <w:tcMar>
              <w:top w:w="80.0" w:type="dxa"/>
              <w:left w:w="160.0" w:type="dxa"/>
              <w:bottom w:w="80.0" w:type="dxa"/>
              <w:right w:w="16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 Bennet</w:t>
            </w:r>
          </w:p>
        </w:tc>
      </w:tr>
      <w:tr>
        <w:trPr>
          <w:cantSplit w:val="0"/>
          <w:trHeight w:val="495" w:hRule="atLeast"/>
          <w:tblHeader w:val="0"/>
        </w:trPr>
        <w:tc>
          <w:tcPr>
            <w:tcBorders>
              <w:top w:color="000000" w:space="0" w:sz="0" w:val="nil"/>
              <w:left w:color="c8d8ed" w:space="0" w:sz="5" w:val="single"/>
              <w:bottom w:color="c8d8ed" w:space="0" w:sz="5" w:val="single"/>
              <w:right w:color="c8d8ed" w:space="0" w:sz="5" w:val="single"/>
            </w:tcBorders>
            <w:shd w:fill="eaf0f8" w:val="clear"/>
            <w:tcMar>
              <w:top w:w="80.0" w:type="dxa"/>
              <w:left w:w="160.0" w:type="dxa"/>
              <w:bottom w:w="80.0" w:type="dxa"/>
              <w:right w:w="16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 Central City</w:t>
            </w:r>
          </w:p>
        </w:tc>
        <w:tc>
          <w:tcPr>
            <w:tcBorders>
              <w:top w:color="000000" w:space="0" w:sz="0" w:val="nil"/>
              <w:left w:color="000000" w:space="0" w:sz="0" w:val="nil"/>
              <w:bottom w:color="c8d8ed" w:space="0" w:sz="5" w:val="single"/>
              <w:right w:color="c8d8ed" w:space="0" w:sz="5" w:val="single"/>
            </w:tcBorders>
            <w:shd w:fill="eaf0f8" w:val="clear"/>
            <w:tcMar>
              <w:top w:w="80.0" w:type="dxa"/>
              <w:left w:w="160.0" w:type="dxa"/>
              <w:bottom w:w="80.0" w:type="dxa"/>
              <w:right w:w="16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 Ceresco</w:t>
            </w:r>
          </w:p>
        </w:tc>
        <w:tc>
          <w:tcPr>
            <w:tcBorders>
              <w:top w:color="000000" w:space="0" w:sz="0" w:val="nil"/>
              <w:left w:color="000000" w:space="0" w:sz="0" w:val="nil"/>
              <w:bottom w:color="c8d8ed" w:space="0" w:sz="5" w:val="single"/>
              <w:right w:color="c8d8ed" w:space="0" w:sz="5" w:val="single"/>
            </w:tcBorders>
            <w:shd w:fill="eaf0f8" w:val="clear"/>
            <w:tcMar>
              <w:top w:w="80.0" w:type="dxa"/>
              <w:left w:w="160.0" w:type="dxa"/>
              <w:bottom w:w="80.0" w:type="dxa"/>
              <w:right w:w="16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 Columbus</w:t>
            </w:r>
          </w:p>
        </w:tc>
      </w:tr>
      <w:tr>
        <w:trPr>
          <w:cantSplit w:val="0"/>
          <w:trHeight w:val="495" w:hRule="atLeast"/>
          <w:tblHeader w:val="0"/>
        </w:trPr>
        <w:tc>
          <w:tcPr>
            <w:tcBorders>
              <w:top w:color="000000" w:space="0" w:sz="0" w:val="nil"/>
              <w:left w:color="c8d8ed" w:space="0" w:sz="5" w:val="single"/>
              <w:bottom w:color="c8d8ed" w:space="0" w:sz="5" w:val="single"/>
              <w:right w:color="c8d8ed" w:space="0" w:sz="5" w:val="single"/>
            </w:tcBorders>
            <w:shd w:fill="eaf0f8" w:val="clear"/>
            <w:tcMar>
              <w:top w:w="80.0" w:type="dxa"/>
              <w:left w:w="160.0" w:type="dxa"/>
              <w:bottom w:w="80.0" w:type="dxa"/>
              <w:right w:w="16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 Crete</w:t>
            </w:r>
          </w:p>
        </w:tc>
        <w:tc>
          <w:tcPr>
            <w:tcBorders>
              <w:top w:color="000000" w:space="0" w:sz="0" w:val="nil"/>
              <w:left w:color="000000" w:space="0" w:sz="0" w:val="nil"/>
              <w:bottom w:color="c8d8ed" w:space="0" w:sz="5" w:val="single"/>
              <w:right w:color="c8d8ed" w:space="0" w:sz="5" w:val="single"/>
            </w:tcBorders>
            <w:shd w:fill="eaf0f8" w:val="clear"/>
            <w:tcMar>
              <w:top w:w="80.0" w:type="dxa"/>
              <w:left w:w="160.0" w:type="dxa"/>
              <w:bottom w:w="80.0" w:type="dxa"/>
              <w:right w:w="16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 David City</w:t>
            </w:r>
          </w:p>
        </w:tc>
        <w:tc>
          <w:tcPr>
            <w:tcBorders>
              <w:top w:color="000000" w:space="0" w:sz="0" w:val="nil"/>
              <w:left w:color="000000" w:space="0" w:sz="0" w:val="nil"/>
              <w:bottom w:color="c8d8ed" w:space="0" w:sz="5" w:val="single"/>
              <w:right w:color="c8d8ed" w:space="0" w:sz="5" w:val="single"/>
            </w:tcBorders>
            <w:shd w:fill="eaf0f8" w:val="clear"/>
            <w:tcMar>
              <w:top w:w="80.0" w:type="dxa"/>
              <w:left w:w="160.0" w:type="dxa"/>
              <w:bottom w:w="80.0" w:type="dxa"/>
              <w:right w:w="16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 Eagle</w:t>
            </w:r>
          </w:p>
        </w:tc>
      </w:tr>
      <w:tr>
        <w:trPr>
          <w:cantSplit w:val="0"/>
          <w:trHeight w:val="495" w:hRule="atLeast"/>
          <w:tblHeader w:val="0"/>
        </w:trPr>
        <w:tc>
          <w:tcPr>
            <w:tcBorders>
              <w:top w:color="000000" w:space="0" w:sz="0" w:val="nil"/>
              <w:left w:color="c8d8ed" w:space="0" w:sz="5" w:val="single"/>
              <w:bottom w:color="c8d8ed" w:space="0" w:sz="5" w:val="single"/>
              <w:right w:color="c8d8ed" w:space="0" w:sz="5" w:val="single"/>
            </w:tcBorders>
            <w:shd w:fill="eaf0f8" w:val="clear"/>
            <w:tcMar>
              <w:top w:w="80.0" w:type="dxa"/>
              <w:left w:w="160.0" w:type="dxa"/>
              <w:bottom w:w="80.0" w:type="dxa"/>
              <w:right w:w="16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 Friend</w:t>
            </w:r>
          </w:p>
        </w:tc>
        <w:tc>
          <w:tcPr>
            <w:tcBorders>
              <w:top w:color="000000" w:space="0" w:sz="0" w:val="nil"/>
              <w:left w:color="000000" w:space="0" w:sz="0" w:val="nil"/>
              <w:bottom w:color="c8d8ed" w:space="0" w:sz="5" w:val="single"/>
              <w:right w:color="c8d8ed" w:space="0" w:sz="5" w:val="single"/>
            </w:tcBorders>
            <w:shd w:fill="eaf0f8" w:val="clear"/>
            <w:tcMar>
              <w:top w:w="80.0" w:type="dxa"/>
              <w:left w:w="160.0" w:type="dxa"/>
              <w:bottom w:w="80.0" w:type="dxa"/>
              <w:right w:w="16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 Greenwood</w:t>
            </w:r>
          </w:p>
        </w:tc>
        <w:tc>
          <w:tcPr>
            <w:tcBorders>
              <w:top w:color="000000" w:space="0" w:sz="0" w:val="nil"/>
              <w:left w:color="000000" w:space="0" w:sz="0" w:val="nil"/>
              <w:bottom w:color="c8d8ed" w:space="0" w:sz="5" w:val="single"/>
              <w:right w:color="c8d8ed" w:space="0" w:sz="5" w:val="single"/>
            </w:tcBorders>
            <w:shd w:fill="eaf0f8" w:val="clear"/>
            <w:tcMar>
              <w:top w:w="80.0" w:type="dxa"/>
              <w:left w:w="160.0" w:type="dxa"/>
              <w:bottom w:w="80.0" w:type="dxa"/>
              <w:right w:w="16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 Lincoln</w:t>
            </w:r>
          </w:p>
        </w:tc>
      </w:tr>
      <w:tr>
        <w:trPr>
          <w:cantSplit w:val="0"/>
          <w:trHeight w:val="495" w:hRule="atLeast"/>
          <w:tblHeader w:val="0"/>
        </w:trPr>
        <w:tc>
          <w:tcPr>
            <w:tcBorders>
              <w:top w:color="000000" w:space="0" w:sz="0" w:val="nil"/>
              <w:left w:color="c8d8ed" w:space="0" w:sz="5" w:val="single"/>
              <w:bottom w:color="c8d8ed" w:space="0" w:sz="5" w:val="single"/>
              <w:right w:color="c8d8ed" w:space="0" w:sz="5" w:val="single"/>
            </w:tcBorders>
            <w:shd w:fill="eaf0f8" w:val="clear"/>
            <w:tcMar>
              <w:top w:w="80.0" w:type="dxa"/>
              <w:left w:w="160.0" w:type="dxa"/>
              <w:bottom w:w="80.0" w:type="dxa"/>
              <w:right w:w="16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 Milford</w:t>
            </w:r>
          </w:p>
        </w:tc>
        <w:tc>
          <w:tcPr>
            <w:tcBorders>
              <w:top w:color="000000" w:space="0" w:sz="0" w:val="nil"/>
              <w:left w:color="000000" w:space="0" w:sz="0" w:val="nil"/>
              <w:bottom w:color="c8d8ed" w:space="0" w:sz="5" w:val="single"/>
              <w:right w:color="c8d8ed" w:space="0" w:sz="5" w:val="single"/>
            </w:tcBorders>
            <w:shd w:fill="eaf0f8" w:val="clear"/>
            <w:tcMar>
              <w:top w:w="80.0" w:type="dxa"/>
              <w:left w:w="160.0" w:type="dxa"/>
              <w:bottom w:w="80.0" w:type="dxa"/>
              <w:right w:w="16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 North Bend</w:t>
            </w:r>
          </w:p>
        </w:tc>
        <w:tc>
          <w:tcPr>
            <w:tcBorders>
              <w:top w:color="000000" w:space="0" w:sz="0" w:val="nil"/>
              <w:left w:color="000000" w:space="0" w:sz="0" w:val="nil"/>
              <w:bottom w:color="c8d8ed" w:space="0" w:sz="5" w:val="single"/>
              <w:right w:color="c8d8ed" w:space="0" w:sz="5" w:val="single"/>
            </w:tcBorders>
            <w:shd w:fill="eaf0f8" w:val="clear"/>
            <w:tcMar>
              <w:top w:w="80.0" w:type="dxa"/>
              <w:left w:w="160.0" w:type="dxa"/>
              <w:bottom w:w="80.0" w:type="dxa"/>
              <w:right w:w="16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 Panama</w:t>
            </w:r>
          </w:p>
        </w:tc>
      </w:tr>
      <w:tr>
        <w:trPr>
          <w:cantSplit w:val="0"/>
          <w:trHeight w:val="495" w:hRule="atLeast"/>
          <w:tblHeader w:val="0"/>
        </w:trPr>
        <w:tc>
          <w:tcPr>
            <w:tcBorders>
              <w:top w:color="000000" w:space="0" w:sz="0" w:val="nil"/>
              <w:left w:color="c8d8ed" w:space="0" w:sz="5" w:val="single"/>
              <w:bottom w:color="c8d8ed" w:space="0" w:sz="5" w:val="single"/>
              <w:right w:color="c8d8ed" w:space="0" w:sz="5" w:val="single"/>
            </w:tcBorders>
            <w:shd w:fill="eaf0f8" w:val="clear"/>
            <w:tcMar>
              <w:top w:w="80.0" w:type="dxa"/>
              <w:left w:w="160.0" w:type="dxa"/>
              <w:bottom w:w="80.0" w:type="dxa"/>
              <w:right w:w="16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 Schuyler</w:t>
            </w:r>
          </w:p>
        </w:tc>
        <w:tc>
          <w:tcPr>
            <w:tcBorders>
              <w:top w:color="000000" w:space="0" w:sz="0" w:val="nil"/>
              <w:left w:color="000000" w:space="0" w:sz="0" w:val="nil"/>
              <w:bottom w:color="c8d8ed" w:space="0" w:sz="5" w:val="single"/>
              <w:right w:color="c8d8ed" w:space="0" w:sz="5" w:val="single"/>
            </w:tcBorders>
            <w:shd w:fill="eaf0f8" w:val="clear"/>
            <w:tcMar>
              <w:top w:w="80.0" w:type="dxa"/>
              <w:left w:w="160.0" w:type="dxa"/>
              <w:bottom w:w="80.0" w:type="dxa"/>
              <w:right w:w="16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 Seward</w:t>
            </w:r>
          </w:p>
        </w:tc>
        <w:tc>
          <w:tcPr>
            <w:tcBorders>
              <w:top w:color="000000" w:space="0" w:sz="0" w:val="nil"/>
              <w:left w:color="000000" w:space="0" w:sz="0" w:val="nil"/>
              <w:bottom w:color="c8d8ed" w:space="0" w:sz="5" w:val="single"/>
              <w:right w:color="c8d8ed" w:space="0" w:sz="5" w:val="single"/>
            </w:tcBorders>
            <w:shd w:fill="eaf0f8" w:val="clear"/>
            <w:tcMar>
              <w:top w:w="80.0" w:type="dxa"/>
              <w:left w:w="160.0" w:type="dxa"/>
              <w:bottom w:w="80.0" w:type="dxa"/>
              <w:right w:w="16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 Syracuse</w:t>
            </w:r>
          </w:p>
        </w:tc>
      </w:tr>
      <w:tr>
        <w:trPr>
          <w:cantSplit w:val="0"/>
          <w:trHeight w:val="495" w:hRule="atLeast"/>
          <w:tblHeader w:val="0"/>
        </w:trPr>
        <w:tc>
          <w:tcPr>
            <w:tcBorders>
              <w:top w:color="000000" w:space="0" w:sz="0" w:val="nil"/>
              <w:left w:color="c8d8ed" w:space="0" w:sz="5" w:val="single"/>
              <w:bottom w:color="c8d8ed" w:space="0" w:sz="5" w:val="single"/>
              <w:right w:color="c8d8ed" w:space="0" w:sz="5" w:val="single"/>
            </w:tcBorders>
            <w:shd w:fill="eaf0f8" w:val="clear"/>
            <w:tcMar>
              <w:top w:w="80.0" w:type="dxa"/>
              <w:left w:w="160.0" w:type="dxa"/>
              <w:bottom w:w="80.0" w:type="dxa"/>
              <w:right w:w="16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 Tecumseh</w:t>
            </w:r>
          </w:p>
        </w:tc>
        <w:tc>
          <w:tcPr>
            <w:tcBorders>
              <w:top w:color="000000" w:space="0" w:sz="0" w:val="nil"/>
              <w:left w:color="000000" w:space="0" w:sz="0" w:val="nil"/>
              <w:bottom w:color="c8d8ed" w:space="0" w:sz="5" w:val="single"/>
              <w:right w:color="c8d8ed" w:space="0" w:sz="5" w:val="single"/>
            </w:tcBorders>
            <w:shd w:fill="eaf0f8" w:val="clear"/>
            <w:tcMar>
              <w:top w:w="80.0" w:type="dxa"/>
              <w:left w:w="160.0" w:type="dxa"/>
              <w:bottom w:w="80.0" w:type="dxa"/>
              <w:right w:w="16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 Valparaiso</w:t>
            </w:r>
          </w:p>
        </w:tc>
        <w:tc>
          <w:tcPr>
            <w:tcBorders>
              <w:top w:color="000000" w:space="0" w:sz="0" w:val="nil"/>
              <w:left w:color="000000" w:space="0" w:sz="0" w:val="nil"/>
              <w:bottom w:color="c8d8ed" w:space="0" w:sz="5" w:val="single"/>
              <w:right w:color="c8d8ed" w:space="0" w:sz="5" w:val="single"/>
            </w:tcBorders>
            <w:shd w:fill="eaf0f8" w:val="clear"/>
            <w:tcMar>
              <w:top w:w="80.0" w:type="dxa"/>
              <w:left w:w="160.0" w:type="dxa"/>
              <w:bottom w:w="80.0" w:type="dxa"/>
              <w:right w:w="16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 Wahoo</w:t>
            </w:r>
          </w:p>
        </w:tc>
      </w:tr>
      <w:tr>
        <w:trPr>
          <w:cantSplit w:val="0"/>
          <w:trHeight w:val="495" w:hRule="atLeast"/>
          <w:tblHeader w:val="0"/>
        </w:trPr>
        <w:tc>
          <w:tcPr>
            <w:tcBorders>
              <w:top w:color="000000" w:space="0" w:sz="0" w:val="nil"/>
              <w:left w:color="c8d8ed" w:space="0" w:sz="5" w:val="single"/>
              <w:bottom w:color="c8d8ed" w:space="0" w:sz="5" w:val="single"/>
              <w:right w:color="c8d8ed" w:space="0" w:sz="5" w:val="single"/>
            </w:tcBorders>
            <w:shd w:fill="eaf0f8" w:val="clear"/>
            <w:tcMar>
              <w:top w:w="80.0" w:type="dxa"/>
              <w:left w:w="160.0" w:type="dxa"/>
              <w:bottom w:w="80.0" w:type="dxa"/>
              <w:right w:w="16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 Waverly</w:t>
            </w:r>
          </w:p>
        </w:tc>
        <w:tc>
          <w:tcPr>
            <w:tcBorders>
              <w:top w:color="000000" w:space="0" w:sz="0" w:val="nil"/>
              <w:left w:color="000000" w:space="0" w:sz="0" w:val="nil"/>
              <w:bottom w:color="c8d8ed" w:space="0" w:sz="5" w:val="single"/>
              <w:right w:color="c8d8ed" w:space="0" w:sz="5" w:val="single"/>
            </w:tcBorders>
            <w:shd w:fill="ffffff" w:val="clear"/>
            <w:tcMar>
              <w:top w:w="80.0" w:type="dxa"/>
              <w:left w:w="160.0" w:type="dxa"/>
              <w:bottom w:w="80.0" w:type="dxa"/>
              <w:right w:w="16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 </w:t>
            </w:r>
          </w:p>
        </w:tc>
        <w:tc>
          <w:tcPr>
            <w:tcBorders>
              <w:top w:color="000000" w:space="0" w:sz="0" w:val="nil"/>
              <w:left w:color="000000" w:space="0" w:sz="0" w:val="nil"/>
              <w:bottom w:color="c8d8ed" w:space="0" w:sz="5" w:val="single"/>
              <w:right w:color="c8d8ed" w:space="0" w:sz="5" w:val="single"/>
            </w:tcBorders>
            <w:shd w:fill="ffffff" w:val="clear"/>
            <w:tcMar>
              <w:top w:w="80.0" w:type="dxa"/>
              <w:left w:w="160.0" w:type="dxa"/>
              <w:bottom w:w="80.0" w:type="dxa"/>
              <w:right w:w="16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 </w:t>
            </w:r>
          </w:p>
        </w:tc>
      </w:tr>
    </w:tbl>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Don't see your city listed? Give us a call — we serve many communities throughout Central Nebraska and are happy to discuss service availability in your area.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sz w:val="36"/>
          <w:szCs w:val="36"/>
        </w:rPr>
      </w:pPr>
      <w:r w:rsidDel="00000000" w:rsidR="00000000" w:rsidRPr="00000000">
        <w:rPr>
          <w:b w:val="1"/>
          <w:bCs w:val="1"/>
          <w:sz w:val="36"/>
          <w:szCs w:val="36"/>
          <w:rtl w:val="0"/>
        </w:rPr>
        <w:t xml:space="preserve">Ready for Your New Garage Door or Need Immediate Repairs?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Request Your Free Estimate Today!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Our knowledgeable team is standing by to assist you. Contact us today for a complimentary, no-pressure consultation and discover why Lincoln has trusted Raynor Garage Doors of Central Nebraska.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