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CAM - Test Company</w:t>
      </w:r>
    </w:p>
    <w:p>
      <w:r>
        <w:t>Generated at: 2026-04-20T10:09:56.924235+00:00</w:t>
      </w:r>
    </w:p>
    <w:p>
      <w:pPr>
        <w:pStyle w:val="Heading1"/>
      </w:pPr>
      <w:r>
        <w:t>Executive Summary</w:t>
      </w:r>
    </w:p>
    <w:p>
      <w:pPr>
        <w:pStyle w:val="Heading2"/>
      </w:pPr>
      <w:r>
        <w:t>Executive summary</w:t>
      </w:r>
    </w:p>
    <w:p>
      <w:r>
        <w:t>Test Company has been processed through the unified CAM pipeline. Latest visible revenue is ₹410.00, DSCR is 19.6048, current ratio is 1.82, banking behaviour score is 100.0, and GST discrepancy is 139705782.35%. Current analytical outcome is 'success'.</w:t>
      </w:r>
    </w:p>
    <w:p>
      <w:r>
        <w:t xml:space="preserve">Evidence: </w:t>
      </w:r>
      <w:r>
        <w:t>Provisional_PL_Dec2026.xlsx (Sheet1 row 2, cell B)</w:t>
      </w:r>
      <w:r>
        <w:t xml:space="preserve">; </w:t>
      </w:r>
      <w:r>
        <w:t>enriched_overview</w:t>
      </w:r>
      <w:r>
        <w:t xml:space="preserve">; </w:t>
      </w:r>
      <w:r>
        <w:t>Unknown source</w:t>
      </w:r>
      <w:r>
        <w:t xml:space="preserve">; </w:t>
      </w:r>
      <w:r>
        <w:t>Unknown source</w:t>
      </w:r>
    </w:p>
    <w:p>
      <w:pPr>
        <w:pStyle w:val="Heading1"/>
      </w:pPr>
      <w:r>
        <w:t>Borrower Profile</w:t>
      </w:r>
    </w:p>
    <w:p>
      <w:pPr>
        <w:pStyle w:val="Heading2"/>
      </w:pPr>
      <w:r>
        <w:t>Borrower profile</w:t>
      </w:r>
    </w:p>
    <w:p>
      <w:r>
        <w:t>Borrower constitution and operating identity available in the current dataset indicate company name as INFOBEANS TECHNOLOGIES LIMITED, industry as Information Technology — Software Services / ITeS, CIN as L72200MP2011PLC025622, GSTIN as 27AABCA1234C1ZX, and incorporation date as 15-Mar-2010. Registered address captured is Plot No. 45, MIDC Industrial Area, Andheri East, Mumbai – 400093.</w:t>
      </w:r>
    </w:p>
    <w:p>
      <w:r>
        <w:t xml:space="preserve">Evidence: </w:t>
      </w:r>
      <w:r>
        <w:t>Audited_PL_FY24_26.xlsx (Spreadsheet source)</w:t>
      </w:r>
      <w:r>
        <w:t xml:space="preserve">; </w:t>
      </w:r>
      <w:r>
        <w:t>Audited_PL_FY24_26.xlsx (Spreadsheet source)</w:t>
      </w:r>
      <w:r>
        <w:t xml:space="preserve">; </w:t>
      </w:r>
      <w:r>
        <w:t>Audited_PL_FY24_26.xlsx (Spreadsheet source)</w:t>
      </w:r>
      <w:r>
        <w:t xml:space="preserve">; </w:t>
      </w:r>
      <w:r>
        <w:t>Audited_PL_FY24_26.xlsx (Spreadsheet source)</w:t>
      </w:r>
    </w:p>
    <w:p>
      <w:pPr>
        <w:pStyle w:val="Heading1"/>
      </w:pPr>
      <w:r>
        <w:t>Promoter Profile</w:t>
      </w:r>
    </w:p>
    <w:p>
      <w:pPr>
        <w:pStyle w:val="Heading2"/>
      </w:pPr>
      <w:r>
        <w:t>Promoter profile</w:t>
      </w:r>
    </w:p>
    <w:p>
      <w:r>
        <w:t>Promoter / director information currently available lists: Mitesh Bohra, Siddharth Sethi. Director and related-party risk flags observed: none from current Agent 3 output.</w:t>
      </w:r>
    </w:p>
    <w:p>
      <w:r>
        <w:t xml:space="preserve">Evidence: </w:t>
      </w:r>
      <w:r>
        <w:t>Unknown source</w:t>
      </w:r>
    </w:p>
    <w:p>
      <w:pPr>
        <w:pStyle w:val="Heading1"/>
      </w:pPr>
      <w:r>
        <w:t>Group Company Analysis</w:t>
      </w:r>
    </w:p>
    <w:p>
      <w:pPr>
        <w:pStyle w:val="Heading2"/>
      </w:pPr>
      <w:r>
        <w:t>Group analysis</w:t>
      </w:r>
    </w:p>
    <w:p>
      <w:r>
        <w:t>Related-party analysis indicates transaction alerts: none surfaced in current output. Open charges identified: 0. This section remains dependent on deeper group-company datasets for full CAM coverage.</w:t>
      </w:r>
    </w:p>
    <w:p>
      <w:r>
        <w:t xml:space="preserve">Evidence: </w:t>
      </w:r>
      <w:r>
        <w:t>Unknown source</w:t>
      </w:r>
    </w:p>
    <w:p>
      <w:pPr>
        <w:pStyle w:val="Heading1"/>
      </w:pPr>
      <w:r>
        <w:t>Industry Analysis</w:t>
      </w:r>
    </w:p>
    <w:p>
      <w:pPr>
        <w:pStyle w:val="Heading2"/>
      </w:pPr>
      <w:r>
        <w:t>Industry analysis</w:t>
      </w:r>
    </w:p>
    <w:p>
      <w:r>
        <w:t>Borrower operates in Information Technology — Software Services / ITeS. Industry classified as IT Software Services, growth estimate 10-15% CAGR, sector volatility moderate. Key industry risks: Regulatory changes in data protection, Intense competition from global players, Technological disruptions in AI and automation.</w:t>
      </w:r>
    </w:p>
    <w:p>
      <w:r>
        <w:t xml:space="preserve">Evidence: </w:t>
      </w:r>
      <w:r>
        <w:t>enriched_overview</w:t>
      </w:r>
      <w:r>
        <w:t xml:space="preserve">; </w:t>
      </w:r>
      <w:r>
        <w:t>enriched_overview</w:t>
      </w:r>
    </w:p>
    <w:p>
      <w:pPr>
        <w:pStyle w:val="Heading1"/>
      </w:pPr>
      <w:r>
        <w:t>Business Model Assessment</w:t>
      </w:r>
    </w:p>
    <w:p>
      <w:pPr>
        <w:pStyle w:val="Heading2"/>
      </w:pPr>
      <w:r>
        <w:t>Business model assessment</w:t>
      </w:r>
    </w:p>
    <w:p>
      <w:r>
        <w:t>Business model assessment is inferred from currently available financial trend data. Improving metrics: Revenue, PAT, EBITDA margin. Declining metrics: Debtor collection period.</w:t>
      </w:r>
    </w:p>
    <w:p>
      <w:r>
        <w:t xml:space="preserve">Evidence: </w:t>
      </w:r>
      <w:r>
        <w:t>Audited_PL_FY24_26.xlsx (Audited Profit &amp; Loss Account row 1, cell C)</w:t>
      </w:r>
    </w:p>
    <w:p>
      <w:pPr>
        <w:pStyle w:val="Heading1"/>
      </w:pPr>
      <w:r>
        <w:t>Financial Statement Analysis</w:t>
      </w:r>
    </w:p>
    <w:p>
      <w:pPr>
        <w:pStyle w:val="Heading2"/>
      </w:pPr>
      <w:r>
        <w:t>Financial statement analysis</w:t>
      </w:r>
    </w:p>
    <w:p>
      <w:r>
        <w:t>Latest balance-sheet snapshot shows total assets ₹850.00 and total liabilities ₹520.00. Revenue for visible latest year is ₹410.00, PAT is not available. Computed ratios include DSCR 19.6048, debt-to-equity 0.0222, current ratio 1.82, and EBITDA margin 26.74%. Operational cash flow is ₹41.17. Trend anomalies flagged: none reported.</w:t>
      </w:r>
    </w:p>
    <w:p>
      <w:r>
        <w:t xml:space="preserve">Evidence: </w:t>
      </w:r>
      <w:r>
        <w:t>Provisional_BS_Dec2026.xlsx (Spreadsheet source)</w:t>
      </w:r>
      <w:r>
        <w:t xml:space="preserve">; </w:t>
      </w:r>
      <w:r>
        <w:t>Provisional_PL_Dec2026.xlsx (Sheet1 row 2, cell B)</w:t>
      </w:r>
      <w:r>
        <w:t xml:space="preserve">; </w:t>
      </w:r>
      <w:r>
        <w:t>enriched_overview</w:t>
      </w:r>
      <w:r>
        <w:t xml:space="preserve">; </w:t>
      </w:r>
      <w:r>
        <w:t>Provisional_PL_Dec2026.xlsx (Spreadsheet source)</w:t>
      </w:r>
    </w:p>
    <w:p>
      <w:pPr>
        <w:pStyle w:val="Heading1"/>
      </w:pPr>
      <w:r>
        <w:t>Banking Analysis</w:t>
      </w:r>
    </w:p>
    <w:p>
      <w:pPr>
        <w:pStyle w:val="Heading2"/>
      </w:pPr>
      <w:r>
        <w:t>Banking analysis</w:t>
      </w:r>
    </w:p>
    <w:p>
      <w:r>
        <w:t>Banking behaviour score is 100.0. Average monthly inflow is ₹9.92, average monthly outflow is ₹9.01, cheque bounce count is 0, and large cash deposit count is 0. Unusual pattern flags: none reported.</w:t>
      </w:r>
    </w:p>
    <w:p>
      <w:r>
        <w:t xml:space="preserve">Evidence: </w:t>
      </w:r>
      <w:r>
        <w:t>Bank_Statement.csv</w:t>
      </w:r>
    </w:p>
    <w:p>
      <w:pPr>
        <w:pStyle w:val="Heading1"/>
      </w:pPr>
      <w:r>
        <w:t>GST Analysis</w:t>
      </w:r>
    </w:p>
    <w:p>
      <w:pPr>
        <w:pStyle w:val="Heading2"/>
      </w:pPr>
      <w:r>
        <w:t>GST analysis</w:t>
      </w:r>
    </w:p>
    <w:p>
      <w:r>
        <w:t>GST analytics indicates authenticity score 0.0, GST reported sales ₹475,000,000.00, financial reported sales ₹340.00, and discrepancy percentage 139705782.35%.</w:t>
      </w:r>
    </w:p>
    <w:p>
      <w:r>
        <w:t xml:space="preserve">Evidence: </w:t>
      </w:r>
      <w:r>
        <w:t>GST_Registration_Certificate.docx</w:t>
      </w:r>
    </w:p>
    <w:p>
      <w:pPr>
        <w:pStyle w:val="Heading1"/>
      </w:pPr>
      <w:r>
        <w:t>Credit Bureau Analysis</w:t>
      </w:r>
    </w:p>
    <w:p>
      <w:pPr>
        <w:pStyle w:val="Heading2"/>
      </w:pPr>
      <w:r>
        <w:t>Credit bureau analysis</w:t>
      </w:r>
    </w:p>
    <w:p>
      <w:r>
        <w:t>Credit bureau analysis is scaffolded in the generator, but the upstream pipeline currently does not provide bureau-structured output for borrower and promoter credit history. This section is reserved for manual completion or future upstream integration.</w:t>
      </w:r>
    </w:p>
    <w:p>
      <w:pPr>
        <w:pStyle w:val="Heading1"/>
      </w:pPr>
      <w:r>
        <w:t>Collateral Analysis</w:t>
      </w:r>
    </w:p>
    <w:p>
      <w:pPr>
        <w:pStyle w:val="Heading2"/>
      </w:pPr>
      <w:r>
        <w:t>Collateral analysis</w:t>
      </w:r>
    </w:p>
    <w:p>
      <w:r>
        <w:t>Collateral, valuation, title, encumbrance, and marketability checks are not yet emitted by the current upstream agents. The section exists in the draft and is editable, but must be completed from valuation / legal source packs.</w:t>
      </w:r>
    </w:p>
    <w:p>
      <w:pPr>
        <w:pStyle w:val="Heading1"/>
      </w:pPr>
      <w:r>
        <w:t>Legal &amp; Compliance Review</w:t>
      </w:r>
    </w:p>
    <w:p>
      <w:pPr>
        <w:pStyle w:val="Heading2"/>
      </w:pPr>
      <w:r>
        <w:t>Legal and compliance review</w:t>
      </w:r>
    </w:p>
    <w:p>
      <w:r>
        <w:t>Tax-compliance status is partial. Filings verified: FY2025-26: section 139(1). PAN availability: AAACI9231R; GSTIN availability: 27AABCA1234C1ZX.</w:t>
      </w:r>
    </w:p>
    <w:p>
      <w:r>
        <w:t xml:space="preserve">Evidence: </w:t>
      </w:r>
      <w:r>
        <w:t>Unknown source</w:t>
      </w:r>
    </w:p>
    <w:p>
      <w:pPr>
        <w:pStyle w:val="Heading1"/>
      </w:pPr>
      <w:r>
        <w:t>Risk Assessment</w:t>
      </w:r>
    </w:p>
    <w:p>
      <w:pPr>
        <w:pStyle w:val="Heading2"/>
      </w:pPr>
      <w:r>
        <w:t>Risk assessment</w:t>
      </w:r>
    </w:p>
    <w:p>
      <w:r>
        <w:t>Risk view currently covers financial, banking, market dimensions. Ratio flags: none reported. Banking pattern flags: none reported. Macro risks: interest rates, inflation, FX fluctuations, regulatory changes in IT sector.</w:t>
      </w:r>
    </w:p>
    <w:p>
      <w:r>
        <w:t xml:space="preserve">Evidence: </w:t>
      </w:r>
      <w:r>
        <w:t>enriched_overview</w:t>
      </w:r>
      <w:r>
        <w:t xml:space="preserve">; </w:t>
      </w:r>
      <w:r>
        <w:t>Unknown source</w:t>
      </w:r>
      <w:r>
        <w:t xml:space="preserve">; </w:t>
      </w:r>
      <w:r>
        <w:t>enriched_overview</w:t>
      </w:r>
    </w:p>
    <w:p>
      <w:pPr>
        <w:pStyle w:val="Heading1"/>
      </w:pPr>
      <w:r>
        <w:t>Loan Structuring</w:t>
      </w:r>
    </w:p>
    <w:p>
      <w:pPr>
        <w:pStyle w:val="Heading2"/>
      </w:pPr>
      <w:r>
        <w:t>Loan structuring</w:t>
      </w:r>
    </w:p>
    <w:p>
      <w:r>
        <w:t>Loan-structuring placeholders can already be edited in the draft. Current quantitative support includes debt-servicing ability as adequate and debt-service coverage 10.8342. Facility sizing, moratoriums, security cover, covenants, and trigger clauses remain analyst-driven until policy inputs are integrated.</w:t>
      </w:r>
    </w:p>
    <w:p>
      <w:r>
        <w:t xml:space="preserve">Evidence: </w:t>
      </w:r>
      <w:r>
        <w:t>Provisional_PL_Dec2026.xlsx (Spreadsheet source)</w:t>
      </w:r>
    </w:p>
    <w:p>
      <w:pPr>
        <w:pStyle w:val="Heading1"/>
      </w:pPr>
      <w:r>
        <w:t>Early Warning Signals</w:t>
      </w:r>
    </w:p>
    <w:p>
      <w:pPr>
        <w:pStyle w:val="Heading2"/>
      </w:pPr>
      <w:r>
        <w:t>Early warning signals</w:t>
      </w:r>
    </w:p>
    <w:p>
      <w:r>
        <w:t>Early-warning inventory from currently available analytics: GST versus financial sales discrepancy flagged.</w:t>
      </w:r>
    </w:p>
    <w:p>
      <w:r>
        <w:t xml:space="preserve">Evidence: </w:t>
      </w:r>
      <w:r>
        <w:t>Audited_PL_FY24_26.xlsx (Audited Profit &amp; Loss Account row 1, cell C)</w:t>
      </w:r>
      <w:r>
        <w:t xml:space="preserve">; </w:t>
      </w:r>
      <w:r>
        <w:t>Unknown source</w:t>
      </w:r>
      <w:r>
        <w:t xml:space="preserve">; </w:t>
      </w:r>
      <w:r>
        <w:t>Unknown source</w:t>
      </w:r>
    </w:p>
    <w:p>
      <w:pPr>
        <w:pStyle w:val="Heading1"/>
      </w:pPr>
      <w:r>
        <w:t>Credit Recommendation</w:t>
      </w:r>
    </w:p>
    <w:p>
      <w:pPr>
        <w:pStyle w:val="Heading2"/>
      </w:pPr>
      <w:r>
        <w:t>Credit recommendation</w:t>
      </w:r>
    </w:p>
    <w:p>
      <w:r>
        <w:t>Preliminary recommendation is 'success'. The draft generator keeps this section editable because final sanction decisioning must still consider policy checks, collateral, legal review, and committee commentary. Observed quantitative anchors include DSCR 19.6048 and banking score 100.0.</w:t>
      </w:r>
    </w:p>
    <w:p>
      <w:r>
        <w:t xml:space="preserve">Evidence: </w:t>
      </w:r>
      <w:r>
        <w:t>enriched_overview</w:t>
      </w:r>
      <w:r>
        <w:t xml:space="preserve">; </w:t>
      </w:r>
      <w:r>
        <w:t>Unknown source</w:t>
      </w:r>
    </w:p>
    <w:p>
      <w:pPr>
        <w:pStyle w:val="Heading1"/>
      </w:pPr>
      <w:r>
        <w:t>Credit Committee Notes</w:t>
      </w:r>
    </w:p>
    <w:p>
      <w:pPr>
        <w:pStyle w:val="Heading2"/>
      </w:pPr>
      <w:r>
        <w:t>Committee notes</w:t>
      </w:r>
    </w:p>
    <w:p>
      <w:r>
        <w:t>Committee deviations, exception approvals, added covenants, and final sanction remarks can be entered here before final CAM generation.</w:t>
      </w:r>
    </w:p>
    <w:p>
      <w:pPr>
        <w:pStyle w:val="Heading1"/>
      </w:pPr>
      <w:r>
        <w:t>Annexures</w:t>
      </w:r>
    </w:p>
    <w:p>
      <w:pPr>
        <w:pStyle w:val="Heading2"/>
      </w:pPr>
      <w:r>
        <w:t>Annexures</w:t>
      </w:r>
    </w:p>
    <w:p>
      <w:r>
        <w:t>Attached / indexed source set: Audited_PL_FY24_26.xlsx, Bank_Statement.csv, Aging_Schedules_Debtors_and_Creditors_Analysis.csv, CIBIL_Company_Mar2027.docx, Cash flow.pdf, Certificate_of_Incorporation__COI_.docx, Company_Profile_2027.docx, Detailed_PL_Schedules_FY24_26.xlsx, GST_Registration_Certificate.docx, GSTR1_Annual_FY25-26.docx, GSTR3B_Annual_FY25-26.docx, HDFC_OD_Stmt_FY27.docx, HDFC_Sanction_WC_2025.pdf, ITR6_FY2025-26.docx, Mitesh_Bohra_Aadhaar.png, Mitesh_Bohra_CIBIL_Mar2027.docx, MoA_and_AoA.docx, Promoter_Profiles_2027.docx, Provisional_BS_Dec2026.xlsx, Provisional_BS_Sept26.xlsx, Provisional_PL_Dec2026.xlsx, Siddharth_Sethi_Passport.png, company_pan.png, promoters_pan.png</w:t>
      </w:r>
    </w:p>
    <w:p>
      <w:r>
        <w:t xml:space="preserve">Evidence: </w:t>
      </w:r>
      <w:r>
        <w:t>Audited_PL_FY24_26.xlsx (Spreadsheet source)</w:t>
      </w:r>
      <w:r>
        <w:t xml:space="preserve">; </w:t>
      </w:r>
      <w:r>
        <w:t>Bank_Statement.csv</w:t>
      </w:r>
      <w:r>
        <w:t xml:space="preserve">; </w:t>
      </w:r>
      <w:r>
        <w:t>Aging_Schedules_Debtors_and_Creditors_Analysis.csv</w:t>
      </w:r>
      <w:r>
        <w:t xml:space="preserve">; </w:t>
      </w:r>
      <w:r>
        <w:t>CIBIL_Company_Mar2027.docx (Paragraph 1)</w:t>
      </w:r>
      <w:r>
        <w:t xml:space="preserve">; </w:t>
      </w:r>
      <w:r>
        <w:t>Cash flow.pdf</w:t>
      </w:r>
      <w:r>
        <w:t xml:space="preserve">; </w:t>
      </w:r>
      <w:r>
        <w:t>Certificate_of_Incorporation__COI_.docx</w:t>
      </w:r>
      <w:r>
        <w:t xml:space="preserve">; </w:t>
      </w:r>
      <w:r>
        <w:t>Company_Profile_2027.docx (Paragraph 1)</w:t>
      </w:r>
      <w:r>
        <w:t xml:space="preserve">; </w:t>
      </w:r>
      <w:r>
        <w:t>Detailed_PL_Schedules_FY24_26.xlsx (Spreadsheet source)</w:t>
      </w:r>
      <w:r>
        <w:t xml:space="preserve">; </w:t>
      </w:r>
      <w:r>
        <w:t>GST_Registration_Certificate.docx</w:t>
      </w:r>
      <w:r>
        <w:t xml:space="preserve">; </w:t>
      </w:r>
      <w:r>
        <w:t>GSTR1_Annual_FY25-26.docx (Paragraph 1)</w:t>
      </w:r>
      <w:r>
        <w:t xml:space="preserve">; </w:t>
      </w:r>
      <w:r>
        <w:t>GSTR3B_Annual_FY25-26.docx (Paragraph 1)</w:t>
      </w:r>
      <w:r>
        <w:t xml:space="preserve">; </w:t>
      </w:r>
      <w:r>
        <w:t>HDFC_OD_Stmt_FY27.docx (Paragraph 1)</w:t>
      </w:r>
      <w:r>
        <w:t xml:space="preserve">; </w:t>
      </w:r>
      <w:r>
        <w:t>HDFC_Sanction_WC_2025.pdf (PDF available)</w:t>
      </w:r>
      <w:r>
        <w:t xml:space="preserve">; </w:t>
      </w:r>
      <w:r>
        <w:t>ITR6_FY2025-26.docx (Paragraph 1)</w:t>
      </w:r>
      <w:r>
        <w:t xml:space="preserve">; </w:t>
      </w:r>
      <w:r>
        <w:t>Mitesh_Bohra_Aadhaar.png (Image evidence)</w:t>
      </w:r>
      <w:r>
        <w:t xml:space="preserve">; </w:t>
      </w:r>
      <w:r>
        <w:t>Mitesh_Bohra_CIBIL_Mar2027.docx (Paragraph 1)</w:t>
      </w:r>
      <w:r>
        <w:t xml:space="preserve">; </w:t>
      </w:r>
      <w:r>
        <w:t>MoA_and_AoA.docx</w:t>
      </w:r>
      <w:r>
        <w:t xml:space="preserve">; </w:t>
      </w:r>
      <w:r>
        <w:t>Promoter_Profiles_2027.docx (Paragraph 1)</w:t>
      </w:r>
      <w:r>
        <w:t xml:space="preserve">; </w:t>
      </w:r>
      <w:r>
        <w:t>Provisional_BS_Dec2026.xlsx (Spreadsheet source)</w:t>
      </w:r>
      <w:r>
        <w:t xml:space="preserve">; </w:t>
      </w:r>
      <w:r>
        <w:t>Provisional_BS_Sept26.xlsx (Spreadsheet source)</w:t>
      </w:r>
      <w:r>
        <w:t xml:space="preserve">; </w:t>
      </w:r>
      <w:r>
        <w:t>Provisional_PL_Dec2026.xlsx (Spreadsheet source)</w:t>
      </w:r>
      <w:r>
        <w:t xml:space="preserve">; </w:t>
      </w:r>
      <w:r>
        <w:t>Siddharth_Sethi_Passport.png (Image evidence)</w:t>
      </w:r>
      <w:r>
        <w:t xml:space="preserve">; </w:t>
      </w:r>
      <w:r>
        <w:t>company_pan.png</w:t>
      </w:r>
      <w:r>
        <w:t xml:space="preserve">; </w:t>
      </w:r>
      <w:r>
        <w:t>promoters_pan.png</w:t>
      </w:r>
    </w:p>
    <w:p>
      <w:pPr>
        <w:pStyle w:val="Heading1"/>
      </w:pPr>
      <w:r>
        <w:t>Draft Notes</w:t>
      </w:r>
    </w:p>
    <w:p>
      <w:pPr>
        <w:pStyle w:val="ListBullet"/>
      </w:pPr>
      <w:r>
        <w:t>Sections marked 'pending' require upstream agents or manual analyst input.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