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color w:val="F25F3A"/>
          <w:sz w:val="24"/>
        </w:rPr>
        <w:t>System Design Write-up</w:t>
      </w:r>
    </w:p>
    <w:p>
      <w:pPr>
        <w:jc w:val="center"/>
      </w:pPr>
      <w:r>
        <w:rPr>
          <w:color w:val="667085"/>
          <w:sz w:val="17"/>
        </w:rPr>
        <w:t>React/Vite • FastAPI • PostgreSQL • Vercel/Render</w:t>
      </w:r>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1800"/>
            <w:vAlign w:val="center"/>
            <w:shd w:fill="F7F8F6"/>
            <w:tcBorders>
              <w:top w:val="single" w:sz="4" w:color="DDE5E1"/>
              <w:left w:val="single" w:sz="4" w:color="DDE5E1"/>
              <w:bottom w:val="single" w:sz="4" w:color="DDE5E1"/>
              <w:right w:val="single" w:sz="4" w:color="DDE5E1"/>
            </w:tcBorders>
          </w:tcPr>
          <w:p>
            <w:pPr>
              <w:jc w:val="center"/>
            </w:pPr>
            <w:r/>
            <w:r>
              <w:rPr>
                <w:b/>
                <w:color w:val="071D34"/>
                <w:sz w:val="17"/>
              </w:rPr>
              <w:t>React + Vite</w:t>
              <w:br/>
              <w:t>(Vercel)</w:t>
            </w:r>
          </w:p>
        </w:tc>
        <w:tc>
          <w:tcPr>
            <w:tcW w:type="dxa" w:w="504"/>
            <w:vAlign w:val="center"/>
            <w:shd w:fill="F7F8F6"/>
            <w:tcBorders>
              <w:top w:val="single" w:sz="4" w:color="DDE5E1"/>
              <w:left w:val="single" w:sz="4" w:color="DDE5E1"/>
              <w:bottom w:val="single" w:sz="4" w:color="DDE5E1"/>
              <w:right w:val="single" w:sz="4" w:color="DDE5E1"/>
            </w:tcBorders>
          </w:tcPr>
          <w:p>
            <w:pPr>
              <w:jc w:val="center"/>
            </w:pPr>
            <w:r/>
            <w:r>
              <w:rPr>
                <w:b w:val="0"/>
                <w:color w:val="128C7E"/>
                <w:sz w:val="26"/>
              </w:rPr>
              <w:t>→</w:t>
            </w:r>
          </w:p>
        </w:tc>
        <w:tc>
          <w:tcPr>
            <w:tcW w:type="dxa" w:w="2016"/>
            <w:vAlign w:val="center"/>
            <w:shd w:fill="F7F8F6"/>
            <w:tcBorders>
              <w:top w:val="single" w:sz="4" w:color="DDE5E1"/>
              <w:left w:val="single" w:sz="4" w:color="DDE5E1"/>
              <w:bottom w:val="single" w:sz="4" w:color="DDE5E1"/>
              <w:right w:val="single" w:sz="4" w:color="DDE5E1"/>
            </w:tcBorders>
          </w:tcPr>
          <w:p>
            <w:pPr>
              <w:jc w:val="center"/>
            </w:pPr>
            <w:r/>
            <w:r>
              <w:rPr>
                <w:b/>
                <w:color w:val="071D34"/>
                <w:sz w:val="17"/>
              </w:rPr>
              <w:t>FastAPI</w:t>
              <w:br/>
              <w:t>(Render)</w:t>
            </w:r>
          </w:p>
        </w:tc>
        <w:tc>
          <w:tcPr>
            <w:tcW w:type="dxa" w:w="504"/>
            <w:vAlign w:val="center"/>
            <w:shd w:fill="F7F8F6"/>
            <w:tcBorders>
              <w:top w:val="single" w:sz="4" w:color="DDE5E1"/>
              <w:left w:val="single" w:sz="4" w:color="DDE5E1"/>
              <w:bottom w:val="single" w:sz="4" w:color="DDE5E1"/>
              <w:right w:val="single" w:sz="4" w:color="DDE5E1"/>
            </w:tcBorders>
          </w:tcPr>
          <w:p>
            <w:pPr>
              <w:jc w:val="center"/>
            </w:pPr>
            <w:r/>
            <w:r>
              <w:rPr>
                <w:b w:val="0"/>
                <w:color w:val="128C7E"/>
                <w:sz w:val="26"/>
              </w:rPr>
              <w:t>→</w:t>
            </w:r>
          </w:p>
        </w:tc>
        <w:tc>
          <w:tcPr>
            <w:tcW w:type="dxa" w:w="2232"/>
            <w:vAlign w:val="center"/>
            <w:shd w:fill="F7F8F6"/>
            <w:tcBorders>
              <w:top w:val="single" w:sz="4" w:color="DDE5E1"/>
              <w:left w:val="single" w:sz="4" w:color="DDE5E1"/>
              <w:bottom w:val="single" w:sz="4" w:color="DDE5E1"/>
              <w:right w:val="single" w:sz="4" w:color="DDE5E1"/>
            </w:tcBorders>
          </w:tcPr>
          <w:p>
            <w:pPr>
              <w:jc w:val="center"/>
            </w:pPr>
            <w:r/>
            <w:r>
              <w:rPr>
                <w:b/>
                <w:color w:val="071D34"/>
                <w:sz w:val="17"/>
              </w:rPr>
              <w:t>PostgreSQL</w:t>
              <w:br/>
              <w:t>(Render)</w:t>
            </w:r>
          </w:p>
        </w:tc>
      </w:tr>
    </w:tbl>
    <w:p/>
    <w:p>
      <w:pPr>
        <w:pStyle w:val="Heading1"/>
      </w:pPr>
      <w:r>
        <w:t>1. Architecture</w:t>
      </w:r>
    </w:p>
    <w:p>
      <w:r>
        <w:t>The system is a modular monolith with a React/Vite frontend, a FastAPI backend, and PostgreSQL as the source of truth. Vercel hosts the frontend; Render hosts the API and PostgreSQL. The backend is organized as router → service/domain logic → SQLAlchemy/PostgreSQL, keeping HTTP concerns separate from business rules without introducing unnecessary repository or microservice layers.</w:t>
      </w:r>
    </w:p>
    <w:p>
      <w:r>
        <w:t>Three roles are enforced with JWT-based RBAC: Customer, Delivery Agent, and Admin. PostgreSQL stores users, service zones, postal-code areas, rate cards, COD surcharges, orders, agent state, delivery attempts, immutable status history, outbox events, and notification-delivery state.</w:t>
      </w:r>
    </w:p>
    <w:p>
      <w:pPr>
        <w:pStyle w:val="Heading1"/>
      </w:pPr>
      <w:r>
        <w:t>2. Rate Calculation Engine</w:t>
      </w:r>
    </w:p>
    <w:p>
      <w:r>
        <w:t>Pricing is fully server-side and admin-configurable. A quote is calculated before order confirmation, but the backend recalculates the price when the order is confirmed so frontend totals are never trusted.</w:t>
      </w:r>
    </w:p>
    <w:p>
      <w:pPr>
        <w:pStyle w:val="CodeBlock"/>
      </w:pPr>
      <w:r>
        <w:t>volumetric_weight = length_cm × breadth_cm × height_cm / 5000</w:t>
        <w:br/>
        <w:t>billable_weight   = max(actual_weight, volumetric_weight)</w:t>
        <w:br/>
        <w:t>delivery_charge   = billable_weight × rate_per_kg</w:t>
        <w:br/>
        <w:t>total_charge      = delivery_charge + COD surcharge (if COD)</w:t>
      </w:r>
    </w:p>
    <w:p>
      <w:r>
        <w:t>The active rate card is selected by origin zone, destination zone, and order type (B2B/B2C). Same-zone combinations represent intra-zone rates; different-zone combinations represent inter-zone rates. Decimal arithmetic is used, with weights stored to three decimals and money rounded to two decimals using ROUND_HALF_UP. Confirmed orders snapshot the rate and commercial values, so later admin changes do not alter historical prices.</w:t>
      </w:r>
    </w:p>
    <w:p>
      <w:pPr>
        <w:pStyle w:val="Heading1"/>
      </w:pPr>
      <w:r>
        <w:t>3. Zone Detection</w:t>
      </w:r>
    </w:p>
    <w:p>
      <w:r>
        <w:t>Pickup and drop addresses are geocoded through Geoapify. The backend extracts and normalizes each postal code, then resolves it against the active areas table. Every area belongs to exactly one admin-managed zone. If either postal code is not configured as an active service area, the quote is rejected instead of guessing a nearby zone. This keeps pricing deterministic and auditable while avoiding unnecessary GIS complexity such as PostGIS or polygon processing for the assignment scale.</w:t>
      </w:r>
    </w:p>
    <w:p>
      <w:pPr>
        <w:pStyle w:val="Heading1"/>
      </w:pPr>
      <w:r>
        <w:t>4. Agent Availability and Auto-Assignment</w:t>
      </w:r>
    </w:p>
    <w:p>
      <w:r>
        <w:t>Each delivery agent has an explicit availability state: AVAILABLE, BUSY, or OFFLINE, plus optional current coordinates, current zone, and last-assigned timestamp. Auto-assignment considers AVAILABLE agents only.</w:t>
      </w:r>
    </w:p>
    <w:p>
      <w:r>
        <w:t>Agents with coordinates are ranked by Haversine distance from their current location to the pickup location. The nearest wins; ties prefer the least recently assigned agent and then the lower agent ID for deterministic behavior. If no available agent has usable coordinates, the system falls back to AVAILABLE agents in the pickup zone using the same tie-breaks.</w:t>
      </w:r>
    </w:p>
    <w:p>
      <w:r>
        <w:t>Assignment runs inside a PostgreSQL transaction using row-level locking (SELECT ... FOR UPDATE). The selected agent is rechecked after locking before the order is assigned and the agent is marked BUSY. This prevents two concurrent orders from successfully claiming the same available agent.</w:t>
      </w:r>
    </w:p>
    <w:p>
      <w:pPr>
        <w:pStyle w:val="Heading1"/>
      </w:pPr>
      <w:r>
        <w:t>5. Lifecycle, Failed Delivery, and Tracking</w:t>
      </w:r>
    </w:p>
    <w:p>
      <w:pPr>
        <w:pStyle w:val="CodeBlock"/>
      </w:pPr>
      <w:r>
        <w:t>CREATED → ASSIGNED → PICKED_UP → IN_TRANSIT → OUT_FOR_DELIVERY → DELIVERED</w:t>
        <w:br/>
        <w:t xml:space="preserve">                                              ↘ FAILED → RESCHEDULED → ASSIGNED → ...</w:t>
      </w:r>
    </w:p>
    <w:p>
      <w:r>
        <w:t>Every transition atomically updates the order’s current status and appends an immutable history row containing timestamp, actor, actor role, previous status, new status, and optional reason. Admin overrides require a reason and still append history.</w:t>
      </w:r>
    </w:p>
    <w:p>
      <w:r>
        <w:t>A DeliveryAttempt preserves each physical delivery attempt. When delivery fails, the active attempt is marked FAILED with its reason and completion time, the agent is released to AVAILABLE, and the customer is notified. The customer can choose a future reschedule date; this creates a new PLANNED attempt rather than overwriting the failed one. Admin assignment then selects an eligible agent again, preserving a complete audit trail across attempts.</w:t>
      </w:r>
    </w:p>
    <w:p>
      <w:pPr>
        <w:pStyle w:val="Heading1"/>
      </w:pPr>
      <w:r>
        <w:t>6. Reliable Notifications</w:t>
      </w:r>
    </w:p>
    <w:p>
      <w:r>
        <w:t>Status-changing transactions create immutable outbox events and separate EMAIL/SMS delivery rows in the same database transaction. A worker processes pending deliveries through Resend and Twilio. Provider failures never roll back an already-committed order status. Each event/channel pair is unique, successful sends are not resent, and failures use bounded retries: 1, 5, 15, and 60 minutes, with a maximum of five attempts.</w:t>
      </w:r>
    </w:p>
    <w:p>
      <w:r>
        <w:t>The standalone worker is the intended production model. For the free Render demo, the same polling logic can run in-process when a separate worker service is unavailable; the notification processing logic itself is shared rather than duplicated.</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5"/>
      </w:rPr>
      <w:t xml:space="preserve">Last-Mile Delivery Tracker  •  System Design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071D34"/>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128C7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071D3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ind w:left="216" w:right="216"/>
    </w:pPr>
    <w:rPr>
      <w:rFonts w:ascii="Consolas" w:hAnsi="Consolas"/>
      <w:color w:val="14203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Last-Mile Delivery Tracker - System Design</dc:title>
  <dc:subject>System design write-up for the Last-Mile Delivery Tracker assignment</dc:subject>
  <dc:creator>python-docx</dc:creator>
  <cp:keywords>FastAPI, PostgreSQL, React, delivery, assignment, notifications</cp:keywords>
  <dc:description>generated by python-docx</dc:description>
  <cp:lastModifiedBy/>
  <cp:revision>1</cp:revision>
  <dcterms:created xsi:type="dcterms:W3CDTF">2013-12-23T23:15:00Z</dcterms:created>
  <dcterms:modified xsi:type="dcterms:W3CDTF">2013-12-23T23:15:00Z</dcterms:modified>
  <cp:category/>
</cp:coreProperties>
</file>