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4"/>
        </w:rPr>
        <w:br/>
        <w:t>WEEK 4 TASK</w:t>
        <w:br/>
      </w:r>
    </w:p>
    <w:p>
      <w:pPr>
        <w:pStyle w:val="Title"/>
        <w:jc w:val="center"/>
      </w:pPr>
      <w:r>
        <w:t>Coding Style Guidelines &amp;</w:t>
        <w:br/>
        <w:t>Inline Documentation</w:t>
      </w:r>
    </w:p>
    <w:p>
      <w:pPr>
        <w:jc w:val="center"/>
      </w:pPr>
      <w:r>
        <w:rPr>
          <w:b/>
          <w:sz w:val="24"/>
        </w:rPr>
        <w:t>Project: Smart Campus Student Support System</w:t>
      </w:r>
    </w:p>
    <w:p>
      <w:pPr>
        <w:jc w:val="center"/>
      </w:pPr>
      <w:r>
        <w:t>Prepared for: Junior Software Developer Internship</w:t>
      </w:r>
    </w:p>
    <w:p/>
    <w:p>
      <w:pPr>
        <w:pStyle w:val="Heading1"/>
      </w:pPr>
      <w:r>
        <w:t>1. Introduction</w:t>
      </w:r>
    </w:p>
    <w:p>
      <w:r>
        <w:t>Coding standards are agreed rules that help developers write source code in a consistent, readable, and maintainable way. In a team project, different people may work on the frontend, API routes, database schema, and documentation. If each person uses a different naming style or formatting approach, the code becomes harder to understand and review. Clear standards reduce avoidable mistakes, make debugging easier, and help new team members understand the project quickly.</w:t>
      </w:r>
    </w:p>
    <w:p>
      <w:r>
        <w:t>Inline documentation adds useful explanations close to the code. It should explain the purpose of a function, the reason for a non-obvious decision, or an important condition—not simply repeat what each line already says. This document proposes practical guidelines for the Smart Campus Student Support System, including announcements, student requests, request status updates, and staff/admin workflows.</w:t>
      </w:r>
    </w:p>
    <w:p>
      <w:pPr>
        <w:pStyle w:val="Heading1"/>
      </w:pPr>
      <w:r>
        <w:t>2. Scope and Technology</w:t>
      </w:r>
    </w:p>
    <w:p>
      <w:r>
        <w:t>The project includes a React and TypeScript frontend (for example, App.tsx), API route handlers, an OpenAPI specification, and database schema files. The following rules focus on TypeScript/JavaScript and API documentation, while the same principles can be adapted to other languages used in the project.</w:t>
      </w:r>
    </w:p>
    <w:p>
      <w:pPr>
        <w:pStyle w:val="Heading1"/>
      </w:pPr>
      <w:r>
        <w:t>3. Naming Conventions</w:t>
      </w:r>
    </w:p>
    <w:p>
      <w:r>
        <w:t>Use names that explain what a variable, function, type, or file represents. Avoid unclear names such as x, temp, data1, or doThing except for very short, obvious loop counters.</w:t>
      </w:r>
    </w:p>
    <w:p>
      <w:pPr>
        <w:pStyle w:val="ListBullet"/>
      </w:pPr>
      <w:r>
        <w:t>Variables and functions: use camelCase, such as studentRequest, requestStatus, and updateRequestStatus().</w:t>
      </w:r>
    </w:p>
    <w:p>
      <w:pPr>
        <w:pStyle w:val="ListBullet"/>
      </w:pPr>
      <w:r>
        <w:t>React components and TypeScript types/interfaces: use PascalCase, such as RequestStatusBadge, StudentRequest, and AnnouncementForm.</w:t>
      </w:r>
    </w:p>
    <w:p>
      <w:pPr>
        <w:pStyle w:val="ListBullet"/>
      </w:pPr>
      <w:r>
        <w:t>Constants: use UPPER_SNAKE_CASE for values that are true constants, such as MAX_REQUEST_TITLE_LENGTH.</w:t>
      </w:r>
    </w:p>
    <w:p>
      <w:pPr>
        <w:pStyle w:val="ListBullet"/>
      </w:pPr>
      <w:r>
        <w:t>Boolean variables: use a clear prefix such as is, has, or can—for example, isLoading, hasPermission, and canEditRequest.</w:t>
      </w:r>
    </w:p>
    <w:p>
      <w:pPr>
        <w:pStyle w:val="ListBullet"/>
      </w:pPr>
      <w:r>
        <w:t>Files: use PascalCase for React component files (RequestStatusBadge.tsx) and descriptive lowercase names for utilities where the project convention supports it (date-utils.ts).</w:t>
      </w:r>
    </w:p>
    <w:p>
      <w:pPr>
        <w:pStyle w:val="ListBullet"/>
      </w:pPr>
      <w:r>
        <w:t>API routes: use resource-oriented nouns and consistent HTTP methods, such as GET /api/requests and PATCH /api/requests/:requestId/status.</w:t>
      </w:r>
    </w:p>
    <w:p>
      <w:pPr>
        <w:pStyle w:val="ListBullet"/>
      </w:pPr>
      <w:r>
        <w:t>Database fields: follow one consistent convention, such as camelCase in TypeScript and the schema's established convention in the database. Do not mix styles arbitrarily.</w:t>
      </w:r>
    </w:p>
    <w:p>
      <w:pPr>
        <w:pStyle w:val="Heading1"/>
      </w:pPr>
      <w:r>
        <w:t>4. Code Formatting Rules</w:t>
      </w:r>
    </w:p>
    <w:p>
      <w:pPr>
        <w:pStyle w:val="ListBullet"/>
      </w:pPr>
      <w:r>
        <w:t>Indent nested code with two spaces in TypeScript/JavaScript, and do not mix tabs and spaces.</w:t>
      </w:r>
    </w:p>
    <w:p>
      <w:pPr>
        <w:pStyle w:val="ListBullet"/>
      </w:pPr>
      <w:r>
        <w:t>Use single quotes for strings unless the project formatter or existing codebase consistently uses another rule.</w:t>
      </w:r>
    </w:p>
    <w:p>
      <w:pPr>
        <w:pStyle w:val="ListBullet"/>
      </w:pPr>
      <w:r>
        <w:t>End statements consistently with semicolons if that is the repository's chosen TypeScript convention.</w:t>
      </w:r>
    </w:p>
    <w:p>
      <w:pPr>
        <w:pStyle w:val="ListBullet"/>
      </w:pPr>
      <w:r>
        <w:t>Keep lines around 100 characters where practical. Break long function calls, conditions, and object literals across multiple lines.</w:t>
      </w:r>
    </w:p>
    <w:p>
      <w:pPr>
        <w:pStyle w:val="ListBullet"/>
      </w:pPr>
      <w:r>
        <w:t>Use spaces around operators and after commas. Keep braces and parentheses easy to scan.</w:t>
      </w:r>
    </w:p>
    <w:p>
      <w:pPr>
        <w:pStyle w:val="ListBullet"/>
      </w:pPr>
      <w:r>
        <w:t>Prefer small functions that perform one clear task. Extract complex conditions into named helper functions.</w:t>
      </w:r>
    </w:p>
    <w:p>
      <w:pPr>
        <w:pStyle w:val="ListBullet"/>
      </w:pPr>
      <w:r>
        <w:t>Remove unused imports, variables, commented-out code, and debugging logs before submitting a change.</w:t>
      </w:r>
    </w:p>
    <w:p>
      <w:pPr>
        <w:pStyle w:val="ListBullet"/>
      </w:pPr>
      <w:r>
        <w:t>Do not reformat unrelated files in a small bug-fix commit; keep changes focused.</w:t>
      </w:r>
    </w:p>
    <w:p>
      <w:pPr>
        <w:pStyle w:val="Heading1"/>
      </w:pPr>
      <w:r>
        <w:t>5. File and Folder Organization</w:t>
      </w:r>
    </w:p>
    <w:p>
      <w:r>
        <w:t>Organize files by responsibility so that a developer can locate a feature without searching the entire repository. Keep UI components separate from API communication, business rules, and database access.</w:t>
      </w:r>
    </w:p>
    <w:tbl>
      <w:tblPr>
        <w:tblW w:type="auto" w:w="0"/>
        <w:tblLayout w:type="autofit"/>
        <w:tblLook w:firstColumn="1" w:firstRow="1" w:lastColumn="0" w:lastRow="0" w:noHBand="0" w:noVBand="1" w:val="04A0"/>
      </w:tblPr>
      <w:tblGrid>
        <w:gridCol w:w="9936"/>
      </w:tblGrid>
      <w:tr>
        <w:tc>
          <w:tcPr>
            <w:tcW w:type="dxa" w:w="9936"/>
            <w:shd w:fill="F2F4F7"/>
          </w:tcPr>
          <w:p>
            <w:pPr>
              <w:spacing w:after="40"/>
            </w:pPr>
            <w:r>
              <w:rPr>
                <w:rFonts w:ascii="Consolas" w:hAnsi="Consolas"/>
                <w:color w:val="2D3741"/>
                <w:sz w:val="18"/>
              </w:rPr>
              <w:t>src/</w:t>
            </w:r>
            <w:r>
              <w:br/>
            </w:r>
            <w:r>
              <w:rPr>
                <w:rFonts w:ascii="Consolas" w:hAnsi="Consolas"/>
                <w:color w:val="2D3741"/>
                <w:sz w:val="18"/>
              </w:rPr>
              <w:t xml:space="preserve">  components/</w:t>
            </w:r>
            <w:r>
              <w:br/>
            </w:r>
            <w:r>
              <w:rPr>
                <w:rFonts w:ascii="Consolas" w:hAnsi="Consolas"/>
                <w:color w:val="2D3741"/>
                <w:sz w:val="18"/>
              </w:rPr>
              <w:t xml:space="preserve">    RequestStatusBadge.tsx</w:t>
            </w:r>
            <w:r>
              <w:br/>
            </w:r>
            <w:r>
              <w:rPr>
                <w:rFonts w:ascii="Consolas" w:hAnsi="Consolas"/>
                <w:color w:val="2D3741"/>
                <w:sz w:val="18"/>
              </w:rPr>
              <w:t xml:space="preserve">    AnnouncementCard.tsx</w:t>
            </w:r>
            <w:r>
              <w:br/>
            </w:r>
            <w:r>
              <w:rPr>
                <w:rFonts w:ascii="Consolas" w:hAnsi="Consolas"/>
                <w:color w:val="2D3741"/>
                <w:sz w:val="18"/>
              </w:rPr>
              <w:t xml:space="preserve">  features/</w:t>
            </w:r>
            <w:r>
              <w:br/>
            </w:r>
            <w:r>
              <w:rPr>
                <w:rFonts w:ascii="Consolas" w:hAnsi="Consolas"/>
                <w:color w:val="2D3741"/>
                <w:sz w:val="18"/>
              </w:rPr>
              <w:t xml:space="preserve">    requests/</w:t>
            </w:r>
            <w:r>
              <w:br/>
            </w:r>
            <w:r>
              <w:rPr>
                <w:rFonts w:ascii="Consolas" w:hAnsi="Consolas"/>
                <w:color w:val="2D3741"/>
                <w:sz w:val="18"/>
              </w:rPr>
              <w:t xml:space="preserve">      RequestList.tsx</w:t>
            </w:r>
            <w:r>
              <w:br/>
            </w:r>
            <w:r>
              <w:rPr>
                <w:rFonts w:ascii="Consolas" w:hAnsi="Consolas"/>
                <w:color w:val="2D3741"/>
                <w:sz w:val="18"/>
              </w:rPr>
              <w:t xml:space="preserve">      request-types.ts</w:t>
            </w:r>
            <w:r>
              <w:br/>
            </w:r>
            <w:r>
              <w:rPr>
                <w:rFonts w:ascii="Consolas" w:hAnsi="Consolas"/>
                <w:color w:val="2D3741"/>
                <w:sz w:val="18"/>
              </w:rPr>
              <w:t xml:space="preserve">  services/</w:t>
            </w:r>
            <w:r>
              <w:br/>
            </w:r>
            <w:r>
              <w:rPr>
                <w:rFonts w:ascii="Consolas" w:hAnsi="Consolas"/>
                <w:color w:val="2D3741"/>
                <w:sz w:val="18"/>
              </w:rPr>
              <w:t xml:space="preserve">    request-api.ts</w:t>
            </w:r>
            <w:r>
              <w:br/>
            </w:r>
            <w:r>
              <w:rPr>
                <w:rFonts w:ascii="Consolas" w:hAnsi="Consolas"/>
                <w:color w:val="2D3741"/>
                <w:sz w:val="18"/>
              </w:rPr>
              <w:t xml:space="preserve">  utils/</w:t>
            </w:r>
            <w:r>
              <w:br/>
            </w:r>
            <w:r>
              <w:rPr>
                <w:rFonts w:ascii="Consolas" w:hAnsi="Consolas"/>
                <w:color w:val="2D3741"/>
                <w:sz w:val="18"/>
              </w:rPr>
              <w:t xml:space="preserve">    date-utils.ts</w:t>
            </w:r>
            <w:r>
              <w:br/>
            </w:r>
            <w:r>
              <w:rPr>
                <w:rFonts w:ascii="Consolas" w:hAnsi="Consolas"/>
                <w:color w:val="2D3741"/>
                <w:sz w:val="18"/>
              </w:rPr>
            </w:r>
            <w:r>
              <w:br/>
            </w:r>
            <w:r>
              <w:rPr>
                <w:rFonts w:ascii="Consolas" w:hAnsi="Consolas"/>
                <w:color w:val="2D3741"/>
                <w:sz w:val="18"/>
              </w:rPr>
              <w:t>api-server/</w:t>
            </w:r>
            <w:r>
              <w:br/>
            </w:r>
            <w:r>
              <w:rPr>
                <w:rFonts w:ascii="Consolas" w:hAnsi="Consolas"/>
                <w:color w:val="2D3741"/>
                <w:sz w:val="18"/>
              </w:rPr>
              <w:t xml:space="preserve">  routes/</w:t>
            </w:r>
            <w:r>
              <w:br/>
            </w:r>
            <w:r>
              <w:rPr>
                <w:rFonts w:ascii="Consolas" w:hAnsi="Consolas"/>
                <w:color w:val="2D3741"/>
                <w:sz w:val="18"/>
              </w:rPr>
              <w:t xml:space="preserve">    requests.ts</w:t>
            </w:r>
            <w:r>
              <w:br/>
            </w:r>
            <w:r>
              <w:rPr>
                <w:rFonts w:ascii="Consolas" w:hAnsi="Consolas"/>
                <w:color w:val="2D3741"/>
                <w:sz w:val="18"/>
              </w:rPr>
              <w:t xml:space="preserve">    announcements.ts</w:t>
            </w:r>
            <w:r>
              <w:br/>
            </w:r>
            <w:r>
              <w:rPr>
                <w:rFonts w:ascii="Consolas" w:hAnsi="Consolas"/>
                <w:color w:val="2D3741"/>
                <w:sz w:val="18"/>
              </w:rPr>
            </w:r>
            <w:r>
              <w:br/>
            </w:r>
            <w:r>
              <w:rPr>
                <w:rFonts w:ascii="Consolas" w:hAnsi="Consolas"/>
                <w:color w:val="2D3741"/>
                <w:sz w:val="18"/>
              </w:rPr>
              <w:t>lib/</w:t>
            </w:r>
            <w:r>
              <w:br/>
            </w:r>
            <w:r>
              <w:rPr>
                <w:rFonts w:ascii="Consolas" w:hAnsi="Consolas"/>
                <w:color w:val="2D3741"/>
                <w:sz w:val="18"/>
              </w:rPr>
              <w:t xml:space="preserve">  api-spec/</w:t>
            </w:r>
            <w:r>
              <w:br/>
            </w:r>
            <w:r>
              <w:rPr>
                <w:rFonts w:ascii="Consolas" w:hAnsi="Consolas"/>
                <w:color w:val="2D3741"/>
                <w:sz w:val="18"/>
              </w:rPr>
              <w:t xml:space="preserve">    openapi.yaml</w:t>
            </w:r>
            <w:r>
              <w:br/>
            </w:r>
            <w:r>
              <w:rPr>
                <w:rFonts w:ascii="Consolas" w:hAnsi="Consolas"/>
                <w:color w:val="2D3741"/>
                <w:sz w:val="18"/>
              </w:rPr>
              <w:t xml:space="preserve">  db/</w:t>
            </w:r>
            <w:r>
              <w:br/>
            </w:r>
            <w:r>
              <w:rPr>
                <w:rFonts w:ascii="Consolas" w:hAnsi="Consolas"/>
                <w:color w:val="2D3741"/>
                <w:sz w:val="18"/>
              </w:rPr>
              <w:t xml:space="preserve">    schema/</w:t>
            </w:r>
          </w:p>
        </w:tc>
      </w:tr>
    </w:tbl>
    <w:p/>
    <w:p>
      <w:r>
        <w:t>This is a suggested structure; the team should preserve the existing repository layout if it already has an established structure. Avoid placing unrelated features in one large file.</w:t>
      </w:r>
    </w:p>
    <w:p>
      <w:pPr>
        <w:pStyle w:val="Heading1"/>
      </w:pPr>
      <w:r>
        <w:t>6. Commenting and Inline Documentation</w:t>
      </w:r>
    </w:p>
    <w:p>
      <w:pPr>
        <w:pStyle w:val="Heading2"/>
      </w:pPr>
      <w:r>
        <w:t>6.1 General principles</w:t>
      </w:r>
    </w:p>
    <w:p>
      <w:pPr>
        <w:pStyle w:val="ListBullet"/>
      </w:pPr>
      <w:r>
        <w:t>Explain why a decision is necessary, especially when it may not be obvious to the next developer.</w:t>
      </w:r>
    </w:p>
    <w:p>
      <w:pPr>
        <w:pStyle w:val="ListBullet"/>
      </w:pPr>
      <w:r>
        <w:t>Document function purpose, important parameters, return values, expected errors, and permissions where relevant.</w:t>
      </w:r>
    </w:p>
    <w:p>
      <w:pPr>
        <w:pStyle w:val="ListBullet"/>
      </w:pPr>
      <w:r>
        <w:t>Keep comments accurate when code changes. Outdated comments are more confusing than no comments.</w:t>
      </w:r>
    </w:p>
    <w:p>
      <w:pPr>
        <w:pStyle w:val="ListBullet"/>
      </w:pPr>
      <w:r>
        <w:t>Avoid comments that repeat the code, such as // Add one to count immediately above count += 1.</w:t>
      </w:r>
    </w:p>
    <w:p>
      <w:pPr>
        <w:pStyle w:val="ListBullet"/>
      </w:pPr>
      <w:r>
        <w:t>Use TODO comments only when they include a clear action or tracking reference; remove them when completed.</w:t>
      </w:r>
    </w:p>
    <w:p>
      <w:pPr>
        <w:pStyle w:val="ListBullet"/>
      </w:pPr>
      <w:r>
        <w:t>Never put passwords, access tokens, private student data, or other secrets in comments or source code.</w:t>
      </w:r>
    </w:p>
    <w:p>
      <w:pPr>
        <w:pStyle w:val="Heading2"/>
      </w:pPr>
      <w:r>
        <w:t>6.2 Example: useful TypeScript documentation</w:t>
      </w:r>
    </w:p>
    <w:tbl>
      <w:tblPr>
        <w:tblW w:type="auto" w:w="0"/>
        <w:tblLayout w:type="autofit"/>
        <w:tblLook w:firstColumn="1" w:firstRow="1" w:lastColumn="0" w:lastRow="0" w:noHBand="0" w:noVBand="1" w:val="04A0"/>
      </w:tblPr>
      <w:tblGrid>
        <w:gridCol w:w="9936"/>
      </w:tblGrid>
      <w:tr>
        <w:tc>
          <w:tcPr>
            <w:tcW w:type="dxa" w:w="9936"/>
            <w:shd w:fill="F2F4F7"/>
          </w:tcPr>
          <w:p>
            <w:pPr>
              <w:spacing w:after="40"/>
            </w:pPr>
            <w:r>
              <w:rPr>
                <w:rFonts w:ascii="Consolas" w:hAnsi="Consolas"/>
                <w:color w:val="2D3741"/>
                <w:sz w:val="18"/>
              </w:rPr>
              <w:t>/**</w:t>
            </w:r>
            <w:r>
              <w:br/>
            </w:r>
            <w:r>
              <w:rPr>
                <w:rFonts w:ascii="Consolas" w:hAnsi="Consolas"/>
                <w:color w:val="2D3741"/>
                <w:sz w:val="18"/>
              </w:rPr>
              <w:t xml:space="preserve"> * Changes the status of a student support request.</w:t>
            </w:r>
            <w:r>
              <w:br/>
            </w:r>
            <w:r>
              <w:rPr>
                <w:rFonts w:ascii="Consolas" w:hAnsi="Consolas"/>
                <w:color w:val="2D3741"/>
                <w:sz w:val="18"/>
              </w:rPr>
              <w:t xml:space="preserve"> *</w:t>
            </w:r>
            <w:r>
              <w:br/>
            </w:r>
            <w:r>
              <w:rPr>
                <w:rFonts w:ascii="Consolas" w:hAnsi="Consolas"/>
                <w:color w:val="2D3741"/>
                <w:sz w:val="18"/>
              </w:rPr>
              <w:t xml:space="preserve"> * The caller must verify that the current user is allowed to</w:t>
            </w:r>
            <w:r>
              <w:br/>
            </w:r>
            <w:r>
              <w:rPr>
                <w:rFonts w:ascii="Consolas" w:hAnsi="Consolas"/>
                <w:color w:val="2D3741"/>
                <w:sz w:val="18"/>
              </w:rPr>
              <w:t xml:space="preserve"> * update this request before calling this function.</w:t>
            </w:r>
            <w:r>
              <w:br/>
            </w:r>
            <w:r>
              <w:rPr>
                <w:rFonts w:ascii="Consolas" w:hAnsi="Consolas"/>
                <w:color w:val="2D3741"/>
                <w:sz w:val="18"/>
              </w:rPr>
              <w:t xml:space="preserve"> *</w:t>
            </w:r>
            <w:r>
              <w:br/>
            </w:r>
            <w:r>
              <w:rPr>
                <w:rFonts w:ascii="Consolas" w:hAnsi="Consolas"/>
                <w:color w:val="2D3741"/>
                <w:sz w:val="18"/>
              </w:rPr>
              <w:t xml:space="preserve"> * @param requestId - Unique ID of the request to update.</w:t>
            </w:r>
            <w:r>
              <w:br/>
            </w:r>
            <w:r>
              <w:rPr>
                <w:rFonts w:ascii="Consolas" w:hAnsi="Consolas"/>
                <w:color w:val="2D3741"/>
                <w:sz w:val="18"/>
              </w:rPr>
              <w:t xml:space="preserve"> * @param nextStatus - New status selected by staff.</w:t>
            </w:r>
            <w:r>
              <w:br/>
            </w:r>
            <w:r>
              <w:rPr>
                <w:rFonts w:ascii="Consolas" w:hAnsi="Consolas"/>
                <w:color w:val="2D3741"/>
                <w:sz w:val="18"/>
              </w:rPr>
              <w:t xml:space="preserve"> * @returns The updated request after it is saved.</w:t>
            </w:r>
            <w:r>
              <w:br/>
            </w:r>
            <w:r>
              <w:rPr>
                <w:rFonts w:ascii="Consolas" w:hAnsi="Consolas"/>
                <w:color w:val="2D3741"/>
                <w:sz w:val="18"/>
              </w:rPr>
              <w:t xml:space="preserve"> * @throws Error when the request does not exist or saving fails.</w:t>
            </w:r>
            <w:r>
              <w:br/>
            </w:r>
            <w:r>
              <w:rPr>
                <w:rFonts w:ascii="Consolas" w:hAnsi="Consolas"/>
                <w:color w:val="2D3741"/>
                <w:sz w:val="18"/>
              </w:rPr>
              <w:t xml:space="preserve"> */</w:t>
            </w:r>
            <w:r>
              <w:br/>
            </w:r>
            <w:r>
              <w:rPr>
                <w:rFonts w:ascii="Consolas" w:hAnsi="Consolas"/>
                <w:color w:val="2D3741"/>
                <w:sz w:val="18"/>
              </w:rPr>
              <w:t>async function updateRequestStatus(</w:t>
            </w:r>
            <w:r>
              <w:br/>
            </w:r>
            <w:r>
              <w:rPr>
                <w:rFonts w:ascii="Consolas" w:hAnsi="Consolas"/>
                <w:color w:val="2D3741"/>
                <w:sz w:val="18"/>
              </w:rPr>
              <w:t xml:space="preserve">  requestId: string,</w:t>
            </w:r>
            <w:r>
              <w:br/>
            </w:r>
            <w:r>
              <w:rPr>
                <w:rFonts w:ascii="Consolas" w:hAnsi="Consolas"/>
                <w:color w:val="2D3741"/>
                <w:sz w:val="18"/>
              </w:rPr>
              <w:t xml:space="preserve">  nextStatus: RequestStatus</w:t>
            </w:r>
            <w:r>
              <w:br/>
            </w:r>
            <w:r>
              <w:rPr>
                <w:rFonts w:ascii="Consolas" w:hAnsi="Consolas"/>
                <w:color w:val="2D3741"/>
                <w:sz w:val="18"/>
              </w:rPr>
              <w:t>): Promise&lt;StudentRequest&gt; {</w:t>
            </w:r>
            <w:r>
              <w:br/>
            </w:r>
            <w:r>
              <w:rPr>
                <w:rFonts w:ascii="Consolas" w:hAnsi="Consolas"/>
                <w:color w:val="2D3741"/>
                <w:sz w:val="18"/>
              </w:rPr>
              <w:t xml:space="preserve">  // Save through the API so the change can be shared with the student.</w:t>
            </w:r>
            <w:r>
              <w:br/>
            </w:r>
            <w:r>
              <w:rPr>
                <w:rFonts w:ascii="Consolas" w:hAnsi="Consolas"/>
                <w:color w:val="2D3741"/>
                <w:sz w:val="18"/>
              </w:rPr>
              <w:t xml:space="preserve">  return requestApi.updateStatus(requestId, nextStatus);</w:t>
            </w:r>
            <w:r>
              <w:br/>
            </w:r>
            <w:r>
              <w:rPr>
                <w:rFonts w:ascii="Consolas" w:hAnsi="Consolas"/>
                <w:color w:val="2D3741"/>
                <w:sz w:val="18"/>
              </w:rPr>
              <w:t>}</w:t>
            </w:r>
          </w:p>
        </w:tc>
      </w:tr>
    </w:tbl>
    <w:p/>
    <w:p>
      <w:r>
        <w:t>The documentation describes purpose, parameters, return value, and possible errors. The inline comment explains a design reason: the update must be persisted through the API rather than kept only in temporary frontend state.</w:t>
      </w:r>
    </w:p>
    <w:p>
      <w:pPr>
        <w:pStyle w:val="Heading2"/>
      </w:pPr>
      <w:r>
        <w:t>6.3 Example: comment for complex logic</w:t>
      </w:r>
    </w:p>
    <w:tbl>
      <w:tblPr>
        <w:tblW w:type="auto" w:w="0"/>
        <w:tblLayout w:type="autofit"/>
        <w:tblLook w:firstColumn="1" w:firstRow="1" w:lastColumn="0" w:lastRow="0" w:noHBand="0" w:noVBand="1" w:val="04A0"/>
      </w:tblPr>
      <w:tblGrid>
        <w:gridCol w:w="9936"/>
      </w:tblGrid>
      <w:tr>
        <w:tc>
          <w:tcPr>
            <w:tcW w:type="dxa" w:w="9936"/>
            <w:shd w:fill="F2F4F7"/>
          </w:tcPr>
          <w:p>
            <w:pPr>
              <w:spacing w:after="40"/>
            </w:pPr>
            <w:r>
              <w:rPr>
                <w:rFonts w:ascii="Consolas" w:hAnsi="Consolas"/>
                <w:color w:val="2D3741"/>
                <w:sz w:val="18"/>
              </w:rPr>
              <w:t>// Only show the edit control when the user has permission and</w:t>
            </w:r>
            <w:r>
              <w:br/>
            </w:r>
            <w:r>
              <w:rPr>
                <w:rFonts w:ascii="Consolas" w:hAnsi="Consolas"/>
                <w:color w:val="2D3741"/>
                <w:sz w:val="18"/>
              </w:rPr>
              <w:t>// the request is not archived. The API must enforce this rule too.</w:t>
            </w:r>
            <w:r>
              <w:br/>
            </w:r>
            <w:r>
              <w:rPr>
                <w:rFonts w:ascii="Consolas" w:hAnsi="Consolas"/>
                <w:color w:val="2D3741"/>
                <w:sz w:val="18"/>
              </w:rPr>
              <w:t>const canEditRequest =</w:t>
            </w:r>
            <w:r>
              <w:br/>
            </w:r>
            <w:r>
              <w:rPr>
                <w:rFonts w:ascii="Consolas" w:hAnsi="Consolas"/>
                <w:color w:val="2D3741"/>
                <w:sz w:val="18"/>
              </w:rPr>
              <w:t xml:space="preserve">  currentUser.permissions.includes('request:edit') &amp;&amp;</w:t>
            </w:r>
            <w:r>
              <w:br/>
            </w:r>
            <w:r>
              <w:rPr>
                <w:rFonts w:ascii="Consolas" w:hAnsi="Consolas"/>
                <w:color w:val="2D3741"/>
                <w:sz w:val="18"/>
              </w:rPr>
              <w:t xml:space="preserve">  request.status !== 'archived';</w:t>
            </w:r>
          </w:p>
        </w:tc>
      </w:tr>
    </w:tbl>
    <w:p/>
    <w:p>
      <w:r>
        <w:t>This comment explains the business rule and reminds developers that hiding a button is not a security boundary. Server-side permission checks are still required.</w:t>
      </w:r>
    </w:p>
    <w:p>
      <w:pPr>
        <w:pStyle w:val="Heading1"/>
      </w:pPr>
      <w:r>
        <w:t>7. Documentation Tools</w:t>
      </w:r>
    </w:p>
    <w:p>
      <w:pPr>
        <w:pStyle w:val="Heading2"/>
      </w:pPr>
      <w:r>
        <w:t>7.1 Prettier</w:t>
      </w:r>
    </w:p>
    <w:p>
      <w:r>
        <w:t>Prettier automatically formats TypeScript, JavaScript, JSON, and YAML files according to shared settings. Add a project-level .prettierrc file and run formatting before committing. This reduces formatting debates and makes code reviews focus on logic.</w:t>
      </w:r>
    </w:p>
    <w:p>
      <w:pPr>
        <w:pStyle w:val="Heading2"/>
      </w:pPr>
      <w:r>
        <w:t>7.2 ESLint and TypeScript</w:t>
      </w:r>
    </w:p>
    <w:p>
      <w:r>
        <w:t>ESLint identifies common mistakes and inconsistent patterns. TypeScript checks types during development and helps catch issues such as passing an invalid request status. Run linting and type checks before submitting a pull request.</w:t>
      </w:r>
    </w:p>
    <w:p>
      <w:pPr>
        <w:pStyle w:val="Heading2"/>
      </w:pPr>
      <w:r>
        <w:t>7.3 JSDoc / TSDoc</w:t>
      </w:r>
    </w:p>
    <w:p>
      <w:r>
        <w:t>JSDoc-style comments (often called TSDoc in TypeScript projects) document exported functions, classes, types, and components. Editors can display this information as hover help, and documentation generators can extract it into reference pages.</w:t>
      </w:r>
    </w:p>
    <w:p>
      <w:pPr>
        <w:pStyle w:val="Heading2"/>
      </w:pPr>
      <w:r>
        <w:t>7.4 OpenAPI</w:t>
      </w:r>
    </w:p>
    <w:p>
      <w:r>
        <w:t>OpenAPI documents HTTP endpoints, request parameters, response formats, and error responses. Keep lib/api-spec/openapi.yaml aligned with actual API behavior so frontend developers and testers know how to call each endpoint.</w:t>
      </w:r>
    </w:p>
    <w:p>
      <w:pPr>
        <w:pStyle w:val="Heading2"/>
      </w:pPr>
      <w:r>
        <w:t>7.5 Suggested workflow</w:t>
      </w:r>
    </w:p>
    <w:p>
      <w:pPr>
        <w:pStyle w:val="ListNumber"/>
      </w:pPr>
      <w:r>
        <w:t>During coding: use editor formatting, TypeScript diagnostics, and ESLint feedback.</w:t>
      </w:r>
    </w:p>
    <w:p>
      <w:pPr>
        <w:pStyle w:val="ListNumber"/>
      </w:pPr>
      <w:r>
        <w:t>Before commit: run the formatter, lint checks, type checks, and relevant tests.</w:t>
      </w:r>
    </w:p>
    <w:p>
      <w:pPr>
        <w:pStyle w:val="ListNumber"/>
      </w:pPr>
      <w:r>
        <w:t>During review: confirm that public functions and API changes are documented.</w:t>
      </w:r>
    </w:p>
    <w:p>
      <w:pPr>
        <w:pStyle w:val="ListNumber"/>
      </w:pPr>
      <w:r>
        <w:t>Before release: review OpenAPI descriptions and generate or update reference documentation when used by the team.</w:t>
      </w:r>
    </w:p>
    <w:p>
      <w:pPr>
        <w:pStyle w:val="Heading1"/>
      </w:pPr>
      <w:r>
        <w:t>8. Mini Case Study: Request Status Persistence</w:t>
      </w:r>
    </w:p>
    <w:p>
      <w:r>
        <w:t>Scenario: a staff member changes a student's request from “Pending” to “In Progress.” If the interface changes only local state, the new status may disappear after refresh and the student may not see it. The guideline is to use a clearly named API function, document the reason for persistence, validate permissions on the server, and test the behavior after reloading.</w:t>
      </w:r>
    </w:p>
    <w:tbl>
      <w:tblPr>
        <w:tblW w:type="auto" w:w="0"/>
        <w:tblLayout w:type="autofit"/>
        <w:tblLook w:firstColumn="1" w:firstRow="1" w:lastColumn="0" w:lastRow="0" w:noHBand="0" w:noVBand="1" w:val="04A0"/>
      </w:tblPr>
      <w:tblGrid>
        <w:gridCol w:w="9936"/>
      </w:tblGrid>
      <w:tr>
        <w:tc>
          <w:tcPr>
            <w:tcW w:type="dxa" w:w="9936"/>
            <w:shd w:fill="F2F4F7"/>
          </w:tcPr>
          <w:p>
            <w:pPr>
              <w:spacing w:after="40"/>
            </w:pPr>
            <w:r>
              <w:rPr>
                <w:rFonts w:ascii="Consolas" w:hAnsi="Consolas"/>
                <w:color w:val="2D3741"/>
                <w:sz w:val="18"/>
              </w:rPr>
              <w:t>/**</w:t>
            </w:r>
            <w:r>
              <w:br/>
            </w:r>
            <w:r>
              <w:rPr>
                <w:rFonts w:ascii="Consolas" w:hAnsi="Consolas"/>
                <w:color w:val="2D3741"/>
                <w:sz w:val="18"/>
              </w:rPr>
              <w:t xml:space="preserve"> * Persists a staff status update so the student sees the same status</w:t>
            </w:r>
            <w:r>
              <w:br/>
            </w:r>
            <w:r>
              <w:rPr>
                <w:rFonts w:ascii="Consolas" w:hAnsi="Consolas"/>
                <w:color w:val="2D3741"/>
                <w:sz w:val="18"/>
              </w:rPr>
              <w:t xml:space="preserve"> * after refreshing the application.</w:t>
            </w:r>
            <w:r>
              <w:br/>
            </w:r>
            <w:r>
              <w:rPr>
                <w:rFonts w:ascii="Consolas" w:hAnsi="Consolas"/>
                <w:color w:val="2D3741"/>
                <w:sz w:val="18"/>
              </w:rPr>
              <w:t xml:space="preserve"> */</w:t>
            </w:r>
            <w:r>
              <w:br/>
            </w:r>
            <w:r>
              <w:rPr>
                <w:rFonts w:ascii="Consolas" w:hAnsi="Consolas"/>
                <w:color w:val="2D3741"/>
                <w:sz w:val="18"/>
              </w:rPr>
              <w:t>async function setRequestInProgress(requestId: string) {</w:t>
            </w:r>
            <w:r>
              <w:br/>
            </w:r>
            <w:r>
              <w:rPr>
                <w:rFonts w:ascii="Consolas" w:hAnsi="Consolas"/>
                <w:color w:val="2D3741"/>
                <w:sz w:val="18"/>
              </w:rPr>
              <w:t xml:space="preserve">  return requestApi.updateStatus(requestId, 'in_progress');</w:t>
            </w:r>
            <w:r>
              <w:br/>
            </w:r>
            <w:r>
              <w:rPr>
                <w:rFonts w:ascii="Consolas" w:hAnsi="Consolas"/>
                <w:color w:val="2D3741"/>
                <w:sz w:val="18"/>
              </w:rPr>
              <w:t>}</w:t>
            </w:r>
          </w:p>
        </w:tc>
      </w:tr>
    </w:tbl>
    <w:p/>
    <w:p>
      <w:r>
        <w:t>A reviewer can quickly understand the purpose from the function name and documentation. A test should verify that the API stores the new status and that a subsequent request returns the updated value. Error handling should also show a useful message if saving fails.</w:t>
      </w:r>
    </w:p>
    <w:p>
      <w:pPr>
        <w:pStyle w:val="Heading1"/>
      </w:pPr>
      <w:r>
        <w:t>9. Team Collaboration and Code Review</w:t>
      </w:r>
    </w:p>
    <w:p>
      <w:pPr>
        <w:pStyle w:val="ListBullet"/>
      </w:pPr>
      <w:r>
        <w:t>Store formatting and lint rules in the repository so every team member uses the same settings.</w:t>
      </w:r>
    </w:p>
    <w:p>
      <w:pPr>
        <w:pStyle w:val="ListBullet"/>
      </w:pPr>
      <w:r>
        <w:t>Use descriptive branches and commit messages, such as fix/request-status-persistence.</w:t>
      </w:r>
    </w:p>
    <w:p>
      <w:pPr>
        <w:pStyle w:val="ListBullet"/>
      </w:pPr>
      <w:r>
        <w:t>Keep pull requests focused and explain the problem, solution, and tests performed.</w:t>
      </w:r>
    </w:p>
    <w:p>
      <w:pPr>
        <w:pStyle w:val="ListBullet"/>
      </w:pPr>
      <w:r>
        <w:t>Review naming, readability, error handling, security checks, tests, and documentation—not just whether the code runs.</w:t>
      </w:r>
    </w:p>
    <w:p>
      <w:pPr>
        <w:pStyle w:val="ListBullet"/>
      </w:pPr>
      <w:r>
        <w:t>Ask for clarification when a rule is unclear, then update the team guide rather than letting several styles develop.</w:t>
      </w:r>
    </w:p>
    <w:p>
      <w:pPr>
        <w:pStyle w:val="ListBullet"/>
      </w:pPr>
      <w:r>
        <w:t>Avoid committing generated files, local secrets, or unrelated changes.</w:t>
      </w:r>
    </w:p>
    <w:p>
      <w:pPr>
        <w:pStyle w:val="Heading1"/>
      </w:pPr>
      <w:r>
        <w:t>10. Quality Checklist</w:t>
      </w:r>
    </w:p>
    <w:p>
      <w:r>
        <w:t>☐ Names are descriptive and follow the agreed conventions.</w:t>
      </w:r>
    </w:p>
    <w:p>
      <w:r>
        <w:t>☐ Formatting is consistent and automated checks pass.</w:t>
      </w:r>
    </w:p>
    <w:p>
      <w:r>
        <w:t>☐ Functions are focused and files have clear responsibilities.</w:t>
      </w:r>
    </w:p>
    <w:p>
      <w:r>
        <w:t>☐ Comments explain intent or non-obvious logic and are up to date.</w:t>
      </w:r>
    </w:p>
    <w:p>
      <w:r>
        <w:t>☐ API and permission rules are documented and enforced on the server.</w:t>
      </w:r>
    </w:p>
    <w:p>
      <w:r>
        <w:t>☐ Relevant tests cover successful updates and failure cases.</w:t>
      </w:r>
    </w:p>
    <w:p>
      <w:r>
        <w:t>☐ OpenAPI documentation matches the implementation.</w:t>
      </w:r>
    </w:p>
    <w:p>
      <w:r>
        <w:t>☐ No secrets, unused code, or debug logs are included.</w:t>
      </w:r>
    </w:p>
    <w:p>
      <w:pPr>
        <w:pStyle w:val="Heading1"/>
      </w:pPr>
      <w:r>
        <w:t>11. Conclusion</w:t>
      </w:r>
    </w:p>
    <w:p>
      <w:r>
        <w:t>Consistent coding style and useful inline documentation are essential for a reliable team project. Naming rules, predictable formatting, organized files, and clear comments make the Smart Campus Student Support System easier to understand, test, review, and maintain. Automated tools such as Prettier, ESLint, TypeScript, JSDoc/TSDoc, and OpenAPI support these practices throughout the development workflow. By following this guide during implementation and code review, the team can reduce avoidable errors and make future changes safer and faster.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Task | Coding Style Guidelines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