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25</w:t>
      </w:r>
    </w:p>
    <w:p>
      <w:r>
        <w:t>Serial No.: 25</w:t>
      </w:r>
    </w:p>
    <w:p>
      <w:r>
        <w:rPr>
          <w:b/>
        </w:rPr>
        <w:t xml:space="preserve">Lab Experiment Short Name: </w:t>
      </w:r>
      <w:r>
        <w:t>RSA Plaintext Block Shares Factor with n</w:t>
      </w:r>
    </w:p>
    <w:p>
      <w:r>
        <w:rPr>
          <w:b/>
          <w:sz w:val="28"/>
        </w:rPr>
        <w:t>C Code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printf("Yes, this information can help factor n.\\n");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printf("If gcd(message, n) is greater than 1 but less than n,\\n");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printf("the gcd reveals a non-trivial factor of n.\\n");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printf("That factor can be used to calculate the RSA private key.\\n");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conceptual RSA security question.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806440" cy="995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RSA_Common_Factor_With_Modulus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953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