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82802" w14:textId="77777777" w:rsidR="00B503AC" w:rsidRPr="0045133A" w:rsidRDefault="00B503AC" w:rsidP="0045133A">
      <w:pPr>
        <w:jc w:val="center"/>
        <w:rPr>
          <w:b/>
          <w:bCs/>
          <w:sz w:val="32"/>
          <w:szCs w:val="32"/>
        </w:rPr>
      </w:pPr>
      <w:r w:rsidRPr="0045133A">
        <w:rPr>
          <w:b/>
          <w:bCs/>
          <w:sz w:val="32"/>
          <w:szCs w:val="32"/>
        </w:rPr>
        <w:t>Gold Price Analysis and Forecasting Using Time Series Techniques (2016–2026)</w:t>
      </w:r>
    </w:p>
    <w:p w14:paraId="5F239DB5" w14:textId="77777777" w:rsidR="00B503AC" w:rsidRPr="0045133A" w:rsidRDefault="00B503AC" w:rsidP="00B503AC">
      <w:pPr>
        <w:rPr>
          <w:b/>
          <w:bCs/>
          <w:sz w:val="28"/>
          <w:szCs w:val="28"/>
        </w:rPr>
      </w:pPr>
      <w:r w:rsidRPr="0045133A">
        <w:rPr>
          <w:b/>
          <w:bCs/>
          <w:sz w:val="28"/>
          <w:szCs w:val="28"/>
        </w:rPr>
        <w:t>1. Introduction</w:t>
      </w:r>
    </w:p>
    <w:p w14:paraId="7465FF71" w14:textId="77777777" w:rsidR="00B503AC" w:rsidRPr="00B503AC" w:rsidRDefault="00B503AC" w:rsidP="00B503AC">
      <w:r w:rsidRPr="00B503AC">
        <w:t>Gold is one of the world's most important financial assets and has historically served as a store of value, a hedge against inflation, and a safe-haven investment during periods of economic uncertainty. Investors, central banks, and financial institutions closely monitor gold prices because they often reflect changes in global economic conditions, monetary policy expectations, inflationary pressures, and geopolitical risks.</w:t>
      </w:r>
    </w:p>
    <w:p w14:paraId="08059853" w14:textId="1ABB08DC" w:rsidR="00B503AC" w:rsidRPr="00B503AC" w:rsidRDefault="00B503AC" w:rsidP="00B503AC">
      <w:r w:rsidRPr="00B503AC">
        <w:t xml:space="preserve">Understanding gold price </w:t>
      </w:r>
      <w:r w:rsidR="0045133A" w:rsidRPr="00B503AC">
        <w:t>behaviour</w:t>
      </w:r>
      <w:r w:rsidRPr="00B503AC">
        <w:t xml:space="preserve"> is essential for investment decision-making, portfolio management, and financial forecasting. Time series analysis provides a powerful framework for studying historical price movements and predicting future trends.</w:t>
      </w:r>
    </w:p>
    <w:p w14:paraId="59B16ECF" w14:textId="7D12ED0B" w:rsidR="00B503AC" w:rsidRPr="00B503AC" w:rsidRDefault="00B503AC" w:rsidP="00B503AC">
      <w:r w:rsidRPr="00B503AC">
        <w:t xml:space="preserve">This project </w:t>
      </w:r>
      <w:r w:rsidR="0045133A" w:rsidRPr="00B503AC">
        <w:t>analyses</w:t>
      </w:r>
      <w:r w:rsidRPr="00B503AC">
        <w:t xml:space="preserve"> daily gold price data from 2016 to 2026 using statistical and time-series techniques. The analysis focuses on trend identification, return analysis, volatility measurement, moving average analysis, correlation analysis, and forecasting using the </w:t>
      </w:r>
      <w:r w:rsidR="0045133A" w:rsidRPr="00B503AC">
        <w:t>Autoregressive</w:t>
      </w:r>
      <w:r w:rsidRPr="00B503AC">
        <w:t xml:space="preserve"> Integrated Moving Average (ARIMA) model.</w:t>
      </w:r>
    </w:p>
    <w:p w14:paraId="06F4E00E" w14:textId="3513D62A" w:rsidR="00B503AC" w:rsidRPr="00B503AC" w:rsidRDefault="00B503AC" w:rsidP="00B503AC"/>
    <w:p w14:paraId="7B443F4A" w14:textId="77777777" w:rsidR="00B503AC" w:rsidRPr="0045133A" w:rsidRDefault="00B503AC" w:rsidP="00B503AC">
      <w:pPr>
        <w:rPr>
          <w:b/>
          <w:bCs/>
          <w:sz w:val="28"/>
          <w:szCs w:val="28"/>
        </w:rPr>
      </w:pPr>
      <w:r w:rsidRPr="0045133A">
        <w:rPr>
          <w:b/>
          <w:bCs/>
          <w:sz w:val="28"/>
          <w:szCs w:val="28"/>
        </w:rPr>
        <w:t>2. Objectives</w:t>
      </w:r>
    </w:p>
    <w:p w14:paraId="043D01A8" w14:textId="77777777" w:rsidR="00B503AC" w:rsidRPr="00B503AC" w:rsidRDefault="00B503AC" w:rsidP="00B503AC">
      <w:r w:rsidRPr="00B503AC">
        <w:t>The primary objectives of this project are:</w:t>
      </w:r>
    </w:p>
    <w:p w14:paraId="3375429A" w14:textId="5E786729" w:rsidR="00B503AC" w:rsidRPr="00B503AC" w:rsidRDefault="0045133A">
      <w:pPr>
        <w:numPr>
          <w:ilvl w:val="0"/>
          <w:numId w:val="1"/>
        </w:numPr>
      </w:pPr>
      <w:r w:rsidRPr="00B503AC">
        <w:t>Analyse</w:t>
      </w:r>
      <w:r w:rsidR="00B503AC" w:rsidRPr="00B503AC">
        <w:t xml:space="preserve"> historical gold price movements from 2016–2026.</w:t>
      </w:r>
    </w:p>
    <w:p w14:paraId="3488ED1B" w14:textId="77777777" w:rsidR="00B503AC" w:rsidRPr="00B503AC" w:rsidRDefault="00B503AC">
      <w:pPr>
        <w:numPr>
          <w:ilvl w:val="0"/>
          <w:numId w:val="1"/>
        </w:numPr>
      </w:pPr>
      <w:r w:rsidRPr="00B503AC">
        <w:t>Identify long-term market trends.</w:t>
      </w:r>
    </w:p>
    <w:p w14:paraId="03FCF283" w14:textId="77777777" w:rsidR="00B503AC" w:rsidRPr="00B503AC" w:rsidRDefault="00B503AC">
      <w:pPr>
        <w:numPr>
          <w:ilvl w:val="0"/>
          <w:numId w:val="1"/>
        </w:numPr>
      </w:pPr>
      <w:r w:rsidRPr="00B503AC">
        <w:t>Measure market volatility using rolling standard deviation.</w:t>
      </w:r>
    </w:p>
    <w:p w14:paraId="19F04CEE" w14:textId="2FD23AE1" w:rsidR="00B503AC" w:rsidRPr="00B503AC" w:rsidRDefault="00B503AC">
      <w:pPr>
        <w:numPr>
          <w:ilvl w:val="0"/>
          <w:numId w:val="1"/>
        </w:numPr>
      </w:pPr>
      <w:r w:rsidRPr="00B503AC">
        <w:t xml:space="preserve">Calculate and </w:t>
      </w:r>
      <w:r w:rsidR="0045133A" w:rsidRPr="00B503AC">
        <w:t>analyse</w:t>
      </w:r>
      <w:r w:rsidRPr="00B503AC">
        <w:t xml:space="preserve"> daily returns.</w:t>
      </w:r>
    </w:p>
    <w:p w14:paraId="32C408EC" w14:textId="77777777" w:rsidR="00B503AC" w:rsidRPr="00B503AC" w:rsidRDefault="00B503AC">
      <w:pPr>
        <w:numPr>
          <w:ilvl w:val="0"/>
          <w:numId w:val="1"/>
        </w:numPr>
      </w:pPr>
      <w:r w:rsidRPr="00B503AC">
        <w:t>Apply technical indicators such as moving averages.</w:t>
      </w:r>
    </w:p>
    <w:p w14:paraId="259723FF" w14:textId="77777777" w:rsidR="00B503AC" w:rsidRPr="00B503AC" w:rsidRDefault="00B503AC">
      <w:pPr>
        <w:numPr>
          <w:ilvl w:val="0"/>
          <w:numId w:val="1"/>
        </w:numPr>
      </w:pPr>
      <w:r w:rsidRPr="00B503AC">
        <w:t>Examine relationships among price variables through correlation analysis.</w:t>
      </w:r>
    </w:p>
    <w:p w14:paraId="324CB472" w14:textId="77777777" w:rsidR="00B503AC" w:rsidRPr="00B503AC" w:rsidRDefault="00B503AC">
      <w:pPr>
        <w:numPr>
          <w:ilvl w:val="0"/>
          <w:numId w:val="1"/>
        </w:numPr>
      </w:pPr>
      <w:r w:rsidRPr="00B503AC">
        <w:t>Forecast future gold prices using ARIMA models.</w:t>
      </w:r>
    </w:p>
    <w:p w14:paraId="43B345D7" w14:textId="77777777" w:rsidR="00B503AC" w:rsidRPr="00B503AC" w:rsidRDefault="00B503AC">
      <w:pPr>
        <w:numPr>
          <w:ilvl w:val="0"/>
          <w:numId w:val="1"/>
        </w:numPr>
      </w:pPr>
      <w:r w:rsidRPr="00B503AC">
        <w:t>Interpret major economic and geopolitical events affecting gold prices.</w:t>
      </w:r>
    </w:p>
    <w:p w14:paraId="4F8B2D6F" w14:textId="550BDE73" w:rsidR="00B503AC" w:rsidRPr="00B503AC" w:rsidRDefault="00B503AC" w:rsidP="00B503AC"/>
    <w:p w14:paraId="295ADD7B" w14:textId="77777777" w:rsidR="00B503AC" w:rsidRPr="0045133A" w:rsidRDefault="00B503AC" w:rsidP="00B503AC">
      <w:pPr>
        <w:rPr>
          <w:b/>
          <w:bCs/>
          <w:sz w:val="28"/>
          <w:szCs w:val="28"/>
        </w:rPr>
      </w:pPr>
      <w:r w:rsidRPr="0045133A">
        <w:rPr>
          <w:b/>
          <w:bCs/>
          <w:sz w:val="28"/>
          <w:szCs w:val="28"/>
        </w:rPr>
        <w:t>3. Dataset Description</w:t>
      </w:r>
    </w:p>
    <w:p w14:paraId="1DEF8F94" w14:textId="77777777" w:rsidR="00B503AC" w:rsidRPr="00B503AC" w:rsidRDefault="00B503AC" w:rsidP="00B503AC">
      <w:pPr>
        <w:rPr>
          <w:b/>
          <w:bCs/>
        </w:rPr>
      </w:pPr>
      <w:r w:rsidRPr="00B503AC">
        <w:rPr>
          <w:b/>
          <w:bCs/>
        </w:rPr>
        <w:t>3.1 Dataset Overview</w:t>
      </w:r>
    </w:p>
    <w:p w14:paraId="0A63D6B8" w14:textId="77777777" w:rsidR="00B503AC" w:rsidRPr="00B503AC" w:rsidRDefault="00B503AC" w:rsidP="00B503AC">
      <w:r w:rsidRPr="00B503AC">
        <w:lastRenderedPageBreak/>
        <w:t>The dataset contains daily historical gold market information covering approximately ten years of trading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2274"/>
      </w:tblGrid>
      <w:tr w:rsidR="00B503AC" w:rsidRPr="00B503AC" w14:paraId="4BE12781" w14:textId="77777777">
        <w:trPr>
          <w:tblHeader/>
          <w:tblCellSpacing w:w="15" w:type="dxa"/>
        </w:trPr>
        <w:tc>
          <w:tcPr>
            <w:tcW w:w="0" w:type="auto"/>
            <w:vAlign w:val="center"/>
            <w:hideMark/>
          </w:tcPr>
          <w:p w14:paraId="3330FBEE" w14:textId="77777777" w:rsidR="00B503AC" w:rsidRPr="00B503AC" w:rsidRDefault="00B503AC" w:rsidP="00B503AC">
            <w:pPr>
              <w:rPr>
                <w:b/>
                <w:bCs/>
              </w:rPr>
            </w:pPr>
            <w:r w:rsidRPr="00B503AC">
              <w:rPr>
                <w:b/>
                <w:bCs/>
              </w:rPr>
              <w:t>Attribute</w:t>
            </w:r>
          </w:p>
        </w:tc>
        <w:tc>
          <w:tcPr>
            <w:tcW w:w="0" w:type="auto"/>
            <w:vAlign w:val="center"/>
            <w:hideMark/>
          </w:tcPr>
          <w:p w14:paraId="793D9DF1" w14:textId="77777777" w:rsidR="00B503AC" w:rsidRPr="00B503AC" w:rsidRDefault="00B503AC" w:rsidP="00B503AC">
            <w:pPr>
              <w:rPr>
                <w:b/>
                <w:bCs/>
              </w:rPr>
            </w:pPr>
            <w:r w:rsidRPr="00B503AC">
              <w:rPr>
                <w:b/>
                <w:bCs/>
              </w:rPr>
              <w:t>Description</w:t>
            </w:r>
          </w:p>
        </w:tc>
      </w:tr>
      <w:tr w:rsidR="00B503AC" w:rsidRPr="00B503AC" w14:paraId="442E514A" w14:textId="77777777">
        <w:trPr>
          <w:tblCellSpacing w:w="15" w:type="dxa"/>
        </w:trPr>
        <w:tc>
          <w:tcPr>
            <w:tcW w:w="0" w:type="auto"/>
            <w:vAlign w:val="center"/>
            <w:hideMark/>
          </w:tcPr>
          <w:p w14:paraId="17B54A92" w14:textId="77777777" w:rsidR="00B503AC" w:rsidRPr="00B503AC" w:rsidRDefault="00B503AC" w:rsidP="00B503AC">
            <w:r w:rsidRPr="00B503AC">
              <w:t>Dataset Name</w:t>
            </w:r>
          </w:p>
        </w:tc>
        <w:tc>
          <w:tcPr>
            <w:tcW w:w="0" w:type="auto"/>
            <w:vAlign w:val="center"/>
            <w:hideMark/>
          </w:tcPr>
          <w:p w14:paraId="20FA7A30" w14:textId="77777777" w:rsidR="00B503AC" w:rsidRPr="00B503AC" w:rsidRDefault="00B503AC" w:rsidP="00B503AC">
            <w:r w:rsidRPr="00B503AC">
              <w:t>Gold Historical Data</w:t>
            </w:r>
          </w:p>
        </w:tc>
      </w:tr>
      <w:tr w:rsidR="00B503AC" w:rsidRPr="00B503AC" w14:paraId="09C7658C" w14:textId="77777777">
        <w:trPr>
          <w:tblCellSpacing w:w="15" w:type="dxa"/>
        </w:trPr>
        <w:tc>
          <w:tcPr>
            <w:tcW w:w="0" w:type="auto"/>
            <w:vAlign w:val="center"/>
            <w:hideMark/>
          </w:tcPr>
          <w:p w14:paraId="3FF15328" w14:textId="77777777" w:rsidR="00B503AC" w:rsidRPr="00B503AC" w:rsidRDefault="00B503AC" w:rsidP="00B503AC">
            <w:r w:rsidRPr="00B503AC">
              <w:t>Period Covered</w:t>
            </w:r>
          </w:p>
        </w:tc>
        <w:tc>
          <w:tcPr>
            <w:tcW w:w="0" w:type="auto"/>
            <w:vAlign w:val="center"/>
            <w:hideMark/>
          </w:tcPr>
          <w:p w14:paraId="2810061E" w14:textId="77777777" w:rsidR="00B503AC" w:rsidRPr="00B503AC" w:rsidRDefault="00B503AC" w:rsidP="00B503AC">
            <w:r w:rsidRPr="00B503AC">
              <w:t>February 2016 – 2026</w:t>
            </w:r>
          </w:p>
        </w:tc>
      </w:tr>
      <w:tr w:rsidR="00B503AC" w:rsidRPr="00B503AC" w14:paraId="1D0EBB78" w14:textId="77777777">
        <w:trPr>
          <w:tblCellSpacing w:w="15" w:type="dxa"/>
        </w:trPr>
        <w:tc>
          <w:tcPr>
            <w:tcW w:w="0" w:type="auto"/>
            <w:vAlign w:val="center"/>
            <w:hideMark/>
          </w:tcPr>
          <w:p w14:paraId="418F6BA0" w14:textId="77777777" w:rsidR="00B503AC" w:rsidRPr="00B503AC" w:rsidRDefault="00B503AC" w:rsidP="00B503AC">
            <w:r w:rsidRPr="00B503AC">
              <w:t>Number of Observations</w:t>
            </w:r>
          </w:p>
        </w:tc>
        <w:tc>
          <w:tcPr>
            <w:tcW w:w="0" w:type="auto"/>
            <w:vAlign w:val="center"/>
            <w:hideMark/>
          </w:tcPr>
          <w:p w14:paraId="3620A2B5" w14:textId="77777777" w:rsidR="00B503AC" w:rsidRPr="00B503AC" w:rsidRDefault="00B503AC" w:rsidP="00B503AC">
            <w:r w:rsidRPr="00B503AC">
              <w:t>2,510 Trading Days</w:t>
            </w:r>
          </w:p>
        </w:tc>
      </w:tr>
      <w:tr w:rsidR="00B503AC" w:rsidRPr="00B503AC" w14:paraId="5D113C47" w14:textId="77777777">
        <w:trPr>
          <w:tblCellSpacing w:w="15" w:type="dxa"/>
        </w:trPr>
        <w:tc>
          <w:tcPr>
            <w:tcW w:w="0" w:type="auto"/>
            <w:vAlign w:val="center"/>
            <w:hideMark/>
          </w:tcPr>
          <w:p w14:paraId="593AA988" w14:textId="77777777" w:rsidR="00B503AC" w:rsidRPr="00B503AC" w:rsidRDefault="00B503AC" w:rsidP="00B503AC">
            <w:r w:rsidRPr="00B503AC">
              <w:t>Frequency</w:t>
            </w:r>
          </w:p>
        </w:tc>
        <w:tc>
          <w:tcPr>
            <w:tcW w:w="0" w:type="auto"/>
            <w:vAlign w:val="center"/>
            <w:hideMark/>
          </w:tcPr>
          <w:p w14:paraId="3A86B66D" w14:textId="77777777" w:rsidR="00B503AC" w:rsidRPr="00B503AC" w:rsidRDefault="00B503AC" w:rsidP="00B503AC">
            <w:r w:rsidRPr="00B503AC">
              <w:t>Daily</w:t>
            </w:r>
          </w:p>
        </w:tc>
      </w:tr>
      <w:tr w:rsidR="00B503AC" w:rsidRPr="00B503AC" w14:paraId="4C0F805B" w14:textId="77777777">
        <w:trPr>
          <w:tblCellSpacing w:w="15" w:type="dxa"/>
        </w:trPr>
        <w:tc>
          <w:tcPr>
            <w:tcW w:w="0" w:type="auto"/>
            <w:vAlign w:val="center"/>
            <w:hideMark/>
          </w:tcPr>
          <w:p w14:paraId="794250F9" w14:textId="77777777" w:rsidR="00B503AC" w:rsidRPr="00B503AC" w:rsidRDefault="00B503AC" w:rsidP="00B503AC">
            <w:r w:rsidRPr="00B503AC">
              <w:t>Currency</w:t>
            </w:r>
          </w:p>
        </w:tc>
        <w:tc>
          <w:tcPr>
            <w:tcW w:w="0" w:type="auto"/>
            <w:vAlign w:val="center"/>
            <w:hideMark/>
          </w:tcPr>
          <w:p w14:paraId="002950DB" w14:textId="77777777" w:rsidR="00B503AC" w:rsidRPr="00B503AC" w:rsidRDefault="00B503AC" w:rsidP="00B503AC">
            <w:r w:rsidRPr="00B503AC">
              <w:t>USD</w:t>
            </w:r>
          </w:p>
        </w:tc>
      </w:tr>
    </w:tbl>
    <w:p w14:paraId="09BBEFA4" w14:textId="77777777" w:rsidR="00B503AC" w:rsidRPr="00B503AC" w:rsidRDefault="00B503AC" w:rsidP="00B503AC">
      <w:pPr>
        <w:rPr>
          <w:b/>
          <w:bCs/>
        </w:rPr>
      </w:pPr>
      <w:r w:rsidRPr="00B503AC">
        <w:rPr>
          <w:b/>
          <w:bCs/>
        </w:rPr>
        <w:t>3.2 Variables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420"/>
      </w:tblGrid>
      <w:tr w:rsidR="00B503AC" w:rsidRPr="00B503AC" w14:paraId="0B0AD337" w14:textId="77777777">
        <w:trPr>
          <w:tblHeader/>
          <w:tblCellSpacing w:w="15" w:type="dxa"/>
        </w:trPr>
        <w:tc>
          <w:tcPr>
            <w:tcW w:w="0" w:type="auto"/>
            <w:vAlign w:val="center"/>
            <w:hideMark/>
          </w:tcPr>
          <w:p w14:paraId="09E51A82" w14:textId="77777777" w:rsidR="00B503AC" w:rsidRPr="00B503AC" w:rsidRDefault="00B503AC" w:rsidP="00B503AC">
            <w:pPr>
              <w:rPr>
                <w:b/>
                <w:bCs/>
              </w:rPr>
            </w:pPr>
            <w:r w:rsidRPr="00B503AC">
              <w:rPr>
                <w:b/>
                <w:bCs/>
              </w:rPr>
              <w:t>Variable</w:t>
            </w:r>
          </w:p>
        </w:tc>
        <w:tc>
          <w:tcPr>
            <w:tcW w:w="0" w:type="auto"/>
            <w:vAlign w:val="center"/>
            <w:hideMark/>
          </w:tcPr>
          <w:p w14:paraId="35369BFC" w14:textId="77777777" w:rsidR="00B503AC" w:rsidRPr="00B503AC" w:rsidRDefault="00B503AC" w:rsidP="00B503AC">
            <w:pPr>
              <w:rPr>
                <w:b/>
                <w:bCs/>
              </w:rPr>
            </w:pPr>
            <w:r w:rsidRPr="00B503AC">
              <w:rPr>
                <w:b/>
                <w:bCs/>
              </w:rPr>
              <w:t>Description</w:t>
            </w:r>
          </w:p>
        </w:tc>
      </w:tr>
      <w:tr w:rsidR="00B503AC" w:rsidRPr="00B503AC" w14:paraId="3B80ED68" w14:textId="77777777">
        <w:trPr>
          <w:tblCellSpacing w:w="15" w:type="dxa"/>
        </w:trPr>
        <w:tc>
          <w:tcPr>
            <w:tcW w:w="0" w:type="auto"/>
            <w:vAlign w:val="center"/>
            <w:hideMark/>
          </w:tcPr>
          <w:p w14:paraId="39558F17" w14:textId="77777777" w:rsidR="00B503AC" w:rsidRPr="00B503AC" w:rsidRDefault="00B503AC" w:rsidP="00B503AC">
            <w:r w:rsidRPr="00B503AC">
              <w:t>Date</w:t>
            </w:r>
          </w:p>
        </w:tc>
        <w:tc>
          <w:tcPr>
            <w:tcW w:w="0" w:type="auto"/>
            <w:vAlign w:val="center"/>
            <w:hideMark/>
          </w:tcPr>
          <w:p w14:paraId="225F4258" w14:textId="77777777" w:rsidR="00B503AC" w:rsidRPr="00B503AC" w:rsidRDefault="00B503AC" w:rsidP="00B503AC">
            <w:r w:rsidRPr="00B503AC">
              <w:t>Trading Date</w:t>
            </w:r>
          </w:p>
        </w:tc>
      </w:tr>
      <w:tr w:rsidR="00B503AC" w:rsidRPr="00B503AC" w14:paraId="48275A04" w14:textId="77777777">
        <w:trPr>
          <w:tblCellSpacing w:w="15" w:type="dxa"/>
        </w:trPr>
        <w:tc>
          <w:tcPr>
            <w:tcW w:w="0" w:type="auto"/>
            <w:vAlign w:val="center"/>
            <w:hideMark/>
          </w:tcPr>
          <w:p w14:paraId="5C20748A" w14:textId="77777777" w:rsidR="00B503AC" w:rsidRPr="00B503AC" w:rsidRDefault="00B503AC" w:rsidP="00B503AC">
            <w:r w:rsidRPr="00B503AC">
              <w:t>Open</w:t>
            </w:r>
          </w:p>
        </w:tc>
        <w:tc>
          <w:tcPr>
            <w:tcW w:w="0" w:type="auto"/>
            <w:vAlign w:val="center"/>
            <w:hideMark/>
          </w:tcPr>
          <w:p w14:paraId="6423B017" w14:textId="77777777" w:rsidR="00B503AC" w:rsidRPr="00B503AC" w:rsidRDefault="00B503AC" w:rsidP="00B503AC">
            <w:r w:rsidRPr="00B503AC">
              <w:t>Opening Price</w:t>
            </w:r>
          </w:p>
        </w:tc>
      </w:tr>
      <w:tr w:rsidR="00B503AC" w:rsidRPr="00B503AC" w14:paraId="7BD32946" w14:textId="77777777">
        <w:trPr>
          <w:tblCellSpacing w:w="15" w:type="dxa"/>
        </w:trPr>
        <w:tc>
          <w:tcPr>
            <w:tcW w:w="0" w:type="auto"/>
            <w:vAlign w:val="center"/>
            <w:hideMark/>
          </w:tcPr>
          <w:p w14:paraId="28B5285E" w14:textId="77777777" w:rsidR="00B503AC" w:rsidRPr="00B503AC" w:rsidRDefault="00B503AC" w:rsidP="00B503AC">
            <w:r w:rsidRPr="00B503AC">
              <w:t>High</w:t>
            </w:r>
          </w:p>
        </w:tc>
        <w:tc>
          <w:tcPr>
            <w:tcW w:w="0" w:type="auto"/>
            <w:vAlign w:val="center"/>
            <w:hideMark/>
          </w:tcPr>
          <w:p w14:paraId="48DA5A9E" w14:textId="77777777" w:rsidR="00B503AC" w:rsidRPr="00B503AC" w:rsidRDefault="00B503AC" w:rsidP="00B503AC">
            <w:r w:rsidRPr="00B503AC">
              <w:t>Highest Price During Trading Day</w:t>
            </w:r>
          </w:p>
        </w:tc>
      </w:tr>
      <w:tr w:rsidR="00B503AC" w:rsidRPr="00B503AC" w14:paraId="10D0268D" w14:textId="77777777">
        <w:trPr>
          <w:tblCellSpacing w:w="15" w:type="dxa"/>
        </w:trPr>
        <w:tc>
          <w:tcPr>
            <w:tcW w:w="0" w:type="auto"/>
            <w:vAlign w:val="center"/>
            <w:hideMark/>
          </w:tcPr>
          <w:p w14:paraId="6EE36660" w14:textId="77777777" w:rsidR="00B503AC" w:rsidRPr="00B503AC" w:rsidRDefault="00B503AC" w:rsidP="00B503AC">
            <w:r w:rsidRPr="00B503AC">
              <w:t>Low</w:t>
            </w:r>
          </w:p>
        </w:tc>
        <w:tc>
          <w:tcPr>
            <w:tcW w:w="0" w:type="auto"/>
            <w:vAlign w:val="center"/>
            <w:hideMark/>
          </w:tcPr>
          <w:p w14:paraId="24DB6C22" w14:textId="77777777" w:rsidR="00B503AC" w:rsidRPr="00B503AC" w:rsidRDefault="00B503AC" w:rsidP="00B503AC">
            <w:r w:rsidRPr="00B503AC">
              <w:t>Lowest Price During Trading Day</w:t>
            </w:r>
          </w:p>
        </w:tc>
      </w:tr>
      <w:tr w:rsidR="00B503AC" w:rsidRPr="00B503AC" w14:paraId="5C4F75E0" w14:textId="77777777">
        <w:trPr>
          <w:tblCellSpacing w:w="15" w:type="dxa"/>
        </w:trPr>
        <w:tc>
          <w:tcPr>
            <w:tcW w:w="0" w:type="auto"/>
            <w:vAlign w:val="center"/>
            <w:hideMark/>
          </w:tcPr>
          <w:p w14:paraId="1C63ACAB" w14:textId="77777777" w:rsidR="00B503AC" w:rsidRPr="00B503AC" w:rsidRDefault="00B503AC" w:rsidP="00B503AC">
            <w:r w:rsidRPr="00B503AC">
              <w:t>Close</w:t>
            </w:r>
          </w:p>
        </w:tc>
        <w:tc>
          <w:tcPr>
            <w:tcW w:w="0" w:type="auto"/>
            <w:vAlign w:val="center"/>
            <w:hideMark/>
          </w:tcPr>
          <w:p w14:paraId="36E3CD80" w14:textId="77777777" w:rsidR="00B503AC" w:rsidRPr="00B503AC" w:rsidRDefault="00B503AC" w:rsidP="00B503AC">
            <w:r w:rsidRPr="00B503AC">
              <w:t>Closing Price</w:t>
            </w:r>
          </w:p>
        </w:tc>
      </w:tr>
      <w:tr w:rsidR="00B503AC" w:rsidRPr="00B503AC" w14:paraId="76DFCB46" w14:textId="77777777">
        <w:trPr>
          <w:tblCellSpacing w:w="15" w:type="dxa"/>
        </w:trPr>
        <w:tc>
          <w:tcPr>
            <w:tcW w:w="0" w:type="auto"/>
            <w:vAlign w:val="center"/>
            <w:hideMark/>
          </w:tcPr>
          <w:p w14:paraId="6F69EC10" w14:textId="77777777" w:rsidR="00B503AC" w:rsidRPr="00B503AC" w:rsidRDefault="00B503AC" w:rsidP="00B503AC">
            <w:r w:rsidRPr="00B503AC">
              <w:t>Volume</w:t>
            </w:r>
          </w:p>
        </w:tc>
        <w:tc>
          <w:tcPr>
            <w:tcW w:w="0" w:type="auto"/>
            <w:vAlign w:val="center"/>
            <w:hideMark/>
          </w:tcPr>
          <w:p w14:paraId="4D920BE9" w14:textId="77777777" w:rsidR="00B503AC" w:rsidRPr="00B503AC" w:rsidRDefault="00B503AC" w:rsidP="00B503AC">
            <w:r w:rsidRPr="00B503AC">
              <w:t>Trading Volume</w:t>
            </w:r>
          </w:p>
        </w:tc>
      </w:tr>
    </w:tbl>
    <w:p w14:paraId="02863046" w14:textId="77777777" w:rsidR="00B503AC" w:rsidRPr="00B503AC" w:rsidRDefault="00B503AC" w:rsidP="00B503AC">
      <w:pPr>
        <w:rPr>
          <w:b/>
          <w:bCs/>
        </w:rPr>
      </w:pPr>
      <w:r w:rsidRPr="00B503AC">
        <w:rPr>
          <w:b/>
          <w:bCs/>
        </w:rPr>
        <w:t>Dataset Notes</w:t>
      </w:r>
    </w:p>
    <w:p w14:paraId="70F69A02" w14:textId="77777777" w:rsidR="00B503AC" w:rsidRPr="00B503AC" w:rsidRDefault="00B503AC" w:rsidP="00B503AC">
      <w:r w:rsidRPr="00B503AC">
        <w:t>The dataset consists of daily observations and is suitable for financial time-series analysis. The Close price is used as the primary variable for trend analysis and forecasting, while Open, High, Low, and Volume are utilized for correlation analysis.</w:t>
      </w:r>
    </w:p>
    <w:p w14:paraId="3F7F41DB" w14:textId="4361CFC6" w:rsidR="00B503AC" w:rsidRPr="00B503AC" w:rsidRDefault="00B503AC" w:rsidP="00B503AC"/>
    <w:p w14:paraId="100E342C" w14:textId="77777777" w:rsidR="00B503AC" w:rsidRPr="0045133A" w:rsidRDefault="00B503AC" w:rsidP="00B503AC">
      <w:pPr>
        <w:rPr>
          <w:b/>
          <w:bCs/>
          <w:sz w:val="28"/>
          <w:szCs w:val="28"/>
        </w:rPr>
      </w:pPr>
      <w:r w:rsidRPr="0045133A">
        <w:rPr>
          <w:b/>
          <w:bCs/>
          <w:sz w:val="28"/>
          <w:szCs w:val="28"/>
        </w:rPr>
        <w:t>4. Methodology</w:t>
      </w:r>
    </w:p>
    <w:p w14:paraId="0BF425A6" w14:textId="77777777" w:rsidR="00B503AC" w:rsidRPr="00B503AC" w:rsidRDefault="00B503AC" w:rsidP="00B503AC">
      <w:r w:rsidRPr="00B503AC">
        <w:t>The project follows a structured analytical framework consisting of five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868"/>
        <w:gridCol w:w="6343"/>
      </w:tblGrid>
      <w:tr w:rsidR="00B503AC" w:rsidRPr="00B503AC" w14:paraId="773952B1" w14:textId="77777777">
        <w:trPr>
          <w:tblHeader/>
          <w:tblCellSpacing w:w="15" w:type="dxa"/>
        </w:trPr>
        <w:tc>
          <w:tcPr>
            <w:tcW w:w="0" w:type="auto"/>
            <w:vAlign w:val="center"/>
            <w:hideMark/>
          </w:tcPr>
          <w:p w14:paraId="3055047B" w14:textId="77777777" w:rsidR="00B503AC" w:rsidRPr="00B503AC" w:rsidRDefault="00B503AC" w:rsidP="00B503AC">
            <w:pPr>
              <w:rPr>
                <w:b/>
                <w:bCs/>
              </w:rPr>
            </w:pPr>
            <w:r w:rsidRPr="00B503AC">
              <w:rPr>
                <w:b/>
                <w:bCs/>
              </w:rPr>
              <w:t>Stage</w:t>
            </w:r>
          </w:p>
        </w:tc>
        <w:tc>
          <w:tcPr>
            <w:tcW w:w="0" w:type="auto"/>
            <w:vAlign w:val="center"/>
            <w:hideMark/>
          </w:tcPr>
          <w:p w14:paraId="4899BED8" w14:textId="77777777" w:rsidR="00B503AC" w:rsidRPr="00B503AC" w:rsidRDefault="00B503AC" w:rsidP="00B503AC">
            <w:pPr>
              <w:rPr>
                <w:b/>
                <w:bCs/>
              </w:rPr>
            </w:pPr>
            <w:r w:rsidRPr="00B503AC">
              <w:rPr>
                <w:b/>
                <w:bCs/>
              </w:rPr>
              <w:t>Title</w:t>
            </w:r>
          </w:p>
        </w:tc>
        <w:tc>
          <w:tcPr>
            <w:tcW w:w="0" w:type="auto"/>
            <w:vAlign w:val="center"/>
            <w:hideMark/>
          </w:tcPr>
          <w:p w14:paraId="4D3B4E58" w14:textId="77777777" w:rsidR="00B503AC" w:rsidRPr="00B503AC" w:rsidRDefault="00B503AC" w:rsidP="00B503AC">
            <w:pPr>
              <w:rPr>
                <w:b/>
                <w:bCs/>
              </w:rPr>
            </w:pPr>
            <w:r w:rsidRPr="00B503AC">
              <w:rPr>
                <w:b/>
                <w:bCs/>
              </w:rPr>
              <w:t>Activities</w:t>
            </w:r>
          </w:p>
        </w:tc>
      </w:tr>
      <w:tr w:rsidR="00B503AC" w:rsidRPr="00B503AC" w14:paraId="3B6DDFF5" w14:textId="77777777">
        <w:trPr>
          <w:tblCellSpacing w:w="15" w:type="dxa"/>
        </w:trPr>
        <w:tc>
          <w:tcPr>
            <w:tcW w:w="0" w:type="auto"/>
            <w:vAlign w:val="center"/>
            <w:hideMark/>
          </w:tcPr>
          <w:p w14:paraId="6D265080" w14:textId="77777777" w:rsidR="00B503AC" w:rsidRPr="00B503AC" w:rsidRDefault="00B503AC" w:rsidP="00B503AC">
            <w:r w:rsidRPr="00B503AC">
              <w:t>Stage 1</w:t>
            </w:r>
          </w:p>
        </w:tc>
        <w:tc>
          <w:tcPr>
            <w:tcW w:w="0" w:type="auto"/>
            <w:vAlign w:val="center"/>
            <w:hideMark/>
          </w:tcPr>
          <w:p w14:paraId="71EB369B" w14:textId="77777777" w:rsidR="00B503AC" w:rsidRPr="00B503AC" w:rsidRDefault="00B503AC" w:rsidP="00B503AC">
            <w:r w:rsidRPr="00B503AC">
              <w:t>Data Preparation</w:t>
            </w:r>
          </w:p>
        </w:tc>
        <w:tc>
          <w:tcPr>
            <w:tcW w:w="0" w:type="auto"/>
            <w:vAlign w:val="center"/>
            <w:hideMark/>
          </w:tcPr>
          <w:p w14:paraId="679ADF1A" w14:textId="77777777" w:rsidR="00B503AC" w:rsidRPr="00B503AC" w:rsidRDefault="00B503AC" w:rsidP="00B503AC">
            <w:r w:rsidRPr="00B503AC">
              <w:t>Import dataset, convert dates, sort observations, remove duplicates</w:t>
            </w:r>
          </w:p>
        </w:tc>
      </w:tr>
      <w:tr w:rsidR="00B503AC" w:rsidRPr="00B503AC" w14:paraId="54887CF5" w14:textId="77777777">
        <w:trPr>
          <w:tblCellSpacing w:w="15" w:type="dxa"/>
        </w:trPr>
        <w:tc>
          <w:tcPr>
            <w:tcW w:w="0" w:type="auto"/>
            <w:vAlign w:val="center"/>
            <w:hideMark/>
          </w:tcPr>
          <w:p w14:paraId="013588FC" w14:textId="77777777" w:rsidR="00B503AC" w:rsidRPr="00B503AC" w:rsidRDefault="00B503AC" w:rsidP="00B503AC">
            <w:r w:rsidRPr="00B503AC">
              <w:lastRenderedPageBreak/>
              <w:t>Stage 2</w:t>
            </w:r>
          </w:p>
        </w:tc>
        <w:tc>
          <w:tcPr>
            <w:tcW w:w="0" w:type="auto"/>
            <w:vAlign w:val="center"/>
            <w:hideMark/>
          </w:tcPr>
          <w:p w14:paraId="7DD4C9E4" w14:textId="77777777" w:rsidR="00B503AC" w:rsidRPr="00B503AC" w:rsidRDefault="00B503AC" w:rsidP="00B503AC">
            <w:r w:rsidRPr="00B503AC">
              <w:t>Trend Analysis</w:t>
            </w:r>
          </w:p>
        </w:tc>
        <w:tc>
          <w:tcPr>
            <w:tcW w:w="0" w:type="auto"/>
            <w:vAlign w:val="center"/>
            <w:hideMark/>
          </w:tcPr>
          <w:p w14:paraId="67521F52" w14:textId="77777777" w:rsidR="00B503AC" w:rsidRPr="00B503AC" w:rsidRDefault="00B503AC" w:rsidP="00B503AC">
            <w:r w:rsidRPr="00B503AC">
              <w:t>Study long-term gold price movement</w:t>
            </w:r>
          </w:p>
        </w:tc>
      </w:tr>
      <w:tr w:rsidR="00B503AC" w:rsidRPr="00B503AC" w14:paraId="78D5933F" w14:textId="77777777">
        <w:trPr>
          <w:tblCellSpacing w:w="15" w:type="dxa"/>
        </w:trPr>
        <w:tc>
          <w:tcPr>
            <w:tcW w:w="0" w:type="auto"/>
            <w:vAlign w:val="center"/>
            <w:hideMark/>
          </w:tcPr>
          <w:p w14:paraId="132E99A0" w14:textId="77777777" w:rsidR="00B503AC" w:rsidRPr="00B503AC" w:rsidRDefault="00B503AC" w:rsidP="00B503AC">
            <w:r w:rsidRPr="00B503AC">
              <w:t>Stage 3</w:t>
            </w:r>
          </w:p>
        </w:tc>
        <w:tc>
          <w:tcPr>
            <w:tcW w:w="0" w:type="auto"/>
            <w:vAlign w:val="center"/>
            <w:hideMark/>
          </w:tcPr>
          <w:p w14:paraId="7DC841B3" w14:textId="77777777" w:rsidR="00B503AC" w:rsidRPr="00B503AC" w:rsidRDefault="00B503AC" w:rsidP="00B503AC">
            <w:r w:rsidRPr="00B503AC">
              <w:t>Risk Analysis</w:t>
            </w:r>
          </w:p>
        </w:tc>
        <w:tc>
          <w:tcPr>
            <w:tcW w:w="0" w:type="auto"/>
            <w:vAlign w:val="center"/>
            <w:hideMark/>
          </w:tcPr>
          <w:p w14:paraId="068D612C" w14:textId="77777777" w:rsidR="00B503AC" w:rsidRPr="00B503AC" w:rsidRDefault="00B503AC" w:rsidP="00B503AC">
            <w:r w:rsidRPr="00B503AC">
              <w:t>Calculate returns and volatility</w:t>
            </w:r>
          </w:p>
        </w:tc>
      </w:tr>
      <w:tr w:rsidR="00B503AC" w:rsidRPr="00B503AC" w14:paraId="215629F4" w14:textId="77777777">
        <w:trPr>
          <w:tblCellSpacing w:w="15" w:type="dxa"/>
        </w:trPr>
        <w:tc>
          <w:tcPr>
            <w:tcW w:w="0" w:type="auto"/>
            <w:vAlign w:val="center"/>
            <w:hideMark/>
          </w:tcPr>
          <w:p w14:paraId="347ED5EB" w14:textId="77777777" w:rsidR="00B503AC" w:rsidRPr="00B503AC" w:rsidRDefault="00B503AC" w:rsidP="00B503AC">
            <w:r w:rsidRPr="00B503AC">
              <w:t>Stage 4</w:t>
            </w:r>
          </w:p>
        </w:tc>
        <w:tc>
          <w:tcPr>
            <w:tcW w:w="0" w:type="auto"/>
            <w:vAlign w:val="center"/>
            <w:hideMark/>
          </w:tcPr>
          <w:p w14:paraId="00E15FEF" w14:textId="77777777" w:rsidR="00B503AC" w:rsidRPr="00B503AC" w:rsidRDefault="00B503AC" w:rsidP="00B503AC">
            <w:r w:rsidRPr="00B503AC">
              <w:t>Technical Analysis</w:t>
            </w:r>
          </w:p>
        </w:tc>
        <w:tc>
          <w:tcPr>
            <w:tcW w:w="0" w:type="auto"/>
            <w:vAlign w:val="center"/>
            <w:hideMark/>
          </w:tcPr>
          <w:p w14:paraId="6129F2D8" w14:textId="77777777" w:rsidR="00B503AC" w:rsidRPr="00B503AC" w:rsidRDefault="00B503AC" w:rsidP="00B503AC">
            <w:r w:rsidRPr="00B503AC">
              <w:t>Moving averages and correlation analysis</w:t>
            </w:r>
          </w:p>
        </w:tc>
      </w:tr>
      <w:tr w:rsidR="00B503AC" w:rsidRPr="00B503AC" w14:paraId="7585E45A" w14:textId="77777777">
        <w:trPr>
          <w:tblCellSpacing w:w="15" w:type="dxa"/>
        </w:trPr>
        <w:tc>
          <w:tcPr>
            <w:tcW w:w="0" w:type="auto"/>
            <w:vAlign w:val="center"/>
            <w:hideMark/>
          </w:tcPr>
          <w:p w14:paraId="019440A6" w14:textId="77777777" w:rsidR="00B503AC" w:rsidRPr="00B503AC" w:rsidRDefault="00B503AC" w:rsidP="00B503AC">
            <w:r w:rsidRPr="00B503AC">
              <w:t>Stage 5</w:t>
            </w:r>
          </w:p>
        </w:tc>
        <w:tc>
          <w:tcPr>
            <w:tcW w:w="0" w:type="auto"/>
            <w:vAlign w:val="center"/>
            <w:hideMark/>
          </w:tcPr>
          <w:p w14:paraId="2F80CCF7" w14:textId="77777777" w:rsidR="00B503AC" w:rsidRPr="00B503AC" w:rsidRDefault="00B503AC" w:rsidP="00B503AC">
            <w:r w:rsidRPr="00B503AC">
              <w:t>Forecasting</w:t>
            </w:r>
          </w:p>
        </w:tc>
        <w:tc>
          <w:tcPr>
            <w:tcW w:w="0" w:type="auto"/>
            <w:vAlign w:val="center"/>
            <w:hideMark/>
          </w:tcPr>
          <w:p w14:paraId="7B43DD18" w14:textId="77777777" w:rsidR="00B503AC" w:rsidRPr="00B503AC" w:rsidRDefault="00B503AC" w:rsidP="00B503AC">
            <w:r w:rsidRPr="00B503AC">
              <w:t>ADF test and ARIMA forecasting</w:t>
            </w:r>
          </w:p>
        </w:tc>
      </w:tr>
    </w:tbl>
    <w:p w14:paraId="2C96583E" w14:textId="59EB6C44" w:rsidR="00B503AC" w:rsidRPr="00B503AC" w:rsidRDefault="00B503AC" w:rsidP="00B503AC"/>
    <w:p w14:paraId="1EC40CA1" w14:textId="77777777" w:rsidR="00B503AC" w:rsidRPr="0045133A" w:rsidRDefault="00B503AC" w:rsidP="00B503AC">
      <w:pPr>
        <w:rPr>
          <w:b/>
          <w:bCs/>
          <w:sz w:val="28"/>
          <w:szCs w:val="28"/>
        </w:rPr>
      </w:pPr>
      <w:r w:rsidRPr="0045133A">
        <w:rPr>
          <w:b/>
          <w:bCs/>
          <w:sz w:val="28"/>
          <w:szCs w:val="28"/>
        </w:rPr>
        <w:t>5. Data Cleaning and Preprocessing</w:t>
      </w:r>
    </w:p>
    <w:p w14:paraId="6225489D" w14:textId="77777777" w:rsidR="00B503AC" w:rsidRPr="00B503AC" w:rsidRDefault="00B503AC" w:rsidP="00B503AC">
      <w:r w:rsidRPr="00B503AC">
        <w:t>Before analysis, the dataset was cleaned and prepared to ensure accuracy and consistency.</w:t>
      </w:r>
    </w:p>
    <w:p w14:paraId="4B5F9DDB" w14:textId="77777777" w:rsidR="00B503AC" w:rsidRPr="00B503AC" w:rsidRDefault="00B503AC" w:rsidP="00B503AC">
      <w:r w:rsidRPr="00B503AC">
        <w:t>The following preprocessing steps were performed:</w:t>
      </w:r>
    </w:p>
    <w:p w14:paraId="2E37A6D6" w14:textId="77777777" w:rsidR="00B503AC" w:rsidRPr="00B503AC" w:rsidRDefault="00B503AC">
      <w:pPr>
        <w:numPr>
          <w:ilvl w:val="0"/>
          <w:numId w:val="2"/>
        </w:numPr>
      </w:pPr>
      <w:r w:rsidRPr="00B503AC">
        <w:t>Converted the Date column into datetime format.</w:t>
      </w:r>
    </w:p>
    <w:p w14:paraId="28083623" w14:textId="77777777" w:rsidR="00B503AC" w:rsidRPr="00B503AC" w:rsidRDefault="00B503AC">
      <w:pPr>
        <w:numPr>
          <w:ilvl w:val="0"/>
          <w:numId w:val="2"/>
        </w:numPr>
      </w:pPr>
      <w:r w:rsidRPr="00B503AC">
        <w:t>Sorted observations chronologically.</w:t>
      </w:r>
    </w:p>
    <w:p w14:paraId="5E11A0C0" w14:textId="77777777" w:rsidR="00B503AC" w:rsidRPr="00B503AC" w:rsidRDefault="00B503AC">
      <w:pPr>
        <w:numPr>
          <w:ilvl w:val="0"/>
          <w:numId w:val="2"/>
        </w:numPr>
      </w:pPr>
      <w:r w:rsidRPr="00B503AC">
        <w:t>Checked for missing values.</w:t>
      </w:r>
    </w:p>
    <w:p w14:paraId="6550BCE4" w14:textId="77777777" w:rsidR="00B503AC" w:rsidRPr="00B503AC" w:rsidRDefault="00B503AC">
      <w:pPr>
        <w:numPr>
          <w:ilvl w:val="0"/>
          <w:numId w:val="2"/>
        </w:numPr>
      </w:pPr>
      <w:r w:rsidRPr="00B503AC">
        <w:t>Removed duplicate observations.</w:t>
      </w:r>
    </w:p>
    <w:p w14:paraId="656B5A2E" w14:textId="77777777" w:rsidR="00B503AC" w:rsidRPr="00B503AC" w:rsidRDefault="00B503AC">
      <w:pPr>
        <w:numPr>
          <w:ilvl w:val="0"/>
          <w:numId w:val="2"/>
        </w:numPr>
      </w:pPr>
      <w:r w:rsidRPr="00B503AC">
        <w:t>Verified dataset consistency.</w:t>
      </w:r>
    </w:p>
    <w:p w14:paraId="626F915E" w14:textId="77777777" w:rsidR="00B503AC" w:rsidRPr="00B503AC" w:rsidRDefault="00B503AC" w:rsidP="00B503AC">
      <w:r w:rsidRPr="00B503AC">
        <w:t xml:space="preserve">These steps ensured that the data was suitable for time-series </w:t>
      </w:r>
      <w:proofErr w:type="spellStart"/>
      <w:r w:rsidRPr="00B503AC">
        <w:t>modeling</w:t>
      </w:r>
      <w:proofErr w:type="spellEnd"/>
      <w:r w:rsidRPr="00B503AC">
        <w:t xml:space="preserve"> and statistical analysis.</w:t>
      </w:r>
    </w:p>
    <w:p w14:paraId="6D28AA3F" w14:textId="1A6CAB49" w:rsidR="00B503AC" w:rsidRPr="00B503AC" w:rsidRDefault="00B503AC" w:rsidP="00B503AC"/>
    <w:p w14:paraId="4C1830B1" w14:textId="77777777" w:rsidR="00B503AC" w:rsidRPr="0045133A" w:rsidRDefault="00B503AC" w:rsidP="00B503AC">
      <w:pPr>
        <w:rPr>
          <w:b/>
          <w:bCs/>
          <w:sz w:val="28"/>
          <w:szCs w:val="28"/>
        </w:rPr>
      </w:pPr>
      <w:r w:rsidRPr="0045133A">
        <w:rPr>
          <w:b/>
          <w:bCs/>
          <w:sz w:val="28"/>
          <w:szCs w:val="28"/>
        </w:rPr>
        <w:t>6. Gold Price Trend Analysis</w:t>
      </w:r>
    </w:p>
    <w:p w14:paraId="5710CF3D" w14:textId="77777777" w:rsidR="00B503AC" w:rsidRPr="00B503AC" w:rsidRDefault="00B503AC" w:rsidP="00B503AC">
      <w:r w:rsidRPr="00B503AC">
        <w:t xml:space="preserve">Gold price trend analysis provides an overview of historical price </w:t>
      </w:r>
      <w:proofErr w:type="spellStart"/>
      <w:r w:rsidRPr="00B503AC">
        <w:t>behavior</w:t>
      </w:r>
      <w:proofErr w:type="spellEnd"/>
      <w:r w:rsidRPr="00B503AC">
        <w:t xml:space="preserve"> and helps identify long-term market movements.</w:t>
      </w:r>
    </w:p>
    <w:p w14:paraId="6F419673" w14:textId="131B2C5D" w:rsidR="00B503AC" w:rsidRPr="00B503AC" w:rsidRDefault="0045133A" w:rsidP="00B503AC">
      <w:r>
        <w:rPr>
          <w:noProof/>
        </w:rPr>
        <w:lastRenderedPageBreak/>
        <w:drawing>
          <wp:inline distT="0" distB="0" distL="0" distR="0" wp14:anchorId="14819FCA" wp14:editId="6FFF6D5F">
            <wp:extent cx="5731510" cy="2673350"/>
            <wp:effectExtent l="0" t="0" r="2540" b="0"/>
            <wp:docPr id="93160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02894" name=""/>
                    <pic:cNvPicPr/>
                  </pic:nvPicPr>
                  <pic:blipFill>
                    <a:blip r:embed="rId5"/>
                    <a:stretch>
                      <a:fillRect/>
                    </a:stretch>
                  </pic:blipFill>
                  <pic:spPr>
                    <a:xfrm>
                      <a:off x="0" y="0"/>
                      <a:ext cx="5731510" cy="2673350"/>
                    </a:xfrm>
                    <a:prstGeom prst="rect">
                      <a:avLst/>
                    </a:prstGeom>
                  </pic:spPr>
                </pic:pic>
              </a:graphicData>
            </a:graphic>
          </wp:inline>
        </w:drawing>
      </w:r>
      <w:r w:rsidR="00B503AC" w:rsidRPr="00B503AC">
        <w:t>The closing price of gold is plotted against time to visualize the overall market trend.</w:t>
      </w:r>
    </w:p>
    <w:p w14:paraId="4235A9DF" w14:textId="77777777" w:rsidR="00B503AC" w:rsidRPr="00B503AC" w:rsidRDefault="00B503AC" w:rsidP="00B503AC">
      <w:pPr>
        <w:rPr>
          <w:b/>
          <w:bCs/>
        </w:rPr>
      </w:pPr>
      <w:r w:rsidRPr="00B503AC">
        <w:rPr>
          <w:b/>
          <w:bCs/>
        </w:rPr>
        <w:t>Interpretation</w:t>
      </w:r>
    </w:p>
    <w:p w14:paraId="1FC29FAA" w14:textId="77777777" w:rsidR="00B503AC" w:rsidRPr="00B503AC" w:rsidRDefault="00B503AC" w:rsidP="00B503AC">
      <w:r w:rsidRPr="00B503AC">
        <w:t>The trend analysis reveals the long-term direction of gold prices over the study period. Upward movements indicate increasing investor demand and safe-haven buying, while downward movements may reflect stronger economic conditions or rising interest rates.</w:t>
      </w:r>
    </w:p>
    <w:p w14:paraId="0873F376" w14:textId="55F3C684" w:rsidR="00B503AC" w:rsidRPr="00B503AC" w:rsidRDefault="00B503AC" w:rsidP="00B503AC"/>
    <w:p w14:paraId="634F99E8" w14:textId="77777777" w:rsidR="00B503AC" w:rsidRPr="0045133A" w:rsidRDefault="00B503AC" w:rsidP="00B503AC">
      <w:pPr>
        <w:rPr>
          <w:b/>
          <w:bCs/>
          <w:sz w:val="28"/>
          <w:szCs w:val="28"/>
        </w:rPr>
      </w:pPr>
      <w:r w:rsidRPr="0045133A">
        <w:rPr>
          <w:b/>
          <w:bCs/>
          <w:sz w:val="28"/>
          <w:szCs w:val="28"/>
        </w:rPr>
        <w:t>7. Return Analysis</w:t>
      </w:r>
    </w:p>
    <w:p w14:paraId="7FD04147" w14:textId="77777777" w:rsidR="00B503AC" w:rsidRPr="00B503AC" w:rsidRDefault="00B503AC" w:rsidP="00B503AC">
      <w:r w:rsidRPr="00B503AC">
        <w:t>Daily returns measure percentage changes in gold prices from one trading day to the next.</w:t>
      </w:r>
    </w:p>
    <w:p w14:paraId="7365457D" w14:textId="77777777" w:rsidR="00B503AC" w:rsidRPr="00B503AC" w:rsidRDefault="00B503AC" w:rsidP="00B503AC">
      <w:pPr>
        <w:rPr>
          <w:b/>
          <w:bCs/>
        </w:rPr>
      </w:pPr>
      <w:r w:rsidRPr="00B503AC">
        <w:rPr>
          <w:b/>
          <w:bCs/>
        </w:rPr>
        <w:t>Daily Return Formula</w:t>
      </w:r>
    </w:p>
    <w:p w14:paraId="0F27C0A1" w14:textId="77777777" w:rsidR="00B503AC" w:rsidRPr="00B503AC" w:rsidRDefault="00B503AC" w:rsidP="00B503AC">
      <w:r w:rsidRPr="00B503AC">
        <w:t>R</w:t>
      </w:r>
      <w:r w:rsidRPr="00B503AC">
        <w:rPr>
          <w:rFonts w:ascii="Cambria Math" w:hAnsi="Cambria Math" w:cs="Cambria Math"/>
        </w:rPr>
        <w:t>ₜ</w:t>
      </w:r>
      <w:r w:rsidRPr="00B503AC">
        <w:t xml:space="preserve"> = (P</w:t>
      </w:r>
      <w:r w:rsidRPr="00B503AC">
        <w:rPr>
          <w:rFonts w:ascii="Cambria Math" w:hAnsi="Cambria Math" w:cs="Cambria Math"/>
        </w:rPr>
        <w:t>ₜ</w:t>
      </w:r>
      <w:r w:rsidRPr="00B503AC">
        <w:t xml:space="preserve"> </w:t>
      </w:r>
      <w:r w:rsidRPr="00B503AC">
        <w:rPr>
          <w:rFonts w:ascii="Aptos" w:hAnsi="Aptos" w:cs="Aptos"/>
        </w:rPr>
        <w:t>−</w:t>
      </w:r>
      <w:r w:rsidRPr="00B503AC">
        <w:t xml:space="preserve"> P</w:t>
      </w:r>
      <w:r w:rsidRPr="00B503AC">
        <w:rPr>
          <w:rFonts w:ascii="Cambria Math" w:hAnsi="Cambria Math" w:cs="Cambria Math"/>
        </w:rPr>
        <w:t>ₜ₋</w:t>
      </w:r>
      <w:r w:rsidRPr="00B503AC">
        <w:rPr>
          <w:rFonts w:ascii="Aptos" w:hAnsi="Aptos" w:cs="Aptos"/>
        </w:rPr>
        <w:t>₁</w:t>
      </w:r>
      <w:r w:rsidRPr="00B503AC">
        <w:t>) / P</w:t>
      </w:r>
      <w:r w:rsidRPr="00B503AC">
        <w:rPr>
          <w:rFonts w:ascii="Cambria Math" w:hAnsi="Cambria Math" w:cs="Cambria Math"/>
        </w:rPr>
        <w:t>ₜ₋</w:t>
      </w:r>
      <w:r w:rsidRPr="00B503AC">
        <w:rPr>
          <w:rFonts w:ascii="Aptos" w:hAnsi="Aptos" w:cs="Aptos"/>
        </w:rPr>
        <w:t>₁</w:t>
      </w:r>
    </w:p>
    <w:p w14:paraId="0315897A" w14:textId="77777777" w:rsidR="00B503AC" w:rsidRPr="00B503AC" w:rsidRDefault="00B503AC" w:rsidP="00B503AC">
      <w:r w:rsidRPr="00B503AC">
        <w:t>Where:</w:t>
      </w:r>
    </w:p>
    <w:p w14:paraId="6C47CE81" w14:textId="77777777" w:rsidR="00B503AC" w:rsidRPr="00B503AC" w:rsidRDefault="00B503AC">
      <w:pPr>
        <w:numPr>
          <w:ilvl w:val="0"/>
          <w:numId w:val="3"/>
        </w:numPr>
      </w:pPr>
      <w:r w:rsidRPr="00B503AC">
        <w:t>R</w:t>
      </w:r>
      <w:r w:rsidRPr="00B503AC">
        <w:rPr>
          <w:rFonts w:ascii="Cambria Math" w:hAnsi="Cambria Math" w:cs="Cambria Math"/>
        </w:rPr>
        <w:t>ₜ</w:t>
      </w:r>
      <w:r w:rsidRPr="00B503AC">
        <w:t xml:space="preserve"> = Daily Return</w:t>
      </w:r>
    </w:p>
    <w:p w14:paraId="19CA2C1F" w14:textId="77777777" w:rsidR="00B503AC" w:rsidRPr="00B503AC" w:rsidRDefault="00B503AC">
      <w:pPr>
        <w:numPr>
          <w:ilvl w:val="0"/>
          <w:numId w:val="3"/>
        </w:numPr>
      </w:pPr>
      <w:r w:rsidRPr="00B503AC">
        <w:t>P</w:t>
      </w:r>
      <w:r w:rsidRPr="00B503AC">
        <w:rPr>
          <w:rFonts w:ascii="Cambria Math" w:hAnsi="Cambria Math" w:cs="Cambria Math"/>
        </w:rPr>
        <w:t>ₜ</w:t>
      </w:r>
      <w:r w:rsidRPr="00B503AC">
        <w:t xml:space="preserve"> = Current Day Closing Price</w:t>
      </w:r>
    </w:p>
    <w:p w14:paraId="7C0B5209" w14:textId="77777777" w:rsidR="00B503AC" w:rsidRPr="00B503AC" w:rsidRDefault="00B503AC">
      <w:pPr>
        <w:numPr>
          <w:ilvl w:val="0"/>
          <w:numId w:val="3"/>
        </w:numPr>
      </w:pPr>
      <w:r w:rsidRPr="00B503AC">
        <w:t>P</w:t>
      </w:r>
      <w:r w:rsidRPr="00B503AC">
        <w:rPr>
          <w:rFonts w:ascii="Cambria Math" w:hAnsi="Cambria Math" w:cs="Cambria Math"/>
        </w:rPr>
        <w:t>ₜ₋</w:t>
      </w:r>
      <w:r w:rsidRPr="00B503AC">
        <w:rPr>
          <w:rFonts w:ascii="Aptos" w:hAnsi="Aptos" w:cs="Aptos"/>
        </w:rPr>
        <w:t>₁</w:t>
      </w:r>
      <w:r w:rsidRPr="00B503AC">
        <w:t xml:space="preserve"> = Previous Day Closing Price</w:t>
      </w:r>
    </w:p>
    <w:p w14:paraId="0065BA5C" w14:textId="5D005E8A" w:rsidR="00B503AC" w:rsidRPr="00B503AC" w:rsidRDefault="00B503AC" w:rsidP="00B503AC">
      <w:r>
        <w:rPr>
          <w:noProof/>
        </w:rPr>
        <w:lastRenderedPageBreak/>
        <w:drawing>
          <wp:inline distT="0" distB="0" distL="0" distR="0" wp14:anchorId="7237C546" wp14:editId="0E192515">
            <wp:extent cx="5731510" cy="2637155"/>
            <wp:effectExtent l="0" t="0" r="2540" b="0"/>
            <wp:docPr id="70302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4940" name=""/>
                    <pic:cNvPicPr/>
                  </pic:nvPicPr>
                  <pic:blipFill>
                    <a:blip r:embed="rId6"/>
                    <a:stretch>
                      <a:fillRect/>
                    </a:stretch>
                  </pic:blipFill>
                  <pic:spPr>
                    <a:xfrm>
                      <a:off x="0" y="0"/>
                      <a:ext cx="5731510" cy="2637155"/>
                    </a:xfrm>
                    <a:prstGeom prst="rect">
                      <a:avLst/>
                    </a:prstGeom>
                  </pic:spPr>
                </pic:pic>
              </a:graphicData>
            </a:graphic>
          </wp:inline>
        </w:drawing>
      </w:r>
      <w:r w:rsidRPr="00B503AC">
        <w:t>The daily return series illustrates short-term price fluctuations and market reactions to economic events.</w:t>
      </w:r>
    </w:p>
    <w:p w14:paraId="59AB03BB" w14:textId="77777777" w:rsidR="00B503AC" w:rsidRPr="00B503AC" w:rsidRDefault="00B503AC" w:rsidP="00B503AC">
      <w:pPr>
        <w:rPr>
          <w:b/>
          <w:bCs/>
        </w:rPr>
      </w:pPr>
      <w:r w:rsidRPr="00B503AC">
        <w:rPr>
          <w:b/>
          <w:bCs/>
        </w:rPr>
        <w:t>Interpretation</w:t>
      </w:r>
    </w:p>
    <w:p w14:paraId="10BB1280" w14:textId="77777777" w:rsidR="00B503AC" w:rsidRPr="00B503AC" w:rsidRDefault="00B503AC" w:rsidP="00B503AC">
      <w:r w:rsidRPr="00B503AC">
        <w:t>Most returns fluctuate around zero, while large positive and negative returns indicate periods of heightened uncertainty and market stress.</w:t>
      </w:r>
    </w:p>
    <w:p w14:paraId="73C17A22" w14:textId="04139C3C" w:rsidR="00B503AC" w:rsidRPr="0045133A" w:rsidRDefault="00B503AC" w:rsidP="00B503AC">
      <w:pPr>
        <w:rPr>
          <w:sz w:val="28"/>
          <w:szCs w:val="28"/>
        </w:rPr>
      </w:pPr>
    </w:p>
    <w:p w14:paraId="60776F0C" w14:textId="77777777" w:rsidR="00B503AC" w:rsidRPr="0045133A" w:rsidRDefault="00B503AC" w:rsidP="00B503AC">
      <w:pPr>
        <w:rPr>
          <w:b/>
          <w:bCs/>
          <w:sz w:val="28"/>
          <w:szCs w:val="28"/>
        </w:rPr>
      </w:pPr>
      <w:r w:rsidRPr="0045133A">
        <w:rPr>
          <w:b/>
          <w:bCs/>
          <w:sz w:val="28"/>
          <w:szCs w:val="28"/>
        </w:rPr>
        <w:t>8. Volatility Analysis</w:t>
      </w:r>
    </w:p>
    <w:p w14:paraId="60EC1392" w14:textId="77777777" w:rsidR="00B503AC" w:rsidRPr="00B503AC" w:rsidRDefault="00B503AC" w:rsidP="00B503AC">
      <w:r w:rsidRPr="00B503AC">
        <w:t>Volatility is a measure of risk and represents the degree of variation in asset returns over time.</w:t>
      </w:r>
    </w:p>
    <w:p w14:paraId="5BB7BDAD" w14:textId="77777777" w:rsidR="00B503AC" w:rsidRPr="00B503AC" w:rsidRDefault="00B503AC" w:rsidP="00B503AC">
      <w:r w:rsidRPr="00B503AC">
        <w:t>A 30-day rolling standard deviation of daily returns is used to estimate volatility.</w:t>
      </w:r>
    </w:p>
    <w:p w14:paraId="32F4766E" w14:textId="77777777" w:rsidR="00B503AC" w:rsidRPr="00B503AC" w:rsidRDefault="00B503AC" w:rsidP="00B503AC">
      <w:pPr>
        <w:rPr>
          <w:b/>
          <w:bCs/>
        </w:rPr>
      </w:pPr>
      <w:r w:rsidRPr="00B503AC">
        <w:rPr>
          <w:b/>
          <w:bCs/>
        </w:rPr>
        <w:t>Volatility Formula</w:t>
      </w:r>
    </w:p>
    <w:p w14:paraId="677038F8" w14:textId="77777777" w:rsidR="00B503AC" w:rsidRPr="00B503AC" w:rsidRDefault="00B503AC" w:rsidP="00B503AC">
      <w:r w:rsidRPr="00B503AC">
        <w:t>σ</w:t>
      </w:r>
      <w:r w:rsidRPr="00B503AC">
        <w:rPr>
          <w:rFonts w:ascii="Cambria Math" w:hAnsi="Cambria Math" w:cs="Cambria Math"/>
        </w:rPr>
        <w:t>ₜ</w:t>
      </w:r>
      <w:r w:rsidRPr="00B503AC">
        <w:t xml:space="preserve"> = </w:t>
      </w:r>
      <w:proofErr w:type="gramStart"/>
      <w:r w:rsidRPr="00B503AC">
        <w:t>Std(</w:t>
      </w:r>
      <w:proofErr w:type="gramEnd"/>
      <w:r w:rsidRPr="00B503AC">
        <w:t>R</w:t>
      </w:r>
      <w:r w:rsidRPr="00B503AC">
        <w:rPr>
          <w:rFonts w:ascii="Cambria Math" w:hAnsi="Cambria Math" w:cs="Cambria Math"/>
        </w:rPr>
        <w:t>ₜ₋</w:t>
      </w:r>
      <w:r w:rsidRPr="00B503AC">
        <w:rPr>
          <w:rFonts w:ascii="Aptos" w:hAnsi="Aptos" w:cs="Aptos"/>
        </w:rPr>
        <w:t>₂₉</w:t>
      </w:r>
      <w:r w:rsidRPr="00B503AC">
        <w:t xml:space="preserve"> ... R</w:t>
      </w:r>
      <w:r w:rsidRPr="00B503AC">
        <w:rPr>
          <w:rFonts w:ascii="Cambria Math" w:hAnsi="Cambria Math" w:cs="Cambria Math"/>
        </w:rPr>
        <w:t>ₜ</w:t>
      </w:r>
      <w:r w:rsidRPr="00B503AC">
        <w:t>)</w:t>
      </w:r>
    </w:p>
    <w:p w14:paraId="43191C49" w14:textId="38F08A7F" w:rsidR="00B503AC" w:rsidRPr="00B503AC" w:rsidRDefault="00B503AC" w:rsidP="00B503AC">
      <w:r>
        <w:rPr>
          <w:noProof/>
        </w:rPr>
        <w:lastRenderedPageBreak/>
        <w:drawing>
          <wp:inline distT="0" distB="0" distL="0" distR="0" wp14:anchorId="7EFE09D1" wp14:editId="27FF6BF2">
            <wp:extent cx="5731510" cy="2663825"/>
            <wp:effectExtent l="0" t="0" r="2540" b="3175"/>
            <wp:docPr id="137218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81388" name=""/>
                    <pic:cNvPicPr/>
                  </pic:nvPicPr>
                  <pic:blipFill>
                    <a:blip r:embed="rId7"/>
                    <a:stretch>
                      <a:fillRect/>
                    </a:stretch>
                  </pic:blipFill>
                  <pic:spPr>
                    <a:xfrm>
                      <a:off x="0" y="0"/>
                      <a:ext cx="5731510" cy="2663825"/>
                    </a:xfrm>
                    <a:prstGeom prst="rect">
                      <a:avLst/>
                    </a:prstGeom>
                  </pic:spPr>
                </pic:pic>
              </a:graphicData>
            </a:graphic>
          </wp:inline>
        </w:drawing>
      </w:r>
      <w:r w:rsidRPr="00B503AC">
        <w:t>This graph shows how gold market risk changes over time.</w:t>
      </w:r>
    </w:p>
    <w:p w14:paraId="355F0499" w14:textId="77777777" w:rsidR="00B503AC" w:rsidRPr="00B503AC" w:rsidRDefault="00B503AC" w:rsidP="00B503AC">
      <w:pPr>
        <w:rPr>
          <w:b/>
          <w:bCs/>
        </w:rPr>
      </w:pPr>
      <w:r w:rsidRPr="00B503AC">
        <w:rPr>
          <w:b/>
          <w:bCs/>
        </w:rPr>
        <w:t>Interpretation</w:t>
      </w:r>
    </w:p>
    <w:p w14:paraId="19402086" w14:textId="77777777" w:rsidR="00B503AC" w:rsidRPr="00B503AC" w:rsidRDefault="00B503AC" w:rsidP="00B503AC">
      <w:r w:rsidRPr="00B503AC">
        <w:t>Periods of elevated volatility typically correspond to financial crises, inflation concerns, or geopolitical uncertainty. Lower volatility suggests more stable market conditions.</w:t>
      </w:r>
    </w:p>
    <w:p w14:paraId="4C2C7E55" w14:textId="7F5D5AF2" w:rsidR="00B503AC" w:rsidRPr="00B503AC" w:rsidRDefault="00B503AC" w:rsidP="00B503AC"/>
    <w:p w14:paraId="61F771EC" w14:textId="77777777" w:rsidR="00B503AC" w:rsidRPr="0045133A" w:rsidRDefault="00B503AC" w:rsidP="00B503AC">
      <w:pPr>
        <w:rPr>
          <w:b/>
          <w:bCs/>
          <w:sz w:val="28"/>
          <w:szCs w:val="28"/>
        </w:rPr>
      </w:pPr>
      <w:r w:rsidRPr="0045133A">
        <w:rPr>
          <w:b/>
          <w:bCs/>
          <w:sz w:val="28"/>
          <w:szCs w:val="28"/>
        </w:rPr>
        <w:t>9. Moving Average Analysis</w:t>
      </w:r>
    </w:p>
    <w:p w14:paraId="6CDA4BEA" w14:textId="77777777" w:rsidR="00B503AC" w:rsidRPr="00B503AC" w:rsidRDefault="00B503AC" w:rsidP="00B503AC">
      <w:r w:rsidRPr="00B503AC">
        <w:t>Moving averages smooth short-term fluctuations and reveal the underlying market trend.</w:t>
      </w:r>
    </w:p>
    <w:p w14:paraId="0D9F4067" w14:textId="77777777" w:rsidR="00B503AC" w:rsidRPr="00B503AC" w:rsidRDefault="00B503AC" w:rsidP="00B503AC">
      <w:pPr>
        <w:rPr>
          <w:b/>
          <w:bCs/>
        </w:rPr>
      </w:pPr>
      <w:r w:rsidRPr="00B503AC">
        <w:rPr>
          <w:b/>
          <w:bCs/>
        </w:rPr>
        <w:t>9.1 50-Day Moving Average</w:t>
      </w:r>
    </w:p>
    <w:p w14:paraId="31767494" w14:textId="77777777" w:rsidR="00B503AC" w:rsidRPr="00B503AC" w:rsidRDefault="00B503AC" w:rsidP="00B503AC">
      <w:r w:rsidRPr="00B503AC">
        <w:t xml:space="preserve">The 50-day moving average reflects medium-term market </w:t>
      </w:r>
      <w:proofErr w:type="spellStart"/>
      <w:r w:rsidRPr="00B503AC">
        <w:t>behavior</w:t>
      </w:r>
      <w:proofErr w:type="spellEnd"/>
      <w:r w:rsidRPr="00B503AC">
        <w:t xml:space="preserve"> and responds relatively quickly to recent price changes.</w:t>
      </w:r>
    </w:p>
    <w:p w14:paraId="28631E58" w14:textId="77777777" w:rsidR="00B503AC" w:rsidRPr="00B503AC" w:rsidRDefault="00B503AC" w:rsidP="00B503AC">
      <w:pPr>
        <w:rPr>
          <w:b/>
          <w:bCs/>
        </w:rPr>
      </w:pPr>
      <w:r w:rsidRPr="00B503AC">
        <w:rPr>
          <w:b/>
          <w:bCs/>
        </w:rPr>
        <w:t>9.2 200-Day Moving Average</w:t>
      </w:r>
    </w:p>
    <w:p w14:paraId="7D8FE1DE" w14:textId="77777777" w:rsidR="00B503AC" w:rsidRPr="00B503AC" w:rsidRDefault="00B503AC" w:rsidP="00B503AC">
      <w:r w:rsidRPr="00B503AC">
        <w:t>The 200-day moving average captures long-term market direction and is widely used by institutional investors.</w:t>
      </w:r>
    </w:p>
    <w:p w14:paraId="072BB9BE" w14:textId="11FB5FA1" w:rsidR="00B503AC" w:rsidRPr="00B503AC" w:rsidRDefault="00B503AC" w:rsidP="00B503AC">
      <w:r>
        <w:rPr>
          <w:noProof/>
        </w:rPr>
        <w:lastRenderedPageBreak/>
        <w:drawing>
          <wp:inline distT="0" distB="0" distL="0" distR="0" wp14:anchorId="73906D84" wp14:editId="1406F644">
            <wp:extent cx="5731510" cy="2673350"/>
            <wp:effectExtent l="0" t="0" r="2540" b="0"/>
            <wp:docPr id="37247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77173" name=""/>
                    <pic:cNvPicPr/>
                  </pic:nvPicPr>
                  <pic:blipFill>
                    <a:blip r:embed="rId8"/>
                    <a:stretch>
                      <a:fillRect/>
                    </a:stretch>
                  </pic:blipFill>
                  <pic:spPr>
                    <a:xfrm>
                      <a:off x="0" y="0"/>
                      <a:ext cx="5731510" cy="2673350"/>
                    </a:xfrm>
                    <a:prstGeom prst="rect">
                      <a:avLst/>
                    </a:prstGeom>
                  </pic:spPr>
                </pic:pic>
              </a:graphicData>
            </a:graphic>
          </wp:inline>
        </w:drawing>
      </w:r>
      <w:r w:rsidRPr="00B503AC">
        <w:t>The graph displays:</w:t>
      </w:r>
    </w:p>
    <w:p w14:paraId="33815CEE" w14:textId="77777777" w:rsidR="00B503AC" w:rsidRPr="00B503AC" w:rsidRDefault="00B503AC">
      <w:pPr>
        <w:numPr>
          <w:ilvl w:val="0"/>
          <w:numId w:val="4"/>
        </w:numPr>
      </w:pPr>
      <w:r w:rsidRPr="00B503AC">
        <w:t>Closing Price</w:t>
      </w:r>
    </w:p>
    <w:p w14:paraId="04D6E511" w14:textId="77777777" w:rsidR="00B503AC" w:rsidRPr="00B503AC" w:rsidRDefault="00B503AC">
      <w:pPr>
        <w:numPr>
          <w:ilvl w:val="0"/>
          <w:numId w:val="4"/>
        </w:numPr>
      </w:pPr>
      <w:r w:rsidRPr="00B503AC">
        <w:t>50-Day Moving Average</w:t>
      </w:r>
    </w:p>
    <w:p w14:paraId="431E5F0B" w14:textId="77777777" w:rsidR="00B503AC" w:rsidRPr="00B503AC" w:rsidRDefault="00B503AC">
      <w:pPr>
        <w:numPr>
          <w:ilvl w:val="0"/>
          <w:numId w:val="4"/>
        </w:numPr>
      </w:pPr>
      <w:r w:rsidRPr="00B503AC">
        <w:t>200-Day Moving Average</w:t>
      </w:r>
    </w:p>
    <w:p w14:paraId="7F3106BA" w14:textId="77777777" w:rsidR="00B503AC" w:rsidRPr="00B503AC" w:rsidRDefault="00B503AC" w:rsidP="00B503AC">
      <w:pPr>
        <w:rPr>
          <w:b/>
          <w:bCs/>
        </w:rPr>
      </w:pPr>
      <w:r w:rsidRPr="00B503AC">
        <w:rPr>
          <w:b/>
          <w:bCs/>
        </w:rPr>
        <w:t>Trading Signals</w:t>
      </w:r>
    </w:p>
    <w:p w14:paraId="16DC16B1" w14:textId="77777777" w:rsidR="00B503AC" w:rsidRPr="00B503AC" w:rsidRDefault="00B503AC" w:rsidP="00B503AC">
      <w:r w:rsidRPr="00B503AC">
        <w:rPr>
          <w:b/>
          <w:bCs/>
        </w:rPr>
        <w:t>Golden Cross</w:t>
      </w:r>
    </w:p>
    <w:p w14:paraId="145F475D" w14:textId="77777777" w:rsidR="00B503AC" w:rsidRPr="00B503AC" w:rsidRDefault="00B503AC" w:rsidP="00B503AC">
      <w:r w:rsidRPr="00B503AC">
        <w:t>Occurs when:</w:t>
      </w:r>
    </w:p>
    <w:p w14:paraId="26418411" w14:textId="77777777" w:rsidR="00B503AC" w:rsidRPr="00B503AC" w:rsidRDefault="00B503AC" w:rsidP="00B503AC">
      <w:r w:rsidRPr="00B503AC">
        <w:t>50-Day MA &gt; 200-Day MA</w:t>
      </w:r>
    </w:p>
    <w:p w14:paraId="3A744C61" w14:textId="77777777" w:rsidR="00B503AC" w:rsidRPr="00B503AC" w:rsidRDefault="00B503AC" w:rsidP="00B503AC">
      <w:r w:rsidRPr="00B503AC">
        <w:t>This is generally interpreted as a bullish signal.</w:t>
      </w:r>
    </w:p>
    <w:p w14:paraId="1AA2F4AA" w14:textId="77777777" w:rsidR="00B503AC" w:rsidRPr="00B503AC" w:rsidRDefault="00B503AC" w:rsidP="00B503AC">
      <w:r w:rsidRPr="00B503AC">
        <w:rPr>
          <w:b/>
          <w:bCs/>
        </w:rPr>
        <w:t>Death Cross</w:t>
      </w:r>
    </w:p>
    <w:p w14:paraId="7890E5E9" w14:textId="77777777" w:rsidR="00B503AC" w:rsidRPr="00B503AC" w:rsidRDefault="00B503AC" w:rsidP="00B503AC">
      <w:r w:rsidRPr="00B503AC">
        <w:t>Occurs when:</w:t>
      </w:r>
    </w:p>
    <w:p w14:paraId="69D118C6" w14:textId="77777777" w:rsidR="00B503AC" w:rsidRPr="00B503AC" w:rsidRDefault="00B503AC" w:rsidP="00B503AC">
      <w:r w:rsidRPr="00B503AC">
        <w:t>50-Day MA &lt; 200-Day MA</w:t>
      </w:r>
    </w:p>
    <w:p w14:paraId="15B04AF6" w14:textId="77777777" w:rsidR="00B503AC" w:rsidRPr="00B503AC" w:rsidRDefault="00B503AC" w:rsidP="00B503AC">
      <w:r w:rsidRPr="00B503AC">
        <w:t>This is generally interpreted as a bearish signal.</w:t>
      </w:r>
    </w:p>
    <w:p w14:paraId="2738697B" w14:textId="77777777" w:rsidR="00B503AC" w:rsidRPr="00B503AC" w:rsidRDefault="00B503AC" w:rsidP="00B503AC">
      <w:pPr>
        <w:rPr>
          <w:b/>
          <w:bCs/>
        </w:rPr>
      </w:pPr>
      <w:r w:rsidRPr="00B503AC">
        <w:rPr>
          <w:b/>
          <w:bCs/>
        </w:rPr>
        <w:t>Interpretation</w:t>
      </w:r>
    </w:p>
    <w:p w14:paraId="3A334A4F" w14:textId="77777777" w:rsidR="00B503AC" w:rsidRPr="00B503AC" w:rsidRDefault="00B503AC" w:rsidP="00B503AC">
      <w:r w:rsidRPr="00B503AC">
        <w:t>Moving average crossovers help identify trend reversals and are commonly used in technical analysis to assess market direction.</w:t>
      </w:r>
    </w:p>
    <w:p w14:paraId="5CB67C22" w14:textId="3B76FC1C" w:rsidR="00B503AC" w:rsidRPr="00B503AC" w:rsidRDefault="00B503AC" w:rsidP="00B503AC"/>
    <w:p w14:paraId="5FC51079" w14:textId="77777777" w:rsidR="00B503AC" w:rsidRPr="0045133A" w:rsidRDefault="00B503AC" w:rsidP="00B503AC">
      <w:pPr>
        <w:rPr>
          <w:b/>
          <w:bCs/>
          <w:sz w:val="28"/>
          <w:szCs w:val="28"/>
        </w:rPr>
      </w:pPr>
      <w:r w:rsidRPr="0045133A">
        <w:rPr>
          <w:b/>
          <w:bCs/>
          <w:sz w:val="28"/>
          <w:szCs w:val="28"/>
        </w:rPr>
        <w:t>10. Correlation Analysis</w:t>
      </w:r>
    </w:p>
    <w:p w14:paraId="2615CFEB" w14:textId="77777777" w:rsidR="00B503AC" w:rsidRPr="00B503AC" w:rsidRDefault="00B503AC" w:rsidP="00B503AC">
      <w:r w:rsidRPr="00B503AC">
        <w:t>Correlation analysis measures the relationships among variables in the dataset.</w:t>
      </w:r>
    </w:p>
    <w:p w14:paraId="2DD63BAB" w14:textId="77777777" w:rsidR="00B503AC" w:rsidRPr="00B503AC" w:rsidRDefault="00B503AC" w:rsidP="00B503AC">
      <w:r w:rsidRPr="00B503AC">
        <w:t>Variables included:</w:t>
      </w:r>
    </w:p>
    <w:p w14:paraId="0EBBEC09" w14:textId="77777777" w:rsidR="00B503AC" w:rsidRPr="00B503AC" w:rsidRDefault="00B503AC">
      <w:pPr>
        <w:numPr>
          <w:ilvl w:val="0"/>
          <w:numId w:val="5"/>
        </w:numPr>
      </w:pPr>
      <w:r w:rsidRPr="00B503AC">
        <w:lastRenderedPageBreak/>
        <w:t>Open</w:t>
      </w:r>
    </w:p>
    <w:p w14:paraId="5A5AD1BC" w14:textId="77777777" w:rsidR="00B503AC" w:rsidRPr="00B503AC" w:rsidRDefault="00B503AC">
      <w:pPr>
        <w:numPr>
          <w:ilvl w:val="0"/>
          <w:numId w:val="5"/>
        </w:numPr>
      </w:pPr>
      <w:r w:rsidRPr="00B503AC">
        <w:t>High</w:t>
      </w:r>
    </w:p>
    <w:p w14:paraId="692D098A" w14:textId="77777777" w:rsidR="00B503AC" w:rsidRPr="00B503AC" w:rsidRDefault="00B503AC">
      <w:pPr>
        <w:numPr>
          <w:ilvl w:val="0"/>
          <w:numId w:val="5"/>
        </w:numPr>
      </w:pPr>
      <w:r w:rsidRPr="00B503AC">
        <w:t>Low</w:t>
      </w:r>
    </w:p>
    <w:p w14:paraId="7FD3D0B7" w14:textId="77777777" w:rsidR="00B503AC" w:rsidRPr="00B503AC" w:rsidRDefault="00B503AC">
      <w:pPr>
        <w:numPr>
          <w:ilvl w:val="0"/>
          <w:numId w:val="5"/>
        </w:numPr>
      </w:pPr>
      <w:r w:rsidRPr="00B503AC">
        <w:t>Close</w:t>
      </w:r>
    </w:p>
    <w:p w14:paraId="7BFAF7A9" w14:textId="77777777" w:rsidR="00B503AC" w:rsidRPr="00B503AC" w:rsidRDefault="00B503AC">
      <w:pPr>
        <w:numPr>
          <w:ilvl w:val="0"/>
          <w:numId w:val="5"/>
        </w:numPr>
      </w:pPr>
      <w:r w:rsidRPr="00B503AC">
        <w:t>Volume</w:t>
      </w:r>
    </w:p>
    <w:p w14:paraId="6755543F" w14:textId="1B22A653" w:rsidR="00635342" w:rsidRDefault="00B503AC" w:rsidP="00B503AC">
      <w:pPr>
        <w:rPr>
          <w:noProof/>
        </w:rPr>
      </w:pPr>
      <w:r w:rsidRPr="00B503AC">
        <w:rPr>
          <w:b/>
          <w:bCs/>
        </w:rPr>
        <w:t>Figure 5: Correlation Heatmap</w:t>
      </w:r>
      <w:r w:rsidRPr="00B503AC">
        <w:rPr>
          <w:noProof/>
        </w:rPr>
        <w:t xml:space="preserve"> </w:t>
      </w:r>
    </w:p>
    <w:p w14:paraId="0F956EAE" w14:textId="5C23E3D6" w:rsidR="00B503AC" w:rsidRPr="00B503AC" w:rsidRDefault="00635342" w:rsidP="00B503AC">
      <w:r>
        <w:rPr>
          <w:noProof/>
        </w:rPr>
        <w:drawing>
          <wp:inline distT="0" distB="0" distL="0" distR="0" wp14:anchorId="67E86EDE" wp14:editId="5AF22A97">
            <wp:extent cx="4470630" cy="4108661"/>
            <wp:effectExtent l="0" t="0" r="6350" b="6350"/>
            <wp:docPr id="2822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19967" name=""/>
                    <pic:cNvPicPr/>
                  </pic:nvPicPr>
                  <pic:blipFill>
                    <a:blip r:embed="rId9"/>
                    <a:stretch>
                      <a:fillRect/>
                    </a:stretch>
                  </pic:blipFill>
                  <pic:spPr>
                    <a:xfrm>
                      <a:off x="0" y="0"/>
                      <a:ext cx="4470630" cy="4108661"/>
                    </a:xfrm>
                    <a:prstGeom prst="rect">
                      <a:avLst/>
                    </a:prstGeom>
                  </pic:spPr>
                </pic:pic>
              </a:graphicData>
            </a:graphic>
          </wp:inline>
        </w:drawing>
      </w:r>
      <w:r w:rsidR="00B503AC" w:rsidRPr="00B503AC">
        <w:t>The heatmap visualizes pairwise correlations among the variables.</w:t>
      </w:r>
    </w:p>
    <w:p w14:paraId="72C3C54D" w14:textId="77777777" w:rsidR="00B503AC" w:rsidRPr="00B503AC" w:rsidRDefault="00B503AC" w:rsidP="00B503AC">
      <w:pPr>
        <w:rPr>
          <w:b/>
          <w:bCs/>
        </w:rPr>
      </w:pPr>
      <w:r w:rsidRPr="00B503AC">
        <w:rPr>
          <w:b/>
          <w:bCs/>
        </w:rPr>
        <w:t>Interpretation</w:t>
      </w:r>
    </w:p>
    <w:p w14:paraId="5B750EBC" w14:textId="77777777" w:rsidR="00B503AC" w:rsidRPr="00B503AC" w:rsidRDefault="00B503AC" w:rsidP="00B503AC">
      <w:r w:rsidRPr="00B503AC">
        <w:t>Strong positive correlations are expected among Open, High, Low, and Close prices because they represent different measurements of the same trading day. Volume typically exhibits weaker correlations with price variables.</w:t>
      </w:r>
    </w:p>
    <w:p w14:paraId="34C33490" w14:textId="5EB2A44C" w:rsidR="00B503AC" w:rsidRPr="00B503AC" w:rsidRDefault="00B503AC" w:rsidP="00B503AC"/>
    <w:p w14:paraId="3FC4523A" w14:textId="77777777" w:rsidR="00B503AC" w:rsidRPr="0045133A" w:rsidRDefault="00B503AC" w:rsidP="00B503AC">
      <w:pPr>
        <w:rPr>
          <w:b/>
          <w:bCs/>
          <w:sz w:val="28"/>
          <w:szCs w:val="28"/>
        </w:rPr>
      </w:pPr>
      <w:r w:rsidRPr="0045133A">
        <w:rPr>
          <w:b/>
          <w:bCs/>
          <w:sz w:val="28"/>
          <w:szCs w:val="28"/>
        </w:rPr>
        <w:t>11. ARIMA Forecasting</w:t>
      </w:r>
    </w:p>
    <w:p w14:paraId="699353B5" w14:textId="77777777" w:rsidR="00B503AC" w:rsidRPr="00B503AC" w:rsidRDefault="00B503AC" w:rsidP="00B503AC">
      <w:pPr>
        <w:rPr>
          <w:b/>
          <w:bCs/>
        </w:rPr>
      </w:pPr>
      <w:r w:rsidRPr="00B503AC">
        <w:rPr>
          <w:b/>
          <w:bCs/>
        </w:rPr>
        <w:t>11.1 Stationarity Testing</w:t>
      </w:r>
    </w:p>
    <w:p w14:paraId="53FF4262" w14:textId="77777777" w:rsidR="00B503AC" w:rsidRPr="00B503AC" w:rsidRDefault="00B503AC" w:rsidP="00B503AC">
      <w:r w:rsidRPr="00B503AC">
        <w:t>Before fitting the forecasting model, stationarity was assessed using the Augmented Dickey-Fuller (ADF) test.</w:t>
      </w:r>
    </w:p>
    <w:p w14:paraId="02A29E92" w14:textId="77777777" w:rsidR="00B503AC" w:rsidRPr="00B503AC" w:rsidRDefault="00B503AC" w:rsidP="00B503AC">
      <w:pPr>
        <w:rPr>
          <w:b/>
          <w:bCs/>
        </w:rPr>
      </w:pPr>
      <w:r w:rsidRPr="00B503AC">
        <w:rPr>
          <w:b/>
          <w:bCs/>
        </w:rPr>
        <w:lastRenderedPageBreak/>
        <w:t>Hypotheses</w:t>
      </w:r>
    </w:p>
    <w:p w14:paraId="33A9E8E8" w14:textId="77777777" w:rsidR="00B503AC" w:rsidRPr="00B503AC" w:rsidRDefault="00B503AC" w:rsidP="00B503AC">
      <w:r w:rsidRPr="00B503AC">
        <w:t>H₀: The series is non-stationary.</w:t>
      </w:r>
    </w:p>
    <w:p w14:paraId="1858EA06" w14:textId="77777777" w:rsidR="00B503AC" w:rsidRPr="00B503AC" w:rsidRDefault="00B503AC" w:rsidP="00B503AC">
      <w:r w:rsidRPr="00B503AC">
        <w:t>H₁: The series is stationary.</w:t>
      </w:r>
    </w:p>
    <w:p w14:paraId="26169537" w14:textId="77777777" w:rsidR="00B503AC" w:rsidRPr="00B503AC" w:rsidRDefault="00B503AC" w:rsidP="00B503AC">
      <w:r w:rsidRPr="00B503AC">
        <w:t>The test statistic and p-value were examined before model estimation.</w:t>
      </w:r>
    </w:p>
    <w:p w14:paraId="4B6718D3" w14:textId="0655E78E" w:rsidR="00B503AC" w:rsidRPr="00B503AC" w:rsidRDefault="00B503AC" w:rsidP="00B503AC"/>
    <w:p w14:paraId="4D30392F" w14:textId="77777777" w:rsidR="00B503AC" w:rsidRPr="00B503AC" w:rsidRDefault="00B503AC" w:rsidP="00B503AC">
      <w:pPr>
        <w:rPr>
          <w:b/>
          <w:bCs/>
        </w:rPr>
      </w:pPr>
      <w:r w:rsidRPr="00B503AC">
        <w:rPr>
          <w:b/>
          <w:bCs/>
        </w:rPr>
        <w:t>11.2 ARIMA Model</w:t>
      </w:r>
    </w:p>
    <w:p w14:paraId="4E0E9471" w14:textId="77777777" w:rsidR="00B503AC" w:rsidRPr="00B503AC" w:rsidRDefault="00B503AC" w:rsidP="00B503AC">
      <w:r w:rsidRPr="00B503AC">
        <w:t>The forecasting model used in this study is:</w:t>
      </w:r>
    </w:p>
    <w:p w14:paraId="2061A11F" w14:textId="77777777" w:rsidR="00B503AC" w:rsidRPr="00B503AC" w:rsidRDefault="00B503AC" w:rsidP="00B503AC">
      <w:proofErr w:type="gramStart"/>
      <w:r w:rsidRPr="00B503AC">
        <w:t>ARIMA(</w:t>
      </w:r>
      <w:proofErr w:type="gramEnd"/>
      <w:r w:rsidRPr="00B503AC">
        <w:t>5,1,0)</w:t>
      </w:r>
    </w:p>
    <w:p w14:paraId="5C6EF595" w14:textId="77777777" w:rsidR="00B503AC" w:rsidRPr="00B503AC" w:rsidRDefault="00B503AC" w:rsidP="00B503AC">
      <w:r w:rsidRPr="00B503AC">
        <w:t>Where:</w:t>
      </w:r>
    </w:p>
    <w:p w14:paraId="27D02E5F" w14:textId="77777777" w:rsidR="00B503AC" w:rsidRPr="00B503AC" w:rsidRDefault="00B503AC">
      <w:pPr>
        <w:numPr>
          <w:ilvl w:val="0"/>
          <w:numId w:val="6"/>
        </w:numPr>
      </w:pPr>
      <w:r w:rsidRPr="00B503AC">
        <w:t>5 = Autoregressive terms</w:t>
      </w:r>
    </w:p>
    <w:p w14:paraId="788FB2CC" w14:textId="77777777" w:rsidR="00B503AC" w:rsidRPr="00B503AC" w:rsidRDefault="00B503AC">
      <w:pPr>
        <w:numPr>
          <w:ilvl w:val="0"/>
          <w:numId w:val="6"/>
        </w:numPr>
      </w:pPr>
      <w:r w:rsidRPr="00B503AC">
        <w:t>1 = Differencing order</w:t>
      </w:r>
    </w:p>
    <w:p w14:paraId="3BCB3678" w14:textId="77777777" w:rsidR="00B503AC" w:rsidRPr="00B503AC" w:rsidRDefault="00B503AC">
      <w:pPr>
        <w:numPr>
          <w:ilvl w:val="0"/>
          <w:numId w:val="6"/>
        </w:numPr>
      </w:pPr>
      <w:r w:rsidRPr="00B503AC">
        <w:t>0 = Moving average terms</w:t>
      </w:r>
    </w:p>
    <w:p w14:paraId="7DF564E5" w14:textId="77777777" w:rsidR="00B503AC" w:rsidRPr="00B503AC" w:rsidRDefault="00B503AC" w:rsidP="00B503AC">
      <w:r w:rsidRPr="00B503AC">
        <w:t>The model was fitted using historical closing prices.</w:t>
      </w:r>
    </w:p>
    <w:p w14:paraId="4A2C9416" w14:textId="28A0F44D" w:rsidR="00B503AC" w:rsidRPr="00B503AC" w:rsidRDefault="00B503AC" w:rsidP="00B503AC"/>
    <w:p w14:paraId="2B39E33D" w14:textId="77777777" w:rsidR="00B503AC" w:rsidRPr="00B503AC" w:rsidRDefault="00B503AC" w:rsidP="00B503AC">
      <w:pPr>
        <w:rPr>
          <w:b/>
          <w:bCs/>
        </w:rPr>
      </w:pPr>
      <w:r w:rsidRPr="00B503AC">
        <w:rPr>
          <w:b/>
          <w:bCs/>
        </w:rPr>
        <w:t>11.3 Forecast Generation</w:t>
      </w:r>
    </w:p>
    <w:p w14:paraId="66CF6D6E" w14:textId="77777777" w:rsidR="00B503AC" w:rsidRPr="00B503AC" w:rsidRDefault="00B503AC" w:rsidP="00B503AC">
      <w:r w:rsidRPr="00B503AC">
        <w:t>The fitted ARIMA model was used to forecast gold prices for the next 30 trading days.</w:t>
      </w:r>
    </w:p>
    <w:p w14:paraId="3EA5FFBC" w14:textId="572F7307" w:rsidR="00B503AC" w:rsidRPr="00B503AC" w:rsidRDefault="00B503AC" w:rsidP="00B503AC">
      <w:pPr>
        <w:rPr>
          <w:b/>
          <w:bCs/>
        </w:rPr>
      </w:pPr>
      <w:r>
        <w:rPr>
          <w:noProof/>
        </w:rPr>
        <w:drawing>
          <wp:inline distT="0" distB="0" distL="0" distR="0" wp14:anchorId="525CC043" wp14:editId="1F3A16EB">
            <wp:extent cx="5731510" cy="2673350"/>
            <wp:effectExtent l="0" t="0" r="2540" b="0"/>
            <wp:docPr id="47161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12154" name=""/>
                    <pic:cNvPicPr/>
                  </pic:nvPicPr>
                  <pic:blipFill>
                    <a:blip r:embed="rId10"/>
                    <a:stretch>
                      <a:fillRect/>
                    </a:stretch>
                  </pic:blipFill>
                  <pic:spPr>
                    <a:xfrm>
                      <a:off x="0" y="0"/>
                      <a:ext cx="5731510" cy="2673350"/>
                    </a:xfrm>
                    <a:prstGeom prst="rect">
                      <a:avLst/>
                    </a:prstGeom>
                  </pic:spPr>
                </pic:pic>
              </a:graphicData>
            </a:graphic>
          </wp:inline>
        </w:drawing>
      </w:r>
    </w:p>
    <w:p w14:paraId="0150A2EC" w14:textId="77777777" w:rsidR="00B503AC" w:rsidRPr="00B503AC" w:rsidRDefault="00B503AC" w:rsidP="00B503AC">
      <w:r w:rsidRPr="00B503AC">
        <w:t>The graph displays:</w:t>
      </w:r>
    </w:p>
    <w:p w14:paraId="0D86E020" w14:textId="77777777" w:rsidR="00B503AC" w:rsidRPr="00B503AC" w:rsidRDefault="00B503AC">
      <w:pPr>
        <w:numPr>
          <w:ilvl w:val="0"/>
          <w:numId w:val="7"/>
        </w:numPr>
      </w:pPr>
      <w:r w:rsidRPr="00B503AC">
        <w:t>Historical Prices</w:t>
      </w:r>
    </w:p>
    <w:p w14:paraId="0A50DB6F" w14:textId="77777777" w:rsidR="00B503AC" w:rsidRPr="00B503AC" w:rsidRDefault="00B503AC">
      <w:pPr>
        <w:numPr>
          <w:ilvl w:val="0"/>
          <w:numId w:val="7"/>
        </w:numPr>
      </w:pPr>
      <w:r w:rsidRPr="00B503AC">
        <w:t>Forecasted Prices</w:t>
      </w:r>
    </w:p>
    <w:p w14:paraId="5AFEEBF4" w14:textId="77777777" w:rsidR="00B503AC" w:rsidRPr="00B503AC" w:rsidRDefault="00B503AC" w:rsidP="00B503AC">
      <w:pPr>
        <w:rPr>
          <w:b/>
          <w:bCs/>
        </w:rPr>
      </w:pPr>
      <w:r w:rsidRPr="00B503AC">
        <w:rPr>
          <w:b/>
          <w:bCs/>
        </w:rPr>
        <w:lastRenderedPageBreak/>
        <w:t>Interpretation</w:t>
      </w:r>
    </w:p>
    <w:p w14:paraId="00AEE1CC" w14:textId="77777777" w:rsidR="00B503AC" w:rsidRPr="00B503AC" w:rsidRDefault="00B503AC" w:rsidP="00B503AC">
      <w:r w:rsidRPr="00B503AC">
        <w:t>The forecast provides an estimate of future gold prices based on historical patterns. While short-term forecasts can capture underlying trends, unexpected economic or geopolitical events may affect future accuracy.</w:t>
      </w:r>
    </w:p>
    <w:p w14:paraId="50190B5A" w14:textId="41C8ECEA" w:rsidR="00B503AC" w:rsidRPr="00B503AC" w:rsidRDefault="00B503AC" w:rsidP="00B503AC"/>
    <w:p w14:paraId="6BD55708" w14:textId="77777777" w:rsidR="00B503AC" w:rsidRPr="0045133A" w:rsidRDefault="00B503AC" w:rsidP="00B503AC">
      <w:pPr>
        <w:rPr>
          <w:b/>
          <w:bCs/>
          <w:sz w:val="28"/>
          <w:szCs w:val="28"/>
        </w:rPr>
      </w:pPr>
      <w:r w:rsidRPr="0045133A">
        <w:rPr>
          <w:b/>
          <w:bCs/>
          <w:sz w:val="28"/>
          <w:szCs w:val="28"/>
        </w:rPr>
        <w:t>12. Key Events Analysis</w:t>
      </w:r>
    </w:p>
    <w:p w14:paraId="7278C351" w14:textId="77777777" w:rsidR="00B503AC" w:rsidRPr="00B503AC" w:rsidRDefault="00B503AC" w:rsidP="00B503AC">
      <w:pPr>
        <w:rPr>
          <w:b/>
          <w:bCs/>
        </w:rPr>
      </w:pPr>
      <w:r w:rsidRPr="00B503AC">
        <w:rPr>
          <w:b/>
          <w:bCs/>
        </w:rPr>
        <w:t>COVID-19 Pandemic (2020)</w:t>
      </w:r>
    </w:p>
    <w:p w14:paraId="1DE9EC8B" w14:textId="77777777" w:rsidR="00B503AC" w:rsidRPr="00B503AC" w:rsidRDefault="00B503AC">
      <w:pPr>
        <w:numPr>
          <w:ilvl w:val="0"/>
          <w:numId w:val="8"/>
        </w:numPr>
      </w:pPr>
      <w:r w:rsidRPr="00B503AC">
        <w:t>Safe-haven demand increased significantly.</w:t>
      </w:r>
    </w:p>
    <w:p w14:paraId="32245C8D" w14:textId="77777777" w:rsidR="00B503AC" w:rsidRPr="00B503AC" w:rsidRDefault="00B503AC">
      <w:pPr>
        <w:numPr>
          <w:ilvl w:val="0"/>
          <w:numId w:val="8"/>
        </w:numPr>
      </w:pPr>
      <w:r w:rsidRPr="00B503AC">
        <w:t>Gold prices reached historical highs.</w:t>
      </w:r>
    </w:p>
    <w:p w14:paraId="37FF4EB6" w14:textId="77777777" w:rsidR="00B503AC" w:rsidRPr="00B503AC" w:rsidRDefault="00B503AC">
      <w:pPr>
        <w:numPr>
          <w:ilvl w:val="0"/>
          <w:numId w:val="8"/>
        </w:numPr>
      </w:pPr>
      <w:r w:rsidRPr="00B503AC">
        <w:t>Market volatility surged dramatically.</w:t>
      </w:r>
    </w:p>
    <w:p w14:paraId="587B6C84" w14:textId="77777777" w:rsidR="00B503AC" w:rsidRPr="00B503AC" w:rsidRDefault="00B503AC" w:rsidP="00B503AC">
      <w:pPr>
        <w:rPr>
          <w:b/>
          <w:bCs/>
        </w:rPr>
      </w:pPr>
      <w:r w:rsidRPr="00B503AC">
        <w:rPr>
          <w:b/>
          <w:bCs/>
        </w:rPr>
        <w:t>Inflationary Environment (2021–2023)</w:t>
      </w:r>
    </w:p>
    <w:p w14:paraId="11FED9F9" w14:textId="77777777" w:rsidR="00B503AC" w:rsidRPr="00B503AC" w:rsidRDefault="00B503AC">
      <w:pPr>
        <w:numPr>
          <w:ilvl w:val="0"/>
          <w:numId w:val="9"/>
        </w:numPr>
      </w:pPr>
      <w:r w:rsidRPr="00B503AC">
        <w:t>Rising inflation supported investor demand for gold.</w:t>
      </w:r>
    </w:p>
    <w:p w14:paraId="78FCED03" w14:textId="77777777" w:rsidR="00B503AC" w:rsidRPr="00B503AC" w:rsidRDefault="00B503AC">
      <w:pPr>
        <w:numPr>
          <w:ilvl w:val="0"/>
          <w:numId w:val="9"/>
        </w:numPr>
      </w:pPr>
      <w:r w:rsidRPr="00B503AC">
        <w:t>Prices remained elevated throughout the period.</w:t>
      </w:r>
    </w:p>
    <w:p w14:paraId="1A1D77D7" w14:textId="77777777" w:rsidR="00B503AC" w:rsidRPr="00B503AC" w:rsidRDefault="00B503AC" w:rsidP="00B503AC">
      <w:pPr>
        <w:rPr>
          <w:b/>
          <w:bCs/>
        </w:rPr>
      </w:pPr>
      <w:r w:rsidRPr="00B503AC">
        <w:rPr>
          <w:b/>
          <w:bCs/>
        </w:rPr>
        <w:t>Federal Reserve Rate Hikes (2022–2023)</w:t>
      </w:r>
    </w:p>
    <w:p w14:paraId="778B2E5F" w14:textId="77777777" w:rsidR="00B503AC" w:rsidRPr="00B503AC" w:rsidRDefault="00B503AC">
      <w:pPr>
        <w:numPr>
          <w:ilvl w:val="0"/>
          <w:numId w:val="10"/>
        </w:numPr>
      </w:pPr>
      <w:r w:rsidRPr="00B503AC">
        <w:t>Higher interest rates increased the opportunity cost of holding gold.</w:t>
      </w:r>
    </w:p>
    <w:p w14:paraId="317EE65A" w14:textId="77777777" w:rsidR="00B503AC" w:rsidRPr="00B503AC" w:rsidRDefault="00B503AC">
      <w:pPr>
        <w:numPr>
          <w:ilvl w:val="0"/>
          <w:numId w:val="10"/>
        </w:numPr>
      </w:pPr>
      <w:r w:rsidRPr="00B503AC">
        <w:t>Downward pressure emerged on prices.</w:t>
      </w:r>
    </w:p>
    <w:p w14:paraId="6C57DDA3" w14:textId="77777777" w:rsidR="00B503AC" w:rsidRPr="00B503AC" w:rsidRDefault="00B503AC" w:rsidP="00B503AC">
      <w:pPr>
        <w:rPr>
          <w:b/>
          <w:bCs/>
        </w:rPr>
      </w:pPr>
      <w:r w:rsidRPr="00B503AC">
        <w:rPr>
          <w:b/>
          <w:bCs/>
        </w:rPr>
        <w:t>Geopolitical Tensions (2022–2024)</w:t>
      </w:r>
    </w:p>
    <w:p w14:paraId="01DEB958" w14:textId="77777777" w:rsidR="00B503AC" w:rsidRPr="00B503AC" w:rsidRDefault="00B503AC" w:rsidP="00B503AC">
      <w:r w:rsidRPr="00B503AC">
        <w:t>Global conflicts and geopolitical uncertainty contributed to increased safe-haven demand and periodic spikes in gold prices.</w:t>
      </w:r>
    </w:p>
    <w:p w14:paraId="587913A6" w14:textId="543596A9" w:rsidR="00B503AC" w:rsidRPr="00B503AC" w:rsidRDefault="00B503AC" w:rsidP="00B503AC"/>
    <w:p w14:paraId="37F3A75E" w14:textId="77777777" w:rsidR="00B503AC" w:rsidRPr="0045133A" w:rsidRDefault="00B503AC" w:rsidP="00B503AC">
      <w:pPr>
        <w:rPr>
          <w:b/>
          <w:bCs/>
          <w:sz w:val="28"/>
          <w:szCs w:val="28"/>
        </w:rPr>
      </w:pPr>
      <w:r w:rsidRPr="0045133A">
        <w:rPr>
          <w:b/>
          <w:bCs/>
          <w:sz w:val="28"/>
          <w:szCs w:val="28"/>
        </w:rPr>
        <w:t>13. Limitations</w:t>
      </w:r>
    </w:p>
    <w:p w14:paraId="19688663" w14:textId="77777777" w:rsidR="00B503AC" w:rsidRPr="00B503AC" w:rsidRDefault="00B503AC" w:rsidP="00B503AC">
      <w:r w:rsidRPr="00B503AC">
        <w:t>The study has several limitations:</w:t>
      </w:r>
    </w:p>
    <w:p w14:paraId="59F83125" w14:textId="77777777" w:rsidR="00B503AC" w:rsidRPr="00B503AC" w:rsidRDefault="00B503AC">
      <w:pPr>
        <w:numPr>
          <w:ilvl w:val="0"/>
          <w:numId w:val="11"/>
        </w:numPr>
      </w:pPr>
      <w:r w:rsidRPr="00B503AC">
        <w:t>The forecasting model relies solely on historical prices.</w:t>
      </w:r>
    </w:p>
    <w:p w14:paraId="21824697" w14:textId="77777777" w:rsidR="00B503AC" w:rsidRPr="00B503AC" w:rsidRDefault="00B503AC">
      <w:pPr>
        <w:numPr>
          <w:ilvl w:val="0"/>
          <w:numId w:val="11"/>
        </w:numPr>
      </w:pPr>
      <w:r w:rsidRPr="00B503AC">
        <w:t>External macroeconomic variables are not included.</w:t>
      </w:r>
    </w:p>
    <w:p w14:paraId="1DDAC2C8" w14:textId="77777777" w:rsidR="00B503AC" w:rsidRPr="00B503AC" w:rsidRDefault="00B503AC">
      <w:pPr>
        <w:numPr>
          <w:ilvl w:val="0"/>
          <w:numId w:val="11"/>
        </w:numPr>
      </w:pPr>
      <w:r w:rsidRPr="00B503AC">
        <w:t>ARIMA assumes linear relationships in the data.</w:t>
      </w:r>
    </w:p>
    <w:p w14:paraId="6C6F47C6" w14:textId="77777777" w:rsidR="00B503AC" w:rsidRDefault="00B503AC">
      <w:pPr>
        <w:numPr>
          <w:ilvl w:val="0"/>
          <w:numId w:val="11"/>
        </w:numPr>
      </w:pPr>
      <w:r w:rsidRPr="00B503AC">
        <w:t>Structural breaks and unexpected events may reduce forecast accuracy.</w:t>
      </w:r>
    </w:p>
    <w:p w14:paraId="0BD83AFB" w14:textId="383A0917" w:rsidR="0045133A" w:rsidRPr="00B503AC" w:rsidRDefault="0045133A">
      <w:pPr>
        <w:numPr>
          <w:ilvl w:val="0"/>
          <w:numId w:val="11"/>
        </w:numPr>
      </w:pPr>
      <w:r w:rsidRPr="0045133A">
        <w:t>Forecasting performance was evaluated using RMSE and MAE on the test set. However, results should be interpreted with caution as the model was not cross validated across multiple time windows.</w:t>
      </w:r>
    </w:p>
    <w:p w14:paraId="0F1E508E" w14:textId="26E1C071" w:rsidR="00B503AC" w:rsidRPr="00B503AC" w:rsidRDefault="00B503AC" w:rsidP="00B503AC"/>
    <w:p w14:paraId="1905152E" w14:textId="77777777" w:rsidR="00B503AC" w:rsidRPr="0045133A" w:rsidRDefault="00B503AC" w:rsidP="00B503AC">
      <w:pPr>
        <w:rPr>
          <w:b/>
          <w:bCs/>
          <w:sz w:val="28"/>
          <w:szCs w:val="28"/>
        </w:rPr>
      </w:pPr>
      <w:r w:rsidRPr="0045133A">
        <w:rPr>
          <w:b/>
          <w:bCs/>
          <w:sz w:val="28"/>
          <w:szCs w:val="28"/>
        </w:rPr>
        <w:t>14. Conclusion</w:t>
      </w:r>
    </w:p>
    <w:p w14:paraId="730A4506" w14:textId="7AEC64FE" w:rsidR="00B503AC" w:rsidRPr="00B503AC" w:rsidRDefault="00B503AC" w:rsidP="00B503AC">
      <w:r w:rsidRPr="00B503AC">
        <w:t xml:space="preserve">This project demonstrates the application of quantitative financial analysis and time-series </w:t>
      </w:r>
      <w:r w:rsidR="0045133A" w:rsidRPr="00B503AC">
        <w:t>modelling</w:t>
      </w:r>
      <w:r w:rsidRPr="00B503AC">
        <w:t xml:space="preserve"> techniques to historical gold market data from 2016 to 2026.</w:t>
      </w:r>
    </w:p>
    <w:p w14:paraId="6C06E3AC" w14:textId="3F2BBA59" w:rsidR="00B503AC" w:rsidRPr="00B503AC" w:rsidRDefault="00B503AC" w:rsidP="00B503AC">
      <w:r w:rsidRPr="00B503AC">
        <w:t xml:space="preserve">Through trend analysis, return analysis, volatility measurement, moving average analysis, correlation assessment, and ARIMA forecasting, the study provides a comprehensive understanding of gold market </w:t>
      </w:r>
      <w:r w:rsidR="0045133A" w:rsidRPr="00B503AC">
        <w:t>behaviour</w:t>
      </w:r>
      <w:r w:rsidRPr="00B503AC">
        <w:t>.</w:t>
      </w:r>
    </w:p>
    <w:p w14:paraId="5F593E49" w14:textId="77777777" w:rsidR="00B503AC" w:rsidRPr="00B503AC" w:rsidRDefault="00B503AC" w:rsidP="00B503AC">
      <w:r w:rsidRPr="00B503AC">
        <w:t>The results highlight gold's role as a safe-haven asset during periods of economic uncertainty, inflationary pressure, and geopolitical instability. Volatility analysis identifies periods of elevated market risk, while moving averages reveal major trend changes. The ARIMA model provides a systematic approach for forecasting short-term gold price movements.</w:t>
      </w:r>
    </w:p>
    <w:p w14:paraId="7DF71B0E" w14:textId="5ED885AF" w:rsidR="00B503AC" w:rsidRDefault="00B503AC" w:rsidP="00B503AC">
      <w:r w:rsidRPr="00B503AC">
        <w:t>Overall, the project demonstrates how statistical and time-series techniques can support investment analysis, portfolio management, and financial decision-making.</w:t>
      </w:r>
    </w:p>
    <w:p w14:paraId="575F8DFB" w14:textId="77777777" w:rsidR="0045133A" w:rsidRPr="00B503AC" w:rsidRDefault="0045133A" w:rsidP="00B503AC"/>
    <w:p w14:paraId="0BD5DBB4" w14:textId="77777777" w:rsidR="00B503AC" w:rsidRPr="0045133A" w:rsidRDefault="00B503AC" w:rsidP="00B503AC">
      <w:pPr>
        <w:rPr>
          <w:b/>
          <w:bCs/>
          <w:sz w:val="28"/>
          <w:szCs w:val="28"/>
        </w:rPr>
      </w:pPr>
      <w:r w:rsidRPr="0045133A">
        <w:rPr>
          <w:b/>
          <w:bCs/>
          <w:sz w:val="28"/>
          <w:szCs w:val="28"/>
        </w:rPr>
        <w:t>References</w:t>
      </w:r>
    </w:p>
    <w:p w14:paraId="265A465C" w14:textId="77777777" w:rsidR="00B503AC" w:rsidRPr="0045133A" w:rsidRDefault="00B503AC">
      <w:pPr>
        <w:numPr>
          <w:ilvl w:val="0"/>
          <w:numId w:val="12"/>
        </w:numPr>
        <w:rPr>
          <w:i/>
          <w:iCs/>
        </w:rPr>
      </w:pPr>
      <w:r w:rsidRPr="0045133A">
        <w:rPr>
          <w:i/>
          <w:iCs/>
        </w:rPr>
        <w:t xml:space="preserve">Box, G. E. P., Jenkins, G. M., &amp; Reinsel, G. C. </w:t>
      </w:r>
      <w:r w:rsidRPr="00B503AC">
        <w:rPr>
          <w:i/>
          <w:iCs/>
        </w:rPr>
        <w:t>Time Series Analysis: Forecasting and Control</w:t>
      </w:r>
      <w:r w:rsidRPr="0045133A">
        <w:rPr>
          <w:i/>
          <w:iCs/>
        </w:rPr>
        <w:t>.</w:t>
      </w:r>
    </w:p>
    <w:p w14:paraId="7049F336" w14:textId="77777777" w:rsidR="00B503AC" w:rsidRPr="0045133A" w:rsidRDefault="00B503AC">
      <w:pPr>
        <w:numPr>
          <w:ilvl w:val="0"/>
          <w:numId w:val="12"/>
        </w:numPr>
        <w:rPr>
          <w:i/>
          <w:iCs/>
        </w:rPr>
      </w:pPr>
      <w:r w:rsidRPr="0045133A">
        <w:rPr>
          <w:i/>
          <w:iCs/>
        </w:rPr>
        <w:t xml:space="preserve">Tsay, R. S. </w:t>
      </w:r>
      <w:r w:rsidRPr="00B503AC">
        <w:rPr>
          <w:i/>
          <w:iCs/>
        </w:rPr>
        <w:t>Analysis of Financial Time Series</w:t>
      </w:r>
      <w:r w:rsidRPr="0045133A">
        <w:rPr>
          <w:i/>
          <w:iCs/>
        </w:rPr>
        <w:t>.</w:t>
      </w:r>
    </w:p>
    <w:p w14:paraId="60045CDF" w14:textId="77777777" w:rsidR="00B503AC" w:rsidRPr="0045133A" w:rsidRDefault="00B503AC">
      <w:pPr>
        <w:numPr>
          <w:ilvl w:val="0"/>
          <w:numId w:val="12"/>
        </w:numPr>
        <w:rPr>
          <w:i/>
          <w:iCs/>
        </w:rPr>
      </w:pPr>
      <w:r w:rsidRPr="0045133A">
        <w:rPr>
          <w:i/>
          <w:iCs/>
        </w:rPr>
        <w:t xml:space="preserve">Hull, J. C. </w:t>
      </w:r>
      <w:r w:rsidRPr="00B503AC">
        <w:rPr>
          <w:i/>
          <w:iCs/>
        </w:rPr>
        <w:t>Options, Futures, and Other Derivatives</w:t>
      </w:r>
      <w:r w:rsidRPr="0045133A">
        <w:rPr>
          <w:i/>
          <w:iCs/>
        </w:rPr>
        <w:t>.</w:t>
      </w:r>
    </w:p>
    <w:p w14:paraId="57C42323" w14:textId="3769AF63" w:rsidR="0045133A" w:rsidRDefault="0045133A">
      <w:pPr>
        <w:pStyle w:val="ListParagraph"/>
        <w:numPr>
          <w:ilvl w:val="0"/>
          <w:numId w:val="12"/>
        </w:numPr>
        <w:spacing w:after="0" w:line="240" w:lineRule="auto"/>
        <w:rPr>
          <w:rFonts w:ascii="Times New Roman" w:eastAsia="Times New Roman" w:hAnsi="Times New Roman" w:cs="Times New Roman"/>
          <w:kern w:val="0"/>
          <w:lang w:eastAsia="en-IN"/>
          <w14:ligatures w14:val="none"/>
        </w:rPr>
      </w:pPr>
      <w:r w:rsidRPr="0045133A">
        <w:rPr>
          <w:i/>
          <w:iCs/>
        </w:rPr>
        <w:t>Stats models Documentation. Retrieved from</w:t>
      </w:r>
      <w:r w:rsidRPr="0045133A">
        <w:rPr>
          <w:rFonts w:ascii="Times New Roman" w:eastAsia="Times New Roman" w:hAnsi="Times New Roman" w:cs="Times New Roman"/>
          <w:kern w:val="0"/>
          <w:lang w:eastAsia="en-IN"/>
          <w14:ligatures w14:val="none"/>
        </w:rPr>
        <w:t xml:space="preserve"> </w:t>
      </w:r>
      <w:hyperlink r:id="rId11" w:history="1">
        <w:r w:rsidRPr="0045133A">
          <w:rPr>
            <w:rFonts w:ascii="Times New Roman" w:eastAsia="Times New Roman" w:hAnsi="Times New Roman" w:cs="Times New Roman"/>
            <w:color w:val="0000FF"/>
            <w:kern w:val="0"/>
            <w:u w:val="single"/>
            <w:lang w:eastAsia="en-IN"/>
            <w14:ligatures w14:val="none"/>
          </w:rPr>
          <w:t>https://www.statsmodels.org</w:t>
        </w:r>
      </w:hyperlink>
      <w:r w:rsidRPr="0045133A">
        <w:rPr>
          <w:rFonts w:ascii="Times New Roman" w:eastAsia="Times New Roman" w:hAnsi="Times New Roman" w:cs="Times New Roman"/>
          <w:kern w:val="0"/>
          <w:lang w:eastAsia="en-IN"/>
          <w14:ligatures w14:val="none"/>
        </w:rPr>
        <w:t xml:space="preserve"> </w:t>
      </w:r>
    </w:p>
    <w:p w14:paraId="6CD7B7E5" w14:textId="3AFEB074" w:rsidR="0045133A" w:rsidRPr="0045133A" w:rsidRDefault="0045133A" w:rsidP="0045133A">
      <w:pPr>
        <w:pStyle w:val="ListParagraph"/>
        <w:spacing w:after="0" w:line="240" w:lineRule="auto"/>
        <w:rPr>
          <w:rFonts w:ascii="Times New Roman" w:eastAsia="Times New Roman" w:hAnsi="Times New Roman" w:cs="Times New Roman"/>
          <w:kern w:val="0"/>
          <w:lang w:eastAsia="en-IN"/>
          <w14:ligatures w14:val="none"/>
        </w:rPr>
      </w:pPr>
      <w:r w:rsidRPr="0045133A">
        <w:rPr>
          <w:rFonts w:ascii="Times New Roman" w:eastAsia="Times New Roman" w:hAnsi="Times New Roman" w:cs="Times New Roman"/>
          <w:kern w:val="0"/>
          <w:lang w:eastAsia="en-IN"/>
          <w14:ligatures w14:val="none"/>
        </w:rPr>
        <w:t xml:space="preserve"> </w:t>
      </w:r>
    </w:p>
    <w:p w14:paraId="2AB6B637" w14:textId="0BA8787B" w:rsidR="0045133A" w:rsidRDefault="0045133A">
      <w:pPr>
        <w:pStyle w:val="ListParagraph"/>
        <w:numPr>
          <w:ilvl w:val="0"/>
          <w:numId w:val="12"/>
        </w:numPr>
        <w:spacing w:after="0" w:line="240" w:lineRule="auto"/>
        <w:rPr>
          <w:rFonts w:ascii="Times New Roman" w:eastAsia="Times New Roman" w:hAnsi="Times New Roman" w:cs="Times New Roman"/>
          <w:kern w:val="0"/>
          <w:lang w:eastAsia="en-IN"/>
          <w14:ligatures w14:val="none"/>
        </w:rPr>
      </w:pPr>
      <w:r w:rsidRPr="0045133A">
        <w:rPr>
          <w:i/>
          <w:iCs/>
        </w:rPr>
        <w:t xml:space="preserve">Pandas Documentation. Retrieved from </w:t>
      </w:r>
      <w:hyperlink r:id="rId12" w:history="1">
        <w:r w:rsidRPr="0045133A">
          <w:rPr>
            <w:rFonts w:ascii="Times New Roman" w:eastAsia="Times New Roman" w:hAnsi="Times New Roman" w:cs="Times New Roman"/>
            <w:color w:val="0000FF"/>
            <w:kern w:val="0"/>
            <w:u w:val="single"/>
            <w:lang w:eastAsia="en-IN"/>
            <w14:ligatures w14:val="none"/>
          </w:rPr>
          <w:t>https://pandas.pydata.org</w:t>
        </w:r>
      </w:hyperlink>
      <w:r w:rsidRPr="0045133A">
        <w:rPr>
          <w:rFonts w:ascii="Times New Roman" w:eastAsia="Times New Roman" w:hAnsi="Times New Roman" w:cs="Times New Roman"/>
          <w:kern w:val="0"/>
          <w:lang w:eastAsia="en-IN"/>
          <w14:ligatures w14:val="none"/>
        </w:rPr>
        <w:t xml:space="preserve">  </w:t>
      </w:r>
    </w:p>
    <w:p w14:paraId="762394D9" w14:textId="77777777" w:rsidR="0045133A" w:rsidRPr="0045133A" w:rsidRDefault="0045133A" w:rsidP="0045133A">
      <w:pPr>
        <w:spacing w:after="0" w:line="240" w:lineRule="auto"/>
        <w:rPr>
          <w:rFonts w:ascii="Times New Roman" w:eastAsia="Times New Roman" w:hAnsi="Times New Roman" w:cs="Times New Roman"/>
          <w:kern w:val="0"/>
          <w:lang w:eastAsia="en-IN"/>
          <w14:ligatures w14:val="none"/>
        </w:rPr>
      </w:pPr>
    </w:p>
    <w:p w14:paraId="3E7936B8" w14:textId="29557B80" w:rsidR="0045133A" w:rsidRDefault="0045133A">
      <w:pPr>
        <w:pStyle w:val="ListParagraph"/>
        <w:numPr>
          <w:ilvl w:val="0"/>
          <w:numId w:val="12"/>
        </w:numPr>
        <w:spacing w:after="0" w:line="240" w:lineRule="auto"/>
        <w:rPr>
          <w:rFonts w:ascii="Times New Roman" w:eastAsia="Times New Roman" w:hAnsi="Times New Roman" w:cs="Times New Roman"/>
          <w:kern w:val="0"/>
          <w:lang w:eastAsia="en-IN"/>
          <w14:ligatures w14:val="none"/>
        </w:rPr>
      </w:pPr>
      <w:r w:rsidRPr="0045133A">
        <w:rPr>
          <w:i/>
          <w:iCs/>
        </w:rPr>
        <w:t>Matplotlib Documentation. Retrieved from</w:t>
      </w:r>
      <w:r w:rsidRPr="0045133A">
        <w:rPr>
          <w:rFonts w:ascii="Times New Roman" w:eastAsia="Times New Roman" w:hAnsi="Times New Roman" w:cs="Times New Roman"/>
          <w:kern w:val="0"/>
          <w:lang w:eastAsia="en-IN"/>
          <w14:ligatures w14:val="none"/>
        </w:rPr>
        <w:t xml:space="preserve"> </w:t>
      </w:r>
      <w:hyperlink r:id="rId13" w:history="1">
        <w:r w:rsidRPr="0045133A">
          <w:rPr>
            <w:rFonts w:ascii="Times New Roman" w:eastAsia="Times New Roman" w:hAnsi="Times New Roman" w:cs="Times New Roman"/>
            <w:color w:val="0000FF"/>
            <w:kern w:val="0"/>
            <w:u w:val="single"/>
            <w:lang w:eastAsia="en-IN"/>
            <w14:ligatures w14:val="none"/>
          </w:rPr>
          <w:t>https://matplotlib.org</w:t>
        </w:r>
      </w:hyperlink>
      <w:r w:rsidRPr="0045133A">
        <w:rPr>
          <w:rFonts w:ascii="Times New Roman" w:eastAsia="Times New Roman" w:hAnsi="Times New Roman" w:cs="Times New Roman"/>
          <w:kern w:val="0"/>
          <w:lang w:eastAsia="en-IN"/>
          <w14:ligatures w14:val="none"/>
        </w:rPr>
        <w:t xml:space="preserve">  </w:t>
      </w:r>
    </w:p>
    <w:p w14:paraId="524E5C62" w14:textId="77777777" w:rsidR="0045133A" w:rsidRPr="0045133A" w:rsidRDefault="0045133A" w:rsidP="0045133A">
      <w:pPr>
        <w:spacing w:after="0" w:line="240" w:lineRule="auto"/>
        <w:rPr>
          <w:rFonts w:ascii="Times New Roman" w:eastAsia="Times New Roman" w:hAnsi="Times New Roman" w:cs="Times New Roman"/>
          <w:kern w:val="0"/>
          <w:lang w:eastAsia="en-IN"/>
          <w14:ligatures w14:val="none"/>
        </w:rPr>
      </w:pPr>
    </w:p>
    <w:p w14:paraId="47E4A9E1" w14:textId="15D68B5D" w:rsidR="00B503AC" w:rsidRPr="00BE1C2F" w:rsidRDefault="0045133A">
      <w:pPr>
        <w:pStyle w:val="ListParagraph"/>
        <w:numPr>
          <w:ilvl w:val="0"/>
          <w:numId w:val="12"/>
        </w:numPr>
      </w:pPr>
      <w:r w:rsidRPr="0045133A">
        <w:rPr>
          <w:i/>
          <w:iCs/>
        </w:rPr>
        <w:t>Seaborn Documentation. Retrieved from</w:t>
      </w:r>
      <w:r w:rsidRPr="0045133A">
        <w:rPr>
          <w:rFonts w:ascii="Times New Roman" w:eastAsia="Times New Roman" w:hAnsi="Times New Roman" w:cs="Times New Roman"/>
          <w:kern w:val="0"/>
          <w:lang w:eastAsia="en-IN"/>
          <w14:ligatures w14:val="none"/>
        </w:rPr>
        <w:t xml:space="preserve"> </w:t>
      </w:r>
      <w:hyperlink r:id="rId14" w:history="1">
        <w:r w:rsidRPr="0045133A">
          <w:rPr>
            <w:rFonts w:ascii="Times New Roman" w:eastAsia="Times New Roman" w:hAnsi="Times New Roman" w:cs="Times New Roman"/>
            <w:color w:val="0000FF"/>
            <w:kern w:val="0"/>
            <w:u w:val="single"/>
            <w:lang w:eastAsia="en-IN"/>
            <w14:ligatures w14:val="none"/>
          </w:rPr>
          <w:t>https://seaborn.pydata.org</w:t>
        </w:r>
      </w:hyperlink>
      <w:r w:rsidRPr="0045133A">
        <w:rPr>
          <w:rFonts w:ascii="Times New Roman" w:eastAsia="Times New Roman" w:hAnsi="Times New Roman" w:cs="Times New Roman"/>
          <w:kern w:val="0"/>
          <w:lang w:eastAsia="en-IN"/>
          <w14:ligatures w14:val="none"/>
        </w:rPr>
        <w:t xml:space="preserve"> </w:t>
      </w:r>
    </w:p>
    <w:sectPr w:rsidR="00B503AC" w:rsidRPr="00BE1C2F" w:rsidSect="00CB18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66D0"/>
    <w:multiLevelType w:val="multilevel"/>
    <w:tmpl w:val="F3D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6A9D"/>
    <w:multiLevelType w:val="multilevel"/>
    <w:tmpl w:val="8FD2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72D15"/>
    <w:multiLevelType w:val="multilevel"/>
    <w:tmpl w:val="5AA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B64E6"/>
    <w:multiLevelType w:val="multilevel"/>
    <w:tmpl w:val="1E6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8375D"/>
    <w:multiLevelType w:val="multilevel"/>
    <w:tmpl w:val="494C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D2545"/>
    <w:multiLevelType w:val="multilevel"/>
    <w:tmpl w:val="1F9E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80000"/>
    <w:multiLevelType w:val="multilevel"/>
    <w:tmpl w:val="52B6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93254"/>
    <w:multiLevelType w:val="multilevel"/>
    <w:tmpl w:val="DC2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84189"/>
    <w:multiLevelType w:val="multilevel"/>
    <w:tmpl w:val="CC5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2391B"/>
    <w:multiLevelType w:val="multilevel"/>
    <w:tmpl w:val="F51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02A70"/>
    <w:multiLevelType w:val="multilevel"/>
    <w:tmpl w:val="692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B33F0"/>
    <w:multiLevelType w:val="multilevel"/>
    <w:tmpl w:val="818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84572">
    <w:abstractNumId w:val="6"/>
  </w:num>
  <w:num w:numId="2" w16cid:durableId="1115251378">
    <w:abstractNumId w:val="4"/>
  </w:num>
  <w:num w:numId="3" w16cid:durableId="1128817090">
    <w:abstractNumId w:val="2"/>
  </w:num>
  <w:num w:numId="4" w16cid:durableId="308368004">
    <w:abstractNumId w:val="1"/>
  </w:num>
  <w:num w:numId="5" w16cid:durableId="286157220">
    <w:abstractNumId w:val="9"/>
  </w:num>
  <w:num w:numId="6" w16cid:durableId="1430469507">
    <w:abstractNumId w:val="0"/>
  </w:num>
  <w:num w:numId="7" w16cid:durableId="2976052">
    <w:abstractNumId w:val="7"/>
  </w:num>
  <w:num w:numId="8" w16cid:durableId="1022363510">
    <w:abstractNumId w:val="3"/>
  </w:num>
  <w:num w:numId="9" w16cid:durableId="920527222">
    <w:abstractNumId w:val="11"/>
  </w:num>
  <w:num w:numId="10" w16cid:durableId="662974041">
    <w:abstractNumId w:val="10"/>
  </w:num>
  <w:num w:numId="11" w16cid:durableId="324165336">
    <w:abstractNumId w:val="8"/>
  </w:num>
  <w:num w:numId="12" w16cid:durableId="106198607">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DE"/>
    <w:rsid w:val="001A5361"/>
    <w:rsid w:val="00264F0E"/>
    <w:rsid w:val="0036042B"/>
    <w:rsid w:val="00366EEF"/>
    <w:rsid w:val="0045133A"/>
    <w:rsid w:val="004D0F03"/>
    <w:rsid w:val="005429CA"/>
    <w:rsid w:val="00635342"/>
    <w:rsid w:val="008E31FD"/>
    <w:rsid w:val="008F231B"/>
    <w:rsid w:val="00B503AC"/>
    <w:rsid w:val="00BE1C2F"/>
    <w:rsid w:val="00CB18FB"/>
    <w:rsid w:val="00E57E42"/>
    <w:rsid w:val="00E94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1FE0"/>
  <w15:chartTrackingRefBased/>
  <w15:docId w15:val="{A1F8FA44-6AC1-457A-9AF3-C8AD54EF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CDE"/>
    <w:rPr>
      <w:rFonts w:eastAsiaTheme="majorEastAsia" w:cstheme="majorBidi"/>
      <w:color w:val="272727" w:themeColor="text1" w:themeTint="D8"/>
    </w:rPr>
  </w:style>
  <w:style w:type="paragraph" w:styleId="Title">
    <w:name w:val="Title"/>
    <w:basedOn w:val="Normal"/>
    <w:next w:val="Normal"/>
    <w:link w:val="TitleChar"/>
    <w:uiPriority w:val="10"/>
    <w:qFormat/>
    <w:rsid w:val="00E94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CDE"/>
    <w:pPr>
      <w:spacing w:before="160"/>
      <w:jc w:val="center"/>
    </w:pPr>
    <w:rPr>
      <w:i/>
      <w:iCs/>
      <w:color w:val="404040" w:themeColor="text1" w:themeTint="BF"/>
    </w:rPr>
  </w:style>
  <w:style w:type="character" w:customStyle="1" w:styleId="QuoteChar">
    <w:name w:val="Quote Char"/>
    <w:basedOn w:val="DefaultParagraphFont"/>
    <w:link w:val="Quote"/>
    <w:uiPriority w:val="29"/>
    <w:rsid w:val="00E94CDE"/>
    <w:rPr>
      <w:i/>
      <w:iCs/>
      <w:color w:val="404040" w:themeColor="text1" w:themeTint="BF"/>
    </w:rPr>
  </w:style>
  <w:style w:type="paragraph" w:styleId="ListParagraph">
    <w:name w:val="List Paragraph"/>
    <w:basedOn w:val="Normal"/>
    <w:uiPriority w:val="34"/>
    <w:qFormat/>
    <w:rsid w:val="00E94CDE"/>
    <w:pPr>
      <w:ind w:left="720"/>
      <w:contextualSpacing/>
    </w:pPr>
  </w:style>
  <w:style w:type="character" w:styleId="IntenseEmphasis">
    <w:name w:val="Intense Emphasis"/>
    <w:basedOn w:val="DefaultParagraphFont"/>
    <w:uiPriority w:val="21"/>
    <w:qFormat/>
    <w:rsid w:val="00E94CDE"/>
    <w:rPr>
      <w:i/>
      <w:iCs/>
      <w:color w:val="0F4761" w:themeColor="accent1" w:themeShade="BF"/>
    </w:rPr>
  </w:style>
  <w:style w:type="paragraph" w:styleId="IntenseQuote">
    <w:name w:val="Intense Quote"/>
    <w:basedOn w:val="Normal"/>
    <w:next w:val="Normal"/>
    <w:link w:val="IntenseQuoteChar"/>
    <w:uiPriority w:val="30"/>
    <w:qFormat/>
    <w:rsid w:val="00E94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CDE"/>
    <w:rPr>
      <w:i/>
      <w:iCs/>
      <w:color w:val="0F4761" w:themeColor="accent1" w:themeShade="BF"/>
    </w:rPr>
  </w:style>
  <w:style w:type="character" w:styleId="IntenseReference">
    <w:name w:val="Intense Reference"/>
    <w:basedOn w:val="DefaultParagraphFont"/>
    <w:uiPriority w:val="32"/>
    <w:qFormat/>
    <w:rsid w:val="00E94CDE"/>
    <w:rPr>
      <w:b/>
      <w:bCs/>
      <w:smallCaps/>
      <w:color w:val="0F4761" w:themeColor="accent1" w:themeShade="BF"/>
      <w:spacing w:val="5"/>
    </w:rPr>
  </w:style>
  <w:style w:type="character" w:styleId="Hyperlink">
    <w:name w:val="Hyperlink"/>
    <w:basedOn w:val="DefaultParagraphFont"/>
    <w:uiPriority w:val="99"/>
    <w:semiHidden/>
    <w:unhideWhenUsed/>
    <w:rsid w:val="004513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tplotlib.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tatsmodels.or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2895</TotalTime>
  <Pages>11</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Rani</dc:creator>
  <cp:keywords/>
  <dc:description/>
  <cp:lastModifiedBy>Swetha Rani</cp:lastModifiedBy>
  <cp:revision>2</cp:revision>
  <dcterms:created xsi:type="dcterms:W3CDTF">2026-05-31T00:59:00Z</dcterms:created>
  <dcterms:modified xsi:type="dcterms:W3CDTF">2026-06-06T01:08:00Z</dcterms:modified>
</cp:coreProperties>
</file>