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Reliability-Aware BESS Intelligence</w:t>
      </w:r>
    </w:p>
    <w:p>
      <w:pPr>
        <w:jc w:val="center"/>
      </w:pPr>
      <w:r>
        <w:rPr>
          <w:b/>
          <w:sz w:val="26"/>
        </w:rPr>
        <w:t>Complete MVP System Design, Research-Gap Mapping, Models, Techniques and Validation Plan</w:t>
      </w:r>
    </w:p>
    <w:p>
      <w:pPr>
        <w:jc w:val="center"/>
      </w:pPr>
      <w:r>
        <w:rPr>
          <w:i/>
        </w:rPr>
        <w:t>Internal SIH Hackathon – Smart Battery Energy Storage Management and Remaining Useful Life Prediction</w:t>
      </w:r>
    </w:p>
    <w:p>
      <w:pPr>
        <w:pStyle w:val="Heading1"/>
      </w:pPr>
      <w:r>
        <w:t>1. Executive Summary</w:t>
      </w:r>
    </w:p>
    <w:p>
      <w:r>
        <w:t>The proposed MVP is not positioned as another standalone battery State of Health (SoH) or Remaining Useful Life (RUL) predictor. It is a reliability-aware Battery Energy Storage System (BESS) intelligence platform. The system estimates battery state, checks whether the estimates are trustworthy under the available operating data, compares learned predictions with a physics-based battery model and measured behaviour, detects domain shift and incomplete-data conditions, calibrates predictions when appropriate, quantifies uncertainty, and finally converts the validated battery state into degradation-aware charging and discharging recommendations.</w:t>
      </w:r>
    </w:p>
    <w:p>
      <w:r>
        <w:t>This distinction is deliberate. SoC/SoH/RUL prediction, digital twins, physics-informed learning, uncertainty quantification, transfer learning and battery charging optimization are already established research areas. The project therefore treats those techniques as building blocks and focuses its contribution on their integration into a single reliability-to-action workflow.</w:t>
      </w:r>
    </w:p>
    <w:p>
      <w:pPr>
        <w:pStyle w:val="Heading1"/>
      </w:pPr>
      <w:r>
        <w:t>2. Problem Definition</w:t>
      </w:r>
    </w:p>
    <w:p>
      <w:r>
        <w:t>BESS batteries operate under changing temperature, load, charge/discharge rates, depth of discharge (DOD), ageing and sensor availability. A health model can perform well on data resembling its training conditions and become less reliable when operating conditions change or measurements are incomplete. A point estimate such as “RUL = 320 cycles” does not by itself communicate whether that estimate should be trusted.</w:t>
      </w:r>
    </w:p>
    <w:p>
      <w:r>
        <w:t>The project therefore addresses five connected deployment gaps: incomplete or partial measurements; cross-domain operating-condition shift; disagreement between learned and physics-based behaviour; uncertainty in health and RUL estimates; and the lack of a direct connection between health estimates and safe, degradation-aware BESS operation.</w:t>
      </w:r>
    </w:p>
    <w:p>
      <w:pPr>
        <w:pStyle w:val="Heading1"/>
      </w:pPr>
      <w:r>
        <w:t>3. Core Research Question</w:t>
      </w:r>
    </w:p>
    <w:p>
      <w:r>
        <w:t>How reliably can a battery-health model estimate SoC, SoH, degradation and RUL when measurements are incomplete or operating conditions differ from training conditions, and can cross-fidelity verification, calibration and uncertainty-aware decision making improve the reliability of BESS operating recommendations?</w:t>
      </w:r>
    </w:p>
    <w:p>
      <w:pPr>
        <w:pStyle w:val="Heading1"/>
      </w:pPr>
      <w:r>
        <w:t>4. What Is Established vs. What We Contribute</w:t>
      </w:r>
    </w:p>
    <w:tbl>
      <w:tblPr>
        <w:tblStyle w:val="TableGrid"/>
        <w:tblW w:type="auto" w:w="0"/>
        <w:jc w:val="center"/>
        <w:tblLook w:firstColumn="1" w:firstRow="1" w:lastColumn="0" w:lastRow="0" w:noHBand="0" w:noVBand="1" w:val="04A0"/>
      </w:tblPr>
      <w:tblGrid>
        <w:gridCol w:w="3408"/>
        <w:gridCol w:w="3408"/>
        <w:gridCol w:w="3408"/>
      </w:tblGrid>
      <w:tr>
        <w:tc>
          <w:tcPr>
            <w:tcW w:type="dxa" w:w="3024"/>
            <w:shd w:fill="D9EAF7"/>
            <w:vAlign w:val="center"/>
          </w:tcPr>
          <w:p>
            <w:r>
              <w:t>Technology / idea</w:t>
            </w:r>
          </w:p>
        </w:tc>
        <w:tc>
          <w:tcPr>
            <w:tcW w:type="dxa" w:w="2880"/>
            <w:shd w:fill="D9EAF7"/>
            <w:vAlign w:val="center"/>
          </w:tcPr>
          <w:p>
            <w:r>
              <w:t>Status in research</w:t>
            </w:r>
          </w:p>
        </w:tc>
        <w:tc>
          <w:tcPr>
            <w:tcW w:type="dxa" w:w="4320"/>
            <w:shd w:fill="D9EAF7"/>
            <w:vAlign w:val="center"/>
          </w:tcPr>
          <w:p>
            <w:r>
              <w:t>How this project uses it</w:t>
            </w:r>
          </w:p>
        </w:tc>
      </w:tr>
      <w:tr>
        <w:tc>
          <w:tcPr>
            <w:tcW w:type="dxa" w:w="3024"/>
            <w:vAlign w:val="top"/>
          </w:tcPr>
          <w:p>
            <w:r>
              <w:t>SoC / SoH / RUL prediction</w:t>
            </w:r>
          </w:p>
        </w:tc>
        <w:tc>
          <w:tcPr>
            <w:tcW w:type="dxa" w:w="2880"/>
            <w:vAlign w:val="top"/>
          </w:tcPr>
          <w:p>
            <w:r>
              <w:t>Established</w:t>
            </w:r>
          </w:p>
        </w:tc>
        <w:tc>
          <w:tcPr>
            <w:tcW w:type="dxa" w:w="4320"/>
            <w:vAlign w:val="top"/>
          </w:tcPr>
          <w:p>
            <w:r>
              <w:t>Baseline health-intelligence layer; not claimed as novel.</w:t>
            </w:r>
          </w:p>
        </w:tc>
      </w:tr>
      <w:tr>
        <w:tc>
          <w:tcPr>
            <w:tcW w:type="dxa" w:w="3024"/>
            <w:vAlign w:val="top"/>
          </w:tcPr>
          <w:p>
            <w:r>
              <w:t>LSTM / GRU temporal modelling</w:t>
            </w:r>
          </w:p>
        </w:tc>
        <w:tc>
          <w:tcPr>
            <w:tcW w:type="dxa" w:w="2880"/>
            <w:vAlign w:val="top"/>
          </w:tcPr>
          <w:p>
            <w:r>
              <w:t>Established</w:t>
            </w:r>
          </w:p>
        </w:tc>
        <w:tc>
          <w:tcPr>
            <w:tcW w:type="dxa" w:w="4320"/>
            <w:vAlign w:val="top"/>
          </w:tcPr>
          <w:p>
            <w:r>
              <w:t>Selected as a practical temporal model for the MVP.</w:t>
            </w:r>
          </w:p>
        </w:tc>
      </w:tr>
      <w:tr>
        <w:tc>
          <w:tcPr>
            <w:tcW w:type="dxa" w:w="3024"/>
            <w:vAlign w:val="top"/>
          </w:tcPr>
          <w:p>
            <w:r>
              <w:t>EMD + LSTM/B-LSTM</w:t>
            </w:r>
          </w:p>
        </w:tc>
        <w:tc>
          <w:tcPr>
            <w:tcW w:type="dxa" w:w="2880"/>
            <w:vAlign w:val="top"/>
          </w:tcPr>
          <w:p>
            <w:r>
              <w:t>Established</w:t>
            </w:r>
          </w:p>
        </w:tc>
        <w:tc>
          <w:tcPr>
            <w:tcW w:type="dxa" w:w="4320"/>
            <w:vAlign w:val="top"/>
          </w:tcPr>
          <w:p>
            <w:r>
              <w:t>Used as related research; not reproduced as the project innovation.</w:t>
            </w:r>
          </w:p>
        </w:tc>
      </w:tr>
      <w:tr>
        <w:tc>
          <w:tcPr>
            <w:tcW w:type="dxa" w:w="3024"/>
            <w:vAlign w:val="top"/>
          </w:tcPr>
          <w:p>
            <w:r>
              <w:t>Uncertainty-aware RUL</w:t>
            </w:r>
          </w:p>
        </w:tc>
        <w:tc>
          <w:tcPr>
            <w:tcW w:type="dxa" w:w="2880"/>
            <w:vAlign w:val="top"/>
          </w:tcPr>
          <w:p>
            <w:r>
              <w:t>Established</w:t>
            </w:r>
          </w:p>
        </w:tc>
        <w:tc>
          <w:tcPr>
            <w:tcW w:type="dxa" w:w="4320"/>
            <w:vAlign w:val="top"/>
          </w:tcPr>
          <w:p>
            <w:r>
              <w:t>Used so RUL is reported with an interval, not only a point estimate.</w:t>
            </w:r>
          </w:p>
        </w:tc>
      </w:tr>
      <w:tr>
        <w:tc>
          <w:tcPr>
            <w:tcW w:type="dxa" w:w="3024"/>
            <w:vAlign w:val="top"/>
          </w:tcPr>
          <w:p>
            <w:r>
              <w:t>Digital twins / battery simulators</w:t>
            </w:r>
          </w:p>
        </w:tc>
        <w:tc>
          <w:tcPr>
            <w:tcW w:type="dxa" w:w="2880"/>
            <w:vAlign w:val="top"/>
          </w:tcPr>
          <w:p>
            <w:r>
              <w:t>Established</w:t>
            </w:r>
          </w:p>
        </w:tc>
        <w:tc>
          <w:tcPr>
            <w:tcW w:type="dxa" w:w="4320"/>
            <w:vAlign w:val="top"/>
          </w:tcPr>
          <w:p>
            <w:r>
              <w:t>Used as a verification/reference layer, not claimed as a new digital twin.</w:t>
            </w:r>
          </w:p>
        </w:tc>
      </w:tr>
      <w:tr>
        <w:tc>
          <w:tcPr>
            <w:tcW w:type="dxa" w:w="3024"/>
            <w:vAlign w:val="top"/>
          </w:tcPr>
          <w:p>
            <w:r>
              <w:t>Residual correction</w:t>
            </w:r>
          </w:p>
        </w:tc>
        <w:tc>
          <w:tcPr>
            <w:tcW w:type="dxa" w:w="2880"/>
            <w:vAlign w:val="top"/>
          </w:tcPr>
          <w:p>
            <w:r>
              <w:t>Established</w:t>
            </w:r>
          </w:p>
        </w:tc>
        <w:tc>
          <w:tcPr>
            <w:tcW w:type="dxa" w:w="4320"/>
            <w:vAlign w:val="top"/>
          </w:tcPr>
          <w:p>
            <w:r>
              <w:t>Used for calibration when systematic prediction/simulation error is observed.</w:t>
            </w:r>
          </w:p>
        </w:tc>
      </w:tr>
      <w:tr>
        <w:tc>
          <w:tcPr>
            <w:tcW w:type="dxa" w:w="3024"/>
            <w:vAlign w:val="top"/>
          </w:tcPr>
          <w:p>
            <w:r>
              <w:t>Domain adaptation / transfer learning</w:t>
            </w:r>
          </w:p>
        </w:tc>
        <w:tc>
          <w:tcPr>
            <w:tcW w:type="dxa" w:w="2880"/>
            <w:vAlign w:val="top"/>
          </w:tcPr>
          <w:p>
            <w:r>
              <w:t>Established</w:t>
            </w:r>
          </w:p>
        </w:tc>
        <w:tc>
          <w:tcPr>
            <w:tcW w:type="dxa" w:w="4320"/>
            <w:vAlign w:val="top"/>
          </w:tcPr>
          <w:p>
            <w:r>
              <w:t>Used selectively to reduce cross-domain performance loss.</w:t>
            </w:r>
          </w:p>
        </w:tc>
      </w:tr>
      <w:tr>
        <w:tc>
          <w:tcPr>
            <w:tcW w:type="dxa" w:w="3024"/>
            <w:vAlign w:val="top"/>
          </w:tcPr>
          <w:p>
            <w:r>
              <w:t>Incomplete/partial-cycle health estimation</w:t>
            </w:r>
          </w:p>
        </w:tc>
        <w:tc>
          <w:tcPr>
            <w:tcW w:type="dxa" w:w="2880"/>
            <w:vAlign w:val="top"/>
          </w:tcPr>
          <w:p>
            <w:r>
              <w:t>Existing research direction</w:t>
            </w:r>
          </w:p>
        </w:tc>
        <w:tc>
          <w:tcPr>
            <w:tcW w:type="dxa" w:w="4320"/>
            <w:vAlign w:val="top"/>
          </w:tcPr>
          <w:p>
            <w:r>
              <w:t>Integrated with data-quality awareness and reliability-driven decisions.</w:t>
            </w:r>
          </w:p>
        </w:tc>
      </w:tr>
      <w:tr>
        <w:tc>
          <w:tcPr>
            <w:tcW w:type="dxa" w:w="3024"/>
            <w:vAlign w:val="top"/>
          </w:tcPr>
          <w:p>
            <w:r>
              <w:t>Reliability-aware integration</w:t>
            </w:r>
          </w:p>
        </w:tc>
        <w:tc>
          <w:tcPr>
            <w:tcW w:type="dxa" w:w="2880"/>
            <w:vAlign w:val="top"/>
          </w:tcPr>
          <w:p>
            <w:r>
              <w:t>Project contribution</w:t>
            </w:r>
          </w:p>
        </w:tc>
        <w:tc>
          <w:tcPr>
            <w:tcW w:type="dxa" w:w="4320"/>
            <w:vAlign w:val="top"/>
          </w:tcPr>
          <w:p>
            <w:r>
              <w:t>Links data completeness, domain shift, AI/physics disagreement and uncertainty to the operating decision.</w:t>
            </w:r>
          </w:p>
        </w:tc>
      </w:tr>
      <w:tr>
        <w:tc>
          <w:tcPr>
            <w:tcW w:type="dxa" w:w="3024"/>
            <w:vAlign w:val="top"/>
          </w:tcPr>
          <w:p>
            <w:r>
              <w:t>Battery Reliability / Gap Score</w:t>
            </w:r>
          </w:p>
        </w:tc>
        <w:tc>
          <w:tcPr>
            <w:tcW w:type="dxa" w:w="2880"/>
            <w:vAlign w:val="top"/>
          </w:tcPr>
          <w:p>
            <w:r>
              <w:t>Project-specific metric</w:t>
            </w:r>
          </w:p>
        </w:tc>
        <w:tc>
          <w:tcPr>
            <w:tcW w:type="dxa" w:w="4320"/>
            <w:vAlign w:val="top"/>
          </w:tcPr>
          <w:p>
            <w:r>
              <w:t>Transparent composite indicator; not presented as an established scientific standard.</w:t>
            </w:r>
          </w:p>
        </w:tc>
      </w:tr>
    </w:tbl>
    <w:p/>
    <w:p>
      <w:pPr>
        <w:pStyle w:val="Heading1"/>
      </w:pPr>
      <w:r>
        <w:t>5. Entire MVP System Flow</w:t>
      </w:r>
    </w:p>
    <w:p>
      <w:r>
        <w:rPr>
          <w:rFonts w:ascii="Consolas" w:hAnsi="Consolas"/>
        </w:rPr>
        <w:t>BESS measurements</w:t>
        <w:br/>
        <w:t>↓</w:t>
        <w:br/>
        <w:t>Data ingestion</w:t>
        <w:br/>
        <w:t>↓</w:t>
        <w:br/>
        <w:t>Data quality &amp; completeness analysis</w:t>
        <w:br/>
        <w:t>↓</w:t>
        <w:br/>
        <w:t>Missing-data handling + partial-cycle feature extraction</w:t>
        <w:br/>
        <w:t>↓</w:t>
        <w:br/>
        <w:t>Feature engineering</w:t>
        <w:br/>
        <w:t>↓</w:t>
        <w:br/>
        <w:t>AI health layer: SoC + SoH + degradation + RUL</w:t>
        <w:br/>
        <w:t>↓</w:t>
        <w:br/>
        <w:t>Parallel physics-based battery simulation</w:t>
        <w:br/>
        <w:t>↓</w:t>
        <w:br/>
        <w:t>Cross-fidelity validation: measured vs AI vs simulation</w:t>
        <w:br/>
        <w:t>↓</w:t>
        <w:br/>
        <w:t>Domain-shift detection</w:t>
        <w:br/>
        <w:t>↓</w:t>
        <w:br/>
        <w:t>Adaptation / residual calibration when justified</w:t>
        <w:br/>
        <w:t>↓</w:t>
        <w:br/>
        <w:t>Uncertainty estimation</w:t>
        <w:br/>
        <w:t>↓</w:t>
        <w:br/>
        <w:t>Reliability assessment + explanation</w:t>
        <w:br/>
        <w:t>↓</w:t>
        <w:br/>
        <w:t>Degradation-aware constrained BESS optimization</w:t>
        <w:br/>
        <w:t>↓</w:t>
        <w:br/>
        <w:t>Charge/discharge recommendation + dashboard</w:t>
      </w:r>
    </w:p>
    <w:p>
      <w:pPr>
        <w:pStyle w:val="Heading1"/>
      </w:pPr>
      <w:r>
        <w:t>6. Layer 1 – Data Ingestion</w:t>
      </w:r>
    </w:p>
    <w:p>
      <w:r>
        <w:t>Expected input variables:</w:t>
      </w:r>
    </w:p>
    <w:tbl>
      <w:tblPr>
        <w:tblStyle w:val="TableGrid"/>
        <w:tblW w:type="auto" w:w="0"/>
        <w:jc w:val="center"/>
        <w:tblLook w:firstColumn="1" w:firstRow="1" w:lastColumn="0" w:lastRow="0" w:noHBand="0" w:noVBand="1" w:val="04A0"/>
      </w:tblPr>
      <w:tblGrid>
        <w:gridCol w:w="3408"/>
        <w:gridCol w:w="3408"/>
        <w:gridCol w:w="3408"/>
      </w:tblGrid>
      <w:tr>
        <w:tc>
          <w:tcPr>
            <w:tcW w:type="dxa" w:w="1728"/>
            <w:shd w:fill="D9EAF7"/>
            <w:vAlign w:val="center"/>
          </w:tcPr>
          <w:p>
            <w:r>
              <w:t>Category</w:t>
            </w:r>
          </w:p>
        </w:tc>
        <w:tc>
          <w:tcPr>
            <w:tcW w:type="dxa" w:w="4320"/>
            <w:shd w:fill="D9EAF7"/>
            <w:vAlign w:val="center"/>
          </w:tcPr>
          <w:p>
            <w:r>
              <w:t>Variables</w:t>
            </w:r>
          </w:p>
        </w:tc>
        <w:tc>
          <w:tcPr>
            <w:tcW w:type="dxa" w:w="4176"/>
            <w:shd w:fill="D9EAF7"/>
            <w:vAlign w:val="center"/>
          </w:tcPr>
          <w:p>
            <w:r>
              <w:t>Purpose</w:t>
            </w:r>
          </w:p>
        </w:tc>
      </w:tr>
      <w:tr>
        <w:tc>
          <w:tcPr>
            <w:tcW w:type="dxa" w:w="1728"/>
            <w:vAlign w:val="top"/>
          </w:tcPr>
          <w:p>
            <w:r>
              <w:t>Electrical</w:t>
            </w:r>
          </w:p>
        </w:tc>
        <w:tc>
          <w:tcPr>
            <w:tcW w:type="dxa" w:w="4320"/>
            <w:vAlign w:val="top"/>
          </w:tcPr>
          <w:p>
            <w:r>
              <w:t>Voltage, current, power, charge/discharge energy, C-rate</w:t>
            </w:r>
          </w:p>
        </w:tc>
        <w:tc>
          <w:tcPr>
            <w:tcW w:type="dxa" w:w="4176"/>
            <w:vAlign w:val="top"/>
          </w:tcPr>
          <w:p>
            <w:r>
              <w:t>Describe instantaneous electrical behaviour and loading.</w:t>
            </w:r>
          </w:p>
        </w:tc>
      </w:tr>
      <w:tr>
        <w:tc>
          <w:tcPr>
            <w:tcW w:type="dxa" w:w="1728"/>
            <w:vAlign w:val="top"/>
          </w:tcPr>
          <w:p>
            <w:r>
              <w:t>Thermal</w:t>
            </w:r>
          </w:p>
        </w:tc>
        <w:tc>
          <w:tcPr>
            <w:tcW w:type="dxa" w:w="4320"/>
            <w:vAlign w:val="top"/>
          </w:tcPr>
          <w:p>
            <w:r>
              <w:t>Battery temperature; ambient temperature when available</w:t>
            </w:r>
          </w:p>
        </w:tc>
        <w:tc>
          <w:tcPr>
            <w:tcW w:type="dxa" w:w="4176"/>
            <w:vAlign w:val="top"/>
          </w:tcPr>
          <w:p>
            <w:r>
              <w:t>Capture thermal stress and temperature-dependent behaviour.</w:t>
            </w:r>
          </w:p>
        </w:tc>
      </w:tr>
      <w:tr>
        <w:tc>
          <w:tcPr>
            <w:tcW w:type="dxa" w:w="1728"/>
            <w:vAlign w:val="top"/>
          </w:tcPr>
          <w:p>
            <w:r>
              <w:t>Cycling</w:t>
            </w:r>
          </w:p>
        </w:tc>
        <w:tc>
          <w:tcPr>
            <w:tcW w:type="dxa" w:w="4320"/>
            <w:vAlign w:val="top"/>
          </w:tcPr>
          <w:p>
            <w:r>
              <w:t>Cycle count, charge/discharge state, DOD, charge rate, discharge rate</w:t>
            </w:r>
          </w:p>
        </w:tc>
        <w:tc>
          <w:tcPr>
            <w:tcW w:type="dxa" w:w="4176"/>
            <w:vAlign w:val="top"/>
          </w:tcPr>
          <w:p>
            <w:r>
              <w:t>Represent usage and ageing history.</w:t>
            </w:r>
          </w:p>
        </w:tc>
      </w:tr>
      <w:tr>
        <w:tc>
          <w:tcPr>
            <w:tcW w:type="dxa" w:w="1728"/>
            <w:vAlign w:val="top"/>
          </w:tcPr>
          <w:p>
            <w:r>
              <w:t>Historical health</w:t>
            </w:r>
          </w:p>
        </w:tc>
        <w:tc>
          <w:tcPr>
            <w:tcW w:type="dxa" w:w="4320"/>
            <w:vAlign w:val="top"/>
          </w:tcPr>
          <w:p>
            <w:r>
              <w:t>Historical SoC, capacity/SoH when available, previous degradation indicators</w:t>
            </w:r>
          </w:p>
        </w:tc>
        <w:tc>
          <w:tcPr>
            <w:tcW w:type="dxa" w:w="4176"/>
            <w:vAlign w:val="top"/>
          </w:tcPr>
          <w:p>
            <w:r>
              <w:t>Provide temporal health context.</w:t>
            </w:r>
          </w:p>
        </w:tc>
      </w:tr>
      <w:tr>
        <w:tc>
          <w:tcPr>
            <w:tcW w:type="dxa" w:w="1728"/>
            <w:vAlign w:val="top"/>
          </w:tcPr>
          <w:p>
            <w:r>
              <w:t>BESS operation</w:t>
            </w:r>
          </w:p>
        </w:tc>
        <w:tc>
          <w:tcPr>
            <w:tcW w:type="dxa" w:w="4320"/>
            <w:vAlign w:val="top"/>
          </w:tcPr>
          <w:p>
            <w:r>
              <w:t>Load demand, renewable generation, price when available</w:t>
            </w:r>
          </w:p>
        </w:tc>
        <w:tc>
          <w:tcPr>
            <w:tcW w:type="dxa" w:w="4176"/>
            <w:vAlign w:val="top"/>
          </w:tcPr>
          <w:p>
            <w:r>
              <w:t>Support later energy-management decisions.</w:t>
            </w:r>
          </w:p>
        </w:tc>
      </w:tr>
    </w:tbl>
    <w:p/>
    <w:p>
      <w:r>
        <w:t>Primary public datasets for the MVP should be NASA battery ageing data for baseline training/benchmarking and CALCE and/or Oxford data for external validation. The project should preserve dataset identity rather than mixing all records before splitting, because cross-dataset evaluation is needed to expose domain shift.</w:t>
      </w:r>
    </w:p>
    <w:p>
      <w:pPr>
        <w:pStyle w:val="Heading1"/>
      </w:pPr>
      <w:r>
        <w:t>7. Layer 2 – Data Quality and Incomplete-Data Engine</w:t>
      </w:r>
    </w:p>
    <w:p>
      <w:r>
        <w:t>A central design rule is: missing information must never be silently treated as a real physical value. Every important feature should therefore have an availability indicator when practical.</w:t>
      </w:r>
    </w:p>
    <w:p>
      <w:r>
        <w:t>Example:</w:t>
      </w:r>
    </w:p>
    <w:p>
      <w:r>
        <w:rPr>
          <w:rFonts w:ascii="Consolas" w:hAnsi="Consolas"/>
        </w:rPr>
        <w:t>Voltage = 3.72 V      Voltage_available = 1</w:t>
        <w:br/>
        <w:t>Temperature = missing Temperature_available = 0</w:t>
        <w:br/>
        <w:t>Current = 2.4 A       Current_available = 1</w:t>
      </w:r>
    </w:p>
    <w:p>
      <w:r>
        <w:t>For isolated missing sensor samples, the MVP can use time-aware interpolation or local smoothing where physically appropriate. For an entire missing sensor stream, the model should retain the missingness indicator and increase uncertainty rather than inventing a temperature or capacity measurement. For partial cycles, features are extracted from the observed segment instead of requiring a fabricated full cycle.</w:t>
      </w:r>
    </w:p>
    <w:p>
      <w:r>
        <w:t>A Data Completeness Score can summarize how much of the expected input is available. It should affect the reliability assessment, not be presented as a substitute for missing measurements.</w:t>
      </w:r>
    </w:p>
    <w:p>
      <w:pPr>
        <w:pStyle w:val="Heading1"/>
      </w:pPr>
      <w:r>
        <w:t>8. Layer 3 – Feature Engineering</w:t>
      </w:r>
    </w:p>
    <w:p>
      <w:r>
        <w:t>Features should be derived from raw measurements without leaking future information.</w:t>
      </w:r>
    </w:p>
    <w:p>
      <w:pPr>
        <w:pStyle w:val="ListBullet"/>
      </w:pPr>
      <w:r>
        <w:t>Electrical: voltage level, current statistics, power, charge/discharge energy, C-rate.</w:t>
      </w:r>
    </w:p>
    <w:p>
      <w:pPr>
        <w:pStyle w:val="ListBullet"/>
      </w:pPr>
      <w:r>
        <w:t>Thermal: temperature level, temperature change, temperature rise during a segment.</w:t>
      </w:r>
    </w:p>
    <w:p>
      <w:pPr>
        <w:pStyle w:val="ListBullet"/>
      </w:pPr>
      <w:r>
        <w:t>Cycling: DOD, cycle number, cumulative throughput, charge/discharge duration.</w:t>
      </w:r>
    </w:p>
    <w:p>
      <w:pPr>
        <w:pStyle w:val="ListBullet"/>
      </w:pPr>
      <w:r>
        <w:t>Temporal: rolling averages, slopes and recent-window statistics.</w:t>
      </w:r>
    </w:p>
    <w:p>
      <w:pPr>
        <w:pStyle w:val="ListBullet"/>
      </w:pPr>
      <w:r>
        <w:t>Health indicators: voltage change over an observed interval, energy delivered, SoC change and degradation trend where the required measurements exist.</w:t>
      </w:r>
    </w:p>
    <w:p>
      <w:pPr>
        <w:pStyle w:val="ListBullet"/>
      </w:pPr>
      <w:r>
        <w:t>Missingness indicators: whether each critical measurement was observed.</w:t>
      </w:r>
    </w:p>
    <w:p>
      <w:r>
        <w:t>A time-ordered split must be used for temporal prediction. Features calculated from future samples must not be available to a model predicting an earlier state.</w:t>
      </w:r>
    </w:p>
    <w:p>
      <w:pPr>
        <w:pStyle w:val="Heading1"/>
      </w:pPr>
      <w:r>
        <w:t>9. Layer 4 – SoC Estimation</w:t>
      </w:r>
    </w:p>
    <w:p>
      <w:r>
        <w:t>State of Charge (SoC) represents the battery's estimated available charge relative to its usable capacity. The MVP uses Coulomb counting as a transparent baseline and an ML correction model to reduce accumulated drift.</w:t>
      </w:r>
    </w:p>
    <w:p>
      <w:r>
        <w:t>Baseline relation:</w:t>
      </w:r>
    </w:p>
    <w:p>
      <w:r>
        <w:rPr>
          <w:rFonts w:ascii="Consolas" w:hAnsi="Consolas"/>
        </w:rPr>
        <w:t>SoC(t) ≈ SoC(t−1) − I(t)·Δt / Q</w:t>
      </w:r>
    </w:p>
    <w:p>
      <w:r>
        <w:t>The exact sign convention depends on whether positive current represents charging or discharging. The implementation must define this convention once and use it consistently.</w:t>
      </w:r>
    </w:p>
    <w:p>
      <w:r>
        <w:t>Recommended correction model: XGBoost regression using voltage, current, temperature, recent SoC and ageing/usage features.</w:t>
      </w:r>
    </w:p>
    <w:p>
      <w:pPr>
        <w:pStyle w:val="Heading1"/>
      </w:pPr>
      <w:r>
        <w:t>10. Layer 5 – SoH Estimation</w:t>
      </w:r>
    </w:p>
    <w:p>
      <w:r>
        <w:t>State of Health (SoH) represents the current health condition relative to a defined reference condition. For capacity-based SoH, a common formulation is:</w:t>
      </w:r>
    </w:p>
    <w:p>
      <w:r>
        <w:rPr>
          <w:rFonts w:ascii="Consolas" w:hAnsi="Consolas"/>
        </w:rPr>
        <w:t>SoH(%) = (estimated usable capacity / reference usable capacity) × 100</w:t>
      </w:r>
    </w:p>
    <w:p>
      <w:r>
        <w:t>The exact reference capacity and EOL definition must be documented for the selected dataset/application. The MVP should not assume that every dataset uses the same nominal capacity or EOL convention.</w:t>
      </w:r>
    </w:p>
    <w:p>
      <w:r>
        <w:t>Recommended temporal model: GRU. It receives a sequence of recent battery observations/health indicators and estimates SoH.</w:t>
      </w:r>
    </w:p>
    <w:p>
      <w:r>
        <w:t>Why GRU for the MVP: battery degradation is sequential, but the project does not need the computational and implementation complexity of a large Transformer merely to demonstrate the reliability framework.</w:t>
      </w:r>
    </w:p>
    <w:p>
      <w:pPr>
        <w:pStyle w:val="Heading1"/>
      </w:pPr>
      <w:r>
        <w:t>11. Layer 6 – Degradation Rate</w:t>
      </w:r>
    </w:p>
    <w:p>
      <w:r>
        <w:t>Degradation rate describes the change in health over a defined interval. A simple capacity-health form is:</w:t>
      </w:r>
    </w:p>
    <w:p>
      <w:r>
        <w:rPr>
          <w:rFonts w:ascii="Consolas" w:hAnsi="Consolas"/>
        </w:rPr>
        <w:t>Degradation rate ≈ −ΔSoH / Δcycle</w:t>
      </w:r>
    </w:p>
    <w:p>
      <w:r>
        <w:t>The MVP should calculate this over a moving window or fitted local trend rather than relying on a single pair of observations. This reduces sensitivity to noisy individual measurements.</w:t>
      </w:r>
    </w:p>
    <w:p>
      <w:pPr>
        <w:pStyle w:val="Heading1"/>
      </w:pPr>
      <w:r>
        <w:t>12. Layer 7 – RUL Prediction</w:t>
      </w:r>
    </w:p>
    <w:p>
      <w:r>
        <w:t>Remaining Useful Life (RUL) is the estimated amount of usable operating life remaining before a predefined end-of-life criterion is reached. For the MVP, RUL is defined through a configurable EOL threshold rather than an unexplained model output.</w:t>
      </w:r>
    </w:p>
    <w:p>
      <w:r>
        <w:t>Recommended flow:</w:t>
      </w:r>
    </w:p>
    <w:p>
      <w:r>
        <w:rPr>
          <w:rFonts w:ascii="Consolas" w:hAnsi="Consolas"/>
        </w:rPr>
        <w:t>Historical health sequence → GRU → future SoH/capacity trajectory → EOL threshold crossing → RUL in cycles</w:t>
      </w:r>
    </w:p>
    <w:p>
      <w:r>
        <w:t>Example: if the configured EOL criterion is SoH = 80%, the model predicts the future trajectory and estimates the cycle at which the trajectory crosses that threshold. RUL is the difference between that estimated EOL cycle and the current cycle. The threshold must be stated explicitly in experiments.</w:t>
      </w:r>
    </w:p>
    <w:p>
      <w:pPr>
        <w:pStyle w:val="Heading1"/>
      </w:pPr>
      <w:r>
        <w:t>13. Layer 8 – Uncertainty Estimation</w:t>
      </w:r>
    </w:p>
    <w:p>
      <w:r>
        <w:t>Uncertainty communicates how much the system does not know. It is especially important when measurements are incomplete or the operating domain differs from training data.</w:t>
      </w:r>
    </w:p>
    <w:p>
      <w:r>
        <w:t>MVP technique: quantile prediction.</w:t>
      </w:r>
    </w:p>
    <w:p>
      <w:r>
        <w:rPr>
          <w:rFonts w:ascii="Consolas" w:hAnsi="Consolas"/>
        </w:rPr>
        <w:t>Example:</w:t>
        <w:br/>
        <w:t>RUL P10 = 280 cycles</w:t>
        <w:br/>
        <w:t>RUL P50 = 320 cycles</w:t>
        <w:br/>
        <w:t>RUL P90 = 365 cycles</w:t>
        <w:br/>
        <w:t>Reported central estimate = 320 cycles</w:t>
        <w:br/>
        <w:t>Prediction interval = 280–365 cycles</w:t>
      </w:r>
    </w:p>
    <w:p>
      <w:r>
        <w:t>The project must evaluate interval coverage and interval width. A narrow interval is not automatically good if it fails to contain the observed outcome at the intended rate.</w:t>
      </w:r>
    </w:p>
    <w:p>
      <w:pPr>
        <w:pStyle w:val="Heading1"/>
      </w:pPr>
      <w:r>
        <w:t>14. Layer 9 – Physics-Based Battery Reference</w:t>
      </w:r>
    </w:p>
    <w:p>
      <w:r>
        <w:t>The MVP uses a simplified Equivalent Circuit Model (ECM) as a physics-based reference. An ECM approximates battery electrical behaviour using elements such as an open-circuit-voltage relationship, series resistance and one or more RC branches.</w:t>
      </w:r>
    </w:p>
    <w:p>
      <w:r>
        <w:t>The purpose here is verification, not to claim a new digital twin. The simulator produces an independent expected trajectory for quantities such as voltage and SoC under a supplied current/load profile.</w:t>
      </w:r>
    </w:p>
    <w:p>
      <w:r>
        <w:rPr>
          <w:rFonts w:ascii="Consolas" w:hAnsi="Consolas"/>
        </w:rPr>
        <w:t>Current/load profile → ECM → simulated voltage/SoC/temperature-related reference → comparison with measurements</w:t>
      </w:r>
    </w:p>
    <w:p>
      <w:pPr>
        <w:pStyle w:val="Heading1"/>
      </w:pPr>
      <w:r>
        <w:t>15. Layer 10 – Cross-Fidelity Validation</w:t>
      </w:r>
    </w:p>
    <w:p>
      <w:r>
        <w:t>Cross-fidelity validation compares three evidence sources: measured behaviour, AI prediction and physics-based simulation. The goal is to identify disagreement rather than assume that any single model is always correct.</w:t>
      </w:r>
    </w:p>
    <w:tbl>
      <w:tblPr>
        <w:tblStyle w:val="TableGrid"/>
        <w:tblW w:type="auto" w:w="0"/>
        <w:jc w:val="center"/>
        <w:tblLook w:firstColumn="1" w:firstRow="1" w:lastColumn="0" w:lastRow="0" w:noHBand="0" w:noVBand="1" w:val="04A0"/>
      </w:tblPr>
      <w:tblGrid>
        <w:gridCol w:w="3408"/>
        <w:gridCol w:w="3408"/>
        <w:gridCol w:w="3408"/>
      </w:tblGrid>
      <w:tr>
        <w:tc>
          <w:tcPr>
            <w:tcW w:type="dxa" w:w="1440"/>
            <w:shd w:fill="D9EAF7"/>
            <w:vAlign w:val="center"/>
          </w:tcPr>
          <w:p>
            <w:r>
              <w:t>Scenario</w:t>
            </w:r>
          </w:p>
        </w:tc>
        <w:tc>
          <w:tcPr>
            <w:tcW w:type="dxa" w:w="3456"/>
            <w:shd w:fill="D9EAF7"/>
            <w:vAlign w:val="center"/>
          </w:tcPr>
          <w:p>
            <w:r>
              <w:t>Observed relationship</w:t>
            </w:r>
          </w:p>
        </w:tc>
        <w:tc>
          <w:tcPr>
            <w:tcW w:type="dxa" w:w="5328"/>
            <w:shd w:fill="D9EAF7"/>
            <w:vAlign w:val="center"/>
          </w:tcPr>
          <w:p>
            <w:r>
              <w:t>Interpretation</w:t>
            </w:r>
          </w:p>
        </w:tc>
      </w:tr>
      <w:tr>
        <w:tc>
          <w:tcPr>
            <w:tcW w:type="dxa" w:w="1440"/>
            <w:vAlign w:val="top"/>
          </w:tcPr>
          <w:p>
            <w:r>
              <w:t>A</w:t>
            </w:r>
          </w:p>
        </w:tc>
        <w:tc>
          <w:tcPr>
            <w:tcW w:type="dxa" w:w="3456"/>
            <w:vAlign w:val="top"/>
          </w:tcPr>
          <w:p>
            <w:r>
              <w:t>Measured ≈ AI ≈ Simulation</w:t>
            </w:r>
          </w:p>
        </w:tc>
        <w:tc>
          <w:tcPr>
            <w:tcW w:type="dxa" w:w="5328"/>
            <w:vAlign w:val="top"/>
          </w:tcPr>
          <w:p>
            <w:r>
              <w:t>Strong agreement; reliability can be high if uncertainty and data quality also support it.</w:t>
            </w:r>
          </w:p>
        </w:tc>
      </w:tr>
      <w:tr>
        <w:tc>
          <w:tcPr>
            <w:tcW w:type="dxa" w:w="1440"/>
            <w:vAlign w:val="top"/>
          </w:tcPr>
          <w:p>
            <w:r>
              <w:t>B</w:t>
            </w:r>
          </w:p>
        </w:tc>
        <w:tc>
          <w:tcPr>
            <w:tcW w:type="dxa" w:w="3456"/>
            <w:vAlign w:val="top"/>
          </w:tcPr>
          <w:p>
            <w:r>
              <w:t>Measured ≈ Simulation, AI differs</w:t>
            </w:r>
          </w:p>
        </w:tc>
        <w:tc>
          <w:tcPr>
            <w:tcW w:type="dxa" w:w="5328"/>
            <w:vAlign w:val="top"/>
          </w:tcPr>
          <w:p>
            <w:r>
              <w:t>AI prediction may be unreliable under the current condition.</w:t>
            </w:r>
          </w:p>
        </w:tc>
      </w:tr>
      <w:tr>
        <w:tc>
          <w:tcPr>
            <w:tcW w:type="dxa" w:w="1440"/>
            <w:vAlign w:val="top"/>
          </w:tcPr>
          <w:p>
            <w:r>
              <w:t>C</w:t>
            </w:r>
          </w:p>
        </w:tc>
        <w:tc>
          <w:tcPr>
            <w:tcW w:type="dxa" w:w="3456"/>
            <w:vAlign w:val="top"/>
          </w:tcPr>
          <w:p>
            <w:r>
              <w:t>Measured ≈ AI, Simulation differs</w:t>
            </w:r>
          </w:p>
        </w:tc>
        <w:tc>
          <w:tcPr>
            <w:tcW w:type="dxa" w:w="5328"/>
            <w:vAlign w:val="top"/>
          </w:tcPr>
          <w:p>
            <w:r>
              <w:t>Physics model may be poorly calibrated for the current battery/condition.</w:t>
            </w:r>
          </w:p>
        </w:tc>
      </w:tr>
      <w:tr>
        <w:tc>
          <w:tcPr>
            <w:tcW w:type="dxa" w:w="1440"/>
            <w:vAlign w:val="top"/>
          </w:tcPr>
          <w:p>
            <w:r>
              <w:t>D</w:t>
            </w:r>
          </w:p>
        </w:tc>
        <w:tc>
          <w:tcPr>
            <w:tcW w:type="dxa" w:w="3456"/>
            <w:vAlign w:val="top"/>
          </w:tcPr>
          <w:p>
            <w:r>
              <w:t>Measured differs from both AI and simulation</w:t>
            </w:r>
          </w:p>
        </w:tc>
        <w:tc>
          <w:tcPr>
            <w:tcW w:type="dxa" w:w="5328"/>
            <w:vAlign w:val="top"/>
          </w:tcPr>
          <w:p>
            <w:r>
              <w:t>Possible domain shift, abnormal ageing, sensor/data issue or model-form mismatch; confidence should decrease.</w:t>
            </w:r>
          </w:p>
        </w:tc>
      </w:tr>
    </w:tbl>
    <w:p/>
    <w:p>
      <w:pPr>
        <w:pStyle w:val="Heading1"/>
      </w:pPr>
      <w:r>
        <w:t>16. Layer 11 – Domain-Shift Detection</w:t>
      </w:r>
    </w:p>
    <w:p>
      <w:r>
        <w:t>Domain shift means that the current operating/data distribution differs materially from the distribution on which the model was trained. Examples include a different temperature range, C-rate, DOD, chemistry, ageing range or load profile.</w:t>
      </w:r>
    </w:p>
    <w:p>
      <w:r>
        <w:t>MVP technique: Isolation Forest as an operating-domain anomaly indicator over engineered features. It should be treated as a warning signal, not proof that the prediction is wrong.</w:t>
      </w:r>
    </w:p>
    <w:p>
      <w:r>
        <w:rPr>
          <w:rFonts w:ascii="Consolas" w:hAnsi="Consolas"/>
        </w:rPr>
        <w:t>Training domain: 20–30°C, 0.5–1C, DOD 20–80%</w:t>
        <w:br/>
        <w:t>Current condition: 42°C, 2C, DOD 90%</w:t>
        <w:br/>
        <w:t>→ Potential domain shift detected</w:t>
        <w:br/>
        <w:t>→ Increase reliability penalty / uncertainty handling</w:t>
        <w:br/>
        <w:t>→ Consider calibration if target-domain evidence is available</w:t>
      </w:r>
    </w:p>
    <w:p>
      <w:pPr>
        <w:pStyle w:val="Heading1"/>
      </w:pPr>
      <w:r>
        <w:t>17. Layer 12 – Adaptation and Residual Calibration</w:t>
      </w:r>
    </w:p>
    <w:p>
      <w:r>
        <w:t>When a target domain is detected, the MVP should not automatically retrain the entire system. If a limited amount of target-domain labelled data is available, a residual correction model can learn systematic error between predictions and observed outcomes.</w:t>
      </w:r>
    </w:p>
    <w:p>
      <w:r>
        <w:rPr>
          <w:rFonts w:ascii="Consolas" w:hAnsi="Consolas"/>
        </w:rPr>
        <w:t>Observed SoH = 83%</w:t>
        <w:br/>
        <w:t>AI SoH = 86%</w:t>
        <w:br/>
        <w:t>Residual = −3 percentage points</w:t>
        <w:br/>
        <w:t>Residual model learns systematic target-domain error</w:t>
        <w:br/>
        <w:t>→ calibrated SoH estimate</w:t>
      </w:r>
    </w:p>
    <w:p>
      <w:r>
        <w:t>Adaptation must be evaluated with a held-out target set. If adaptation improves one domain but harms another, that result must be reported rather than hidden.</w:t>
      </w:r>
    </w:p>
    <w:p>
      <w:pPr>
        <w:pStyle w:val="Heading1"/>
      </w:pPr>
      <w:r>
        <w:t>18. Layer 13 – Reliability / Gap Assessment</w:t>
      </w:r>
    </w:p>
    <w:p>
      <w:r>
        <w:t>The project proposes a transparent Battery Reliability Score as a project metric. It is not a recognized industry standard and must not be described as one.</w:t>
      </w:r>
    </w:p>
    <w:p>
      <w:r>
        <w:t>Possible components: data completeness, AI prediction error, simulation fidelity, domain similarity and prediction interval quality. The exact weighting should be selected after validation rather than invented to produce a desired score.</w:t>
      </w:r>
    </w:p>
    <w:p>
      <w:r>
        <w:rPr>
          <w:rFonts w:ascii="Consolas" w:hAnsi="Consolas"/>
        </w:rPr>
        <w:t>Reliability = f(data completeness, domain similarity, prediction error, simulation fidelity, uncertainty calibration)</w:t>
      </w:r>
    </w:p>
    <w:p>
      <w:r>
        <w:t>The dashboard should show the components separately. Example: Reliability = 62/100; data completeness 82%, domain similarity 55%, AI agreement 91%, simulation fidelity 78%, uncertainty quality 49%. This makes the score auditable.</w:t>
      </w:r>
    </w:p>
    <w:p>
      <w:pPr>
        <w:pStyle w:val="Heading1"/>
      </w:pPr>
      <w:r>
        <w:t>19. Layer 14 – Explainability</w:t>
      </w:r>
    </w:p>
    <w:p>
      <w:r>
        <w:t>SHAP (SHapley Additive exPlanations) can be used for tree-based models such as XGBoost to show how input features contributed to a prediction relative to the model baseline.</w:t>
      </w:r>
    </w:p>
    <w:p>
      <w:r>
        <w:rPr>
          <w:rFonts w:ascii="Consolas" w:hAnsi="Consolas"/>
        </w:rPr>
        <w:t>SoH = 82%</w:t>
        <w:br/>
        <w:t>Important contributors: temperature-related features, cycle age, DOD, C-rate, voltage-derived health indicators</w:t>
      </w:r>
    </w:p>
    <w:p>
      <w:r>
        <w:t>For the operating recommendation, the system should separately show rule/constraint reasons, for example: “charging rate reduced because temperature is elevated and predicted degradation risk is high.” SHAP should not be used to claim causal relationships; it explains model attribution.</w:t>
      </w:r>
    </w:p>
    <w:p>
      <w:pPr>
        <w:pStyle w:val="Heading1"/>
      </w:pPr>
      <w:r>
        <w:t>20. Layer 15 – Degradation-Aware BESS Optimization</w:t>
      </w:r>
    </w:p>
    <w:p>
      <w:r>
        <w:t>The decision layer converts the validated health state into an operating action. The MVP should use constrained optimization rather than an unconstrained black-box action model.</w:t>
      </w:r>
    </w:p>
    <w:p>
      <w:r>
        <w:t>Conceptual objective:</w:t>
      </w:r>
    </w:p>
    <w:p>
      <w:r>
        <w:rPr>
          <w:rFonts w:ascii="Consolas" w:hAnsi="Consolas"/>
        </w:rPr>
        <w:t>minimize EnergyCost + λ₁·DegradationCost + λ₂·Risk</w:t>
      </w:r>
    </w:p>
    <w:p>
      <w:r>
        <w:t>Subject to:</w:t>
      </w:r>
    </w:p>
    <w:p>
      <w:r>
        <w:rPr>
          <w:rFonts w:ascii="Consolas" w:hAnsi="Consolas"/>
        </w:rPr>
        <w:t>SoC_min ≤ SoC_t ≤ SoC_max</w:t>
        <w:br/>
        <w:t>Temperature_t ≤ Temperature_max</w:t>
        <w:br/>
        <w:t>ChargePower_t ≤ ChargePower_max</w:t>
        <w:br/>
        <w:t>DischargePower_t ≤ DischargePower_max</w:t>
      </w:r>
    </w:p>
    <w:p>
      <w:r>
        <w:t>The λ weights must be treated as configurable decision-policy parameters and evaluated through scenario experiments. The system should not claim that the chosen weights are universally optimal.</w:t>
      </w:r>
    </w:p>
    <w:p>
      <w:pPr>
        <w:pStyle w:val="Heading1"/>
      </w:pPr>
      <w:r>
        <w:t>21. Example End-to-End Scenario</w:t>
      </w:r>
    </w:p>
    <w:p>
      <w:r>
        <w:t>Scenario 1 – high-confidence operation</w:t>
      </w:r>
    </w:p>
    <w:p>
      <w:r>
        <w:rPr>
          <w:rFonts w:ascii="Consolas" w:hAnsi="Consolas"/>
        </w:rPr>
        <w:t>Inputs: SoC 74%, SoH 79%, temperature 30°C, normal C-rate, complete recent measurements.</w:t>
        <w:br/>
        <w:t>AI: RUL = 320 cycles.</w:t>
        <w:br/>
        <w:t>Physics: simulated voltage closely matches measurement.</w:t>
        <w:br/>
        <w:t>Domain detector: normal.</w:t>
        <w:br/>
        <w:t>Uncertainty: relatively narrow interval.</w:t>
        <w:br/>
        <w:t>Result: high reliability.</w:t>
        <w:br/>
        <w:t>Action: normal health-aware charge/discharge policy.</w:t>
      </w:r>
    </w:p>
    <w:p>
      <w:r>
        <w:t>Scenario 2 – incomplete data and domain shift</w:t>
      </w:r>
    </w:p>
    <w:p>
      <w:r>
        <w:rPr>
          <w:rFonts w:ascii="Consolas" w:hAnsi="Consolas"/>
        </w:rPr>
        <w:t>Inputs: voltage/current available, temperature missing, partial cycle, 42°C inferred/available in a later segment, 2C operation.</w:t>
        <w:br/>
        <w:t>AI: RUL = 320 cycles.</w:t>
        <w:br/>
        <w:t>Domain detector: potential shift.</w:t>
        <w:br/>
        <w:t>Data completeness: reduced.</w:t>
        <w:br/>
        <w:t>Uncertainty: wider interval, e.g. 250–390 cycles.</w:t>
        <w:br/>
        <w:t>Cross-fidelity: AI and simulation disagree with recent measured behaviour.</w:t>
        <w:br/>
        <w:t>Result: low/medium reliability.</w:t>
        <w:br/>
        <w:t>Action: conservative charge/discharge limits and request additional measurements/calibration.</w:t>
      </w:r>
    </w:p>
    <w:p>
      <w:pPr>
        <w:pStyle w:val="Heading1"/>
      </w:pPr>
      <w:r>
        <w:t>22. MVP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1872"/>
            <w:shd w:fill="D9EAF7"/>
            <w:vAlign w:val="center"/>
          </w:tcPr>
          <w:p>
            <w:r>
              <w:t>Layer</w:t>
            </w:r>
          </w:p>
        </w:tc>
        <w:tc>
          <w:tcPr>
            <w:tcW w:type="dxa" w:w="3600"/>
            <w:shd w:fill="D9EAF7"/>
            <w:vAlign w:val="center"/>
          </w:tcPr>
          <w:p>
            <w:r>
              <w:t>Technology</w:t>
            </w:r>
          </w:p>
        </w:tc>
        <w:tc>
          <w:tcPr>
            <w:tcW w:type="dxa" w:w="4608"/>
            <w:shd w:fill="D9EAF7"/>
            <w:vAlign w:val="center"/>
          </w:tcPr>
          <w:p>
            <w:r>
              <w:t>Reason</w:t>
            </w:r>
          </w:p>
        </w:tc>
      </w:tr>
      <w:tr>
        <w:tc>
          <w:tcPr>
            <w:tcW w:type="dxa" w:w="1872"/>
            <w:vAlign w:val="top"/>
          </w:tcPr>
          <w:p>
            <w:r>
              <w:t>Frontend</w:t>
            </w:r>
          </w:p>
        </w:tc>
        <w:tc>
          <w:tcPr>
            <w:tcW w:type="dxa" w:w="3600"/>
            <w:vAlign w:val="top"/>
          </w:tcPr>
          <w:p>
            <w:r>
              <w:t>React + TypeScript + Tailwind CSS + Recharts</w:t>
            </w:r>
          </w:p>
        </w:tc>
        <w:tc>
          <w:tcPr>
            <w:tcW w:type="dxa" w:w="4608"/>
            <w:vAlign w:val="top"/>
          </w:tcPr>
          <w:p>
            <w:r>
              <w:t>Fast dashboard development and interactive plots.</w:t>
            </w:r>
          </w:p>
        </w:tc>
      </w:tr>
      <w:tr>
        <w:tc>
          <w:tcPr>
            <w:tcW w:type="dxa" w:w="1872"/>
            <w:vAlign w:val="top"/>
          </w:tcPr>
          <w:p>
            <w:r>
              <w:t>Backend</w:t>
            </w:r>
          </w:p>
        </w:tc>
        <w:tc>
          <w:tcPr>
            <w:tcW w:type="dxa" w:w="3600"/>
            <w:vAlign w:val="top"/>
          </w:tcPr>
          <w:p>
            <w:r>
              <w:t>Python + FastAPI</w:t>
            </w:r>
          </w:p>
        </w:tc>
        <w:tc>
          <w:tcPr>
            <w:tcW w:type="dxa" w:w="4608"/>
            <w:vAlign w:val="top"/>
          </w:tcPr>
          <w:p>
            <w:r>
              <w:t>Simple API integration with scientific Python/ML stack.</w:t>
            </w:r>
          </w:p>
        </w:tc>
      </w:tr>
      <w:tr>
        <w:tc>
          <w:tcPr>
            <w:tcW w:type="dxa" w:w="1872"/>
            <w:vAlign w:val="top"/>
          </w:tcPr>
          <w:p>
            <w:r>
              <w:t>Data processing</w:t>
            </w:r>
          </w:p>
        </w:tc>
        <w:tc>
          <w:tcPr>
            <w:tcW w:type="dxa" w:w="3600"/>
            <w:vAlign w:val="top"/>
          </w:tcPr>
          <w:p>
            <w:r>
              <w:t>Pandas + NumPy + SciPy</w:t>
            </w:r>
          </w:p>
        </w:tc>
        <w:tc>
          <w:tcPr>
            <w:tcW w:type="dxa" w:w="4608"/>
            <w:vAlign w:val="top"/>
          </w:tcPr>
          <w:p>
            <w:r>
              <w:t>Cleaning, feature engineering and signal processing.</w:t>
            </w:r>
          </w:p>
        </w:tc>
      </w:tr>
      <w:tr>
        <w:tc>
          <w:tcPr>
            <w:tcW w:type="dxa" w:w="1872"/>
            <w:vAlign w:val="top"/>
          </w:tcPr>
          <w:p>
            <w:r>
              <w:t>Classical ML</w:t>
            </w:r>
          </w:p>
        </w:tc>
        <w:tc>
          <w:tcPr>
            <w:tcW w:type="dxa" w:w="3600"/>
            <w:vAlign w:val="top"/>
          </w:tcPr>
          <w:p>
            <w:r>
              <w:t>Scikit-learn + XGBoost</w:t>
            </w:r>
          </w:p>
        </w:tc>
        <w:tc>
          <w:tcPr>
            <w:tcW w:type="dxa" w:w="4608"/>
            <w:vAlign w:val="top"/>
          </w:tcPr>
          <w:p>
            <w:r>
              <w:t>Tabular prediction, domain indicator and baseline models.</w:t>
            </w:r>
          </w:p>
        </w:tc>
      </w:tr>
      <w:tr>
        <w:tc>
          <w:tcPr>
            <w:tcW w:type="dxa" w:w="1872"/>
            <w:vAlign w:val="top"/>
          </w:tcPr>
          <w:p>
            <w:r>
              <w:t>Deep learning</w:t>
            </w:r>
          </w:p>
        </w:tc>
        <w:tc>
          <w:tcPr>
            <w:tcW w:type="dxa" w:w="3600"/>
            <w:vAlign w:val="top"/>
          </w:tcPr>
          <w:p>
            <w:r>
              <w:t>PyTorch + GRU</w:t>
            </w:r>
          </w:p>
        </w:tc>
        <w:tc>
          <w:tcPr>
            <w:tcW w:type="dxa" w:w="4608"/>
            <w:vAlign w:val="top"/>
          </w:tcPr>
          <w:p>
            <w:r>
              <w:t>Temporal SoH/RUL modelling.</w:t>
            </w:r>
          </w:p>
        </w:tc>
      </w:tr>
      <w:tr>
        <w:tc>
          <w:tcPr>
            <w:tcW w:type="dxa" w:w="1872"/>
            <w:vAlign w:val="top"/>
          </w:tcPr>
          <w:p>
            <w:r>
              <w:t>Explainability</w:t>
            </w:r>
          </w:p>
        </w:tc>
        <w:tc>
          <w:tcPr>
            <w:tcW w:type="dxa" w:w="3600"/>
            <w:vAlign w:val="top"/>
          </w:tcPr>
          <w:p>
            <w:r>
              <w:t>SHAP</w:t>
            </w:r>
          </w:p>
        </w:tc>
        <w:tc>
          <w:tcPr>
            <w:tcW w:type="dxa" w:w="4608"/>
            <w:vAlign w:val="top"/>
          </w:tcPr>
          <w:p>
            <w:r>
              <w:t>Feature-attribution explanation for supported models.</w:t>
            </w:r>
          </w:p>
        </w:tc>
      </w:tr>
      <w:tr>
        <w:tc>
          <w:tcPr>
            <w:tcW w:type="dxa" w:w="1872"/>
            <w:vAlign w:val="top"/>
          </w:tcPr>
          <w:p>
            <w:r>
              <w:t>Optimization</w:t>
            </w:r>
          </w:p>
        </w:tc>
        <w:tc>
          <w:tcPr>
            <w:tcW w:type="dxa" w:w="3600"/>
            <w:vAlign w:val="top"/>
          </w:tcPr>
          <w:p>
            <w:r>
              <w:t>CVXPY or SciPy Optimize</w:t>
            </w:r>
          </w:p>
        </w:tc>
        <w:tc>
          <w:tcPr>
            <w:tcW w:type="dxa" w:w="4608"/>
            <w:vAlign w:val="top"/>
          </w:tcPr>
          <w:p>
            <w:r>
              <w:t>Constrained health-aware operating decisions.</w:t>
            </w:r>
          </w:p>
        </w:tc>
      </w:tr>
      <w:tr>
        <w:tc>
          <w:tcPr>
            <w:tcW w:type="dxa" w:w="1872"/>
            <w:vAlign w:val="top"/>
          </w:tcPr>
          <w:p>
            <w:r>
              <w:t>Database</w:t>
            </w:r>
          </w:p>
        </w:tc>
        <w:tc>
          <w:tcPr>
            <w:tcW w:type="dxa" w:w="3600"/>
            <w:vAlign w:val="top"/>
          </w:tcPr>
          <w:p>
            <w:r>
              <w:t>PostgreSQL</w:t>
            </w:r>
          </w:p>
        </w:tc>
        <w:tc>
          <w:tcPr>
            <w:tcW w:type="dxa" w:w="4608"/>
            <w:vAlign w:val="top"/>
          </w:tcPr>
          <w:p>
            <w:r>
              <w:t>Structured storage of battery runs, predictions and audit results.</w:t>
            </w:r>
          </w:p>
        </w:tc>
      </w:tr>
      <w:tr>
        <w:tc>
          <w:tcPr>
            <w:tcW w:type="dxa" w:w="1872"/>
            <w:vAlign w:val="top"/>
          </w:tcPr>
          <w:p>
            <w:r>
              <w:t>Model storage</w:t>
            </w:r>
          </w:p>
        </w:tc>
        <w:tc>
          <w:tcPr>
            <w:tcW w:type="dxa" w:w="3600"/>
            <w:vAlign w:val="top"/>
          </w:tcPr>
          <w:p>
            <w:r>
              <w:t>Joblib + PyTorch .pt</w:t>
            </w:r>
          </w:p>
        </w:tc>
        <w:tc>
          <w:tcPr>
            <w:tcW w:type="dxa" w:w="4608"/>
            <w:vAlign w:val="top"/>
          </w:tcPr>
          <w:p>
            <w:r>
              <w:t>Persist classical and neural models.</w:t>
            </w:r>
          </w:p>
        </w:tc>
      </w:tr>
      <w:tr>
        <w:tc>
          <w:tcPr>
            <w:tcW w:type="dxa" w:w="1872"/>
            <w:vAlign w:val="top"/>
          </w:tcPr>
          <w:p>
            <w:r>
              <w:t>Physics</w:t>
            </w:r>
          </w:p>
        </w:tc>
        <w:tc>
          <w:tcPr>
            <w:tcW w:type="dxa" w:w="3600"/>
            <w:vAlign w:val="top"/>
          </w:tcPr>
          <w:p>
            <w:r>
              <w:t>Python ECM implementation</w:t>
            </w:r>
          </w:p>
        </w:tc>
        <w:tc>
          <w:tcPr>
            <w:tcW w:type="dxa" w:w="4608"/>
            <w:vAlign w:val="top"/>
          </w:tcPr>
          <w:p>
            <w:r>
              <w:t>Lightweight software battery reference for MVP.</w:t>
            </w:r>
          </w:p>
        </w:tc>
      </w:tr>
    </w:tbl>
    <w:p/>
    <w:p>
      <w:pPr>
        <w:pStyle w:val="Heading1"/>
      </w:pPr>
      <w:r>
        <w:t>23. Evaluation and Evidence Plan</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D9EAF7"/>
            <w:vAlign w:val="center"/>
          </w:tcPr>
          <w:p>
            <w:r>
              <w:t>Experiment</w:t>
            </w:r>
          </w:p>
        </w:tc>
        <w:tc>
          <w:tcPr>
            <w:tcW w:type="dxa" w:w="5184"/>
            <w:shd w:fill="D9EAF7"/>
            <w:vAlign w:val="center"/>
          </w:tcPr>
          <w:p>
            <w:r>
              <w:t>Design</w:t>
            </w:r>
          </w:p>
        </w:tc>
        <w:tc>
          <w:tcPr>
            <w:tcW w:type="dxa" w:w="2736"/>
            <w:shd w:fill="D9EAF7"/>
            <w:vAlign w:val="center"/>
          </w:tcPr>
          <w:p>
            <w:r>
              <w:t>Evidence produced</w:t>
            </w:r>
          </w:p>
        </w:tc>
      </w:tr>
      <w:tr>
        <w:tc>
          <w:tcPr>
            <w:tcW w:type="dxa" w:w="2160"/>
            <w:vAlign w:val="top"/>
          </w:tcPr>
          <w:p>
            <w:r>
              <w:t>A – In-domain</w:t>
            </w:r>
          </w:p>
        </w:tc>
        <w:tc>
          <w:tcPr>
            <w:tcW w:type="dxa" w:w="5184"/>
            <w:vAlign w:val="top"/>
          </w:tcPr>
          <w:p>
            <w:r>
              <w:t>Train/validate/test using leakage-safe temporal or battery-level splits</w:t>
            </w:r>
          </w:p>
        </w:tc>
        <w:tc>
          <w:tcPr>
            <w:tcW w:type="dxa" w:w="2736"/>
            <w:vAlign w:val="top"/>
          </w:tcPr>
          <w:p>
            <w:r>
              <w:t>Baseline SoC/SoH/RUL accuracy.</w:t>
            </w:r>
          </w:p>
        </w:tc>
      </w:tr>
      <w:tr>
        <w:tc>
          <w:tcPr>
            <w:tcW w:type="dxa" w:w="2160"/>
            <w:vAlign w:val="top"/>
          </w:tcPr>
          <w:p>
            <w:r>
              <w:t>B – Cross-domain</w:t>
            </w:r>
          </w:p>
        </w:tc>
        <w:tc>
          <w:tcPr>
            <w:tcW w:type="dxa" w:w="5184"/>
            <w:vAlign w:val="top"/>
          </w:tcPr>
          <w:p>
            <w:r>
              <w:t>Train on NASA; test on CALCE or another external dataset without adaptation</w:t>
            </w:r>
          </w:p>
        </w:tc>
        <w:tc>
          <w:tcPr>
            <w:tcW w:type="dxa" w:w="2736"/>
            <w:vAlign w:val="top"/>
          </w:tcPr>
          <w:p>
            <w:r>
              <w:t>Measured domain-performance degradation.</w:t>
            </w:r>
          </w:p>
        </w:tc>
      </w:tr>
      <w:tr>
        <w:tc>
          <w:tcPr>
            <w:tcW w:type="dxa" w:w="2160"/>
            <w:vAlign w:val="top"/>
          </w:tcPr>
          <w:p>
            <w:r>
              <w:t>C – Incomplete data</w:t>
            </w:r>
          </w:p>
        </w:tc>
        <w:tc>
          <w:tcPr>
            <w:tcW w:type="dxa" w:w="5184"/>
            <w:vAlign w:val="top"/>
          </w:tcPr>
          <w:p>
            <w:r>
              <w:t>Mask 10%, 30% and 50% of selected observations under controlled scenarios</w:t>
            </w:r>
          </w:p>
        </w:tc>
        <w:tc>
          <w:tcPr>
            <w:tcW w:type="dxa" w:w="2736"/>
            <w:vAlign w:val="top"/>
          </w:tcPr>
          <w:p>
            <w:r>
              <w:t>Effect of incomplete data on accuracy and uncertainty.</w:t>
            </w:r>
          </w:p>
        </w:tc>
      </w:tr>
      <w:tr>
        <w:tc>
          <w:tcPr>
            <w:tcW w:type="dxa" w:w="2160"/>
            <w:vAlign w:val="top"/>
          </w:tcPr>
          <w:p>
            <w:r>
              <w:t>D – Adaptation</w:t>
            </w:r>
          </w:p>
        </w:tc>
        <w:tc>
          <w:tcPr>
            <w:tcW w:type="dxa" w:w="5184"/>
            <w:vAlign w:val="top"/>
          </w:tcPr>
          <w:p>
            <w:r>
              <w:t>Apply residual calibration/fine-tuning using limited target-domain data; test on held-out target data</w:t>
            </w:r>
          </w:p>
        </w:tc>
        <w:tc>
          <w:tcPr>
            <w:tcW w:type="dxa" w:w="2736"/>
            <w:vAlign w:val="top"/>
          </w:tcPr>
          <w:p>
            <w:r>
              <w:t>Before/after adaptation and gap reduction.</w:t>
            </w:r>
          </w:p>
        </w:tc>
      </w:tr>
      <w:tr>
        <w:tc>
          <w:tcPr>
            <w:tcW w:type="dxa" w:w="2160"/>
            <w:vAlign w:val="top"/>
          </w:tcPr>
          <w:p>
            <w:r>
              <w:t>E – Simulation fidelity</w:t>
            </w:r>
          </w:p>
        </w:tc>
        <w:tc>
          <w:tcPr>
            <w:tcW w:type="dxa" w:w="5184"/>
            <w:vAlign w:val="top"/>
          </w:tcPr>
          <w:p>
            <w:r>
              <w:t>Compare ECM trajectories with measured voltage/SoC behaviour</w:t>
            </w:r>
          </w:p>
        </w:tc>
        <w:tc>
          <w:tcPr>
            <w:tcW w:type="dxa" w:w="2736"/>
            <w:vAlign w:val="top"/>
          </w:tcPr>
          <w:p>
            <w:r>
              <w:t>Simulation-to-measurement error.</w:t>
            </w:r>
          </w:p>
        </w:tc>
      </w:tr>
      <w:tr>
        <w:tc>
          <w:tcPr>
            <w:tcW w:type="dxa" w:w="2160"/>
            <w:vAlign w:val="top"/>
          </w:tcPr>
          <w:p>
            <w:r>
              <w:t>F – Uncertainty</w:t>
            </w:r>
          </w:p>
        </w:tc>
        <w:tc>
          <w:tcPr>
            <w:tcW w:type="dxa" w:w="5184"/>
            <w:vAlign w:val="top"/>
          </w:tcPr>
          <w:p>
            <w:r>
              <w:t>Evaluate interval coverage and width</w:t>
            </w:r>
          </w:p>
        </w:tc>
        <w:tc>
          <w:tcPr>
            <w:tcW w:type="dxa" w:w="2736"/>
            <w:vAlign w:val="top"/>
          </w:tcPr>
          <w:p>
            <w:r>
              <w:t>Whether reported intervals are calibrated.</w:t>
            </w:r>
          </w:p>
        </w:tc>
      </w:tr>
      <w:tr>
        <w:tc>
          <w:tcPr>
            <w:tcW w:type="dxa" w:w="2160"/>
            <w:vAlign w:val="top"/>
          </w:tcPr>
          <w:p>
            <w:r>
              <w:t>G – Decision</w:t>
            </w:r>
          </w:p>
        </w:tc>
        <w:tc>
          <w:tcPr>
            <w:tcW w:type="dxa" w:w="5184"/>
            <w:vAlign w:val="top"/>
          </w:tcPr>
          <w:p>
            <w:r>
              <w:t>Compare baseline policy with health/reliability-aware policy in simulation</w:t>
            </w:r>
          </w:p>
        </w:tc>
        <w:tc>
          <w:tcPr>
            <w:tcW w:type="dxa" w:w="2736"/>
            <w:vAlign w:val="top"/>
          </w:tcPr>
          <w:p>
            <w:r>
              <w:t>Energy, degradation proxy, cost and constraint violations.</w:t>
            </w:r>
          </w:p>
        </w:tc>
      </w:tr>
    </w:tbl>
    <w:p/>
    <w:p>
      <w:pPr>
        <w:pStyle w:val="Heading1"/>
      </w:pPr>
      <w:r>
        <w:t>24. Metrics</w:t>
      </w:r>
    </w:p>
    <w:p>
      <w:pPr>
        <w:pStyle w:val="ListBullet"/>
      </w:pPr>
      <w:r>
        <w:t>SoC/SoH: MAE, RMSE and R² where appropriate.</w:t>
      </w:r>
    </w:p>
    <w:p>
      <w:pPr>
        <w:pStyle w:val="ListBullet"/>
      </w:pPr>
      <w:r>
        <w:t>RUL: MAE/RMSE in cycles and early-prediction error.</w:t>
      </w:r>
    </w:p>
    <w:p>
      <w:pPr>
        <w:pStyle w:val="ListBullet"/>
      </w:pPr>
      <w:r>
        <w:t>Cross-domain robustness: target-domain error increase relative to source-domain performance.</w:t>
      </w:r>
    </w:p>
    <w:p>
      <w:pPr>
        <w:pStyle w:val="ListBullet"/>
      </w:pPr>
      <w:r>
        <w:t>Simulation fidelity: voltage/SoC/temperature error where corresponding measurements exist.</w:t>
      </w:r>
    </w:p>
    <w:p>
      <w:pPr>
        <w:pStyle w:val="ListBullet"/>
      </w:pPr>
      <w:r>
        <w:t>Uncertainty: coverage, calibration error and interval width.</w:t>
      </w:r>
    </w:p>
    <w:p>
      <w:pPr>
        <w:pStyle w:val="ListBullet"/>
      </w:pPr>
      <w:r>
        <w:t>Adaptation: before-versus-after target-domain error and whether source-domain performance is preserved.</w:t>
      </w:r>
    </w:p>
    <w:p>
      <w:pPr>
        <w:pStyle w:val="ListBullet"/>
      </w:pPr>
      <w:r>
        <w:t>Decision quality: energy delivered, operating cost when price data exists, degradation proxy and constraint violations.</w:t>
      </w:r>
    </w:p>
    <w:p>
      <w:r>
        <w:t>No metric should be reported without stating the dataset, split, prediction horizon, EOL definition and data availability condition.</w:t>
      </w:r>
    </w:p>
    <w:p>
      <w:pPr>
        <w:pStyle w:val="Heading1"/>
      </w:pPr>
      <w:r>
        <w:t>25. Phase-Wise MVP Implementation Plan</w:t>
      </w:r>
    </w:p>
    <w:p>
      <w:pPr>
        <w:pStyle w:val="Heading2"/>
      </w:pPr>
      <w:r>
        <w:t>Phase 1 – Data Foundation</w:t>
      </w:r>
    </w:p>
    <w:p>
      <w:r>
        <w:t>Ingest NASA and CALCE/Oxford data; identify compatible signals; standardize units; segment cycles; create leakage-safe splits; build data-quality indicators.</w:t>
      </w:r>
    </w:p>
    <w:p>
      <w:pPr>
        <w:pStyle w:val="Heading2"/>
      </w:pPr>
      <w:r>
        <w:t>Phase 2 – Baseline Health Intelligence</w:t>
      </w:r>
    </w:p>
    <w:p>
      <w:r>
        <w:t>Implement Coulomb-counting SoC baseline + XGBoost correction; GRU SoH; degradation trend; GRU future trajectory + EOL crossing for RUL.</w:t>
      </w:r>
    </w:p>
    <w:p>
      <w:pPr>
        <w:pStyle w:val="Heading2"/>
      </w:pPr>
      <w:r>
        <w:t>Phase 3 – Incomplete-Data Engine</w:t>
      </w:r>
    </w:p>
    <w:p>
      <w:r>
        <w:t>Add missingness masks, controlled masking experiments, partial-cycle features and data-completeness reporting.</w:t>
      </w:r>
    </w:p>
    <w:p>
      <w:pPr>
        <w:pStyle w:val="Heading2"/>
      </w:pPr>
      <w:r>
        <w:t>Phase 4 – Physics Reference</w:t>
      </w:r>
    </w:p>
    <w:p>
      <w:r>
        <w:t>Implement and calibrate a simple ECM; compare simulated voltage/SoC trajectories against measurements.</w:t>
      </w:r>
    </w:p>
    <w:p>
      <w:pPr>
        <w:pStyle w:val="Heading2"/>
      </w:pPr>
      <w:r>
        <w:t>Phase 5 – Verification and Domain Shift</w:t>
      </w:r>
    </w:p>
    <w:p>
      <w:r>
        <w:t>Build AI-vs-measurement, simulation-vs-measurement and AI-vs-simulation comparisons; add Isolation Forest domain indicator.</w:t>
      </w:r>
    </w:p>
    <w:p>
      <w:pPr>
        <w:pStyle w:val="Heading2"/>
      </w:pPr>
      <w:r>
        <w:t>Phase 6 – Calibration and Uncertainty</w:t>
      </w:r>
    </w:p>
    <w:p>
      <w:r>
        <w:t>Add residual correction for justified target-domain adaptation; add quantile RUL prediction and interval evaluation.</w:t>
      </w:r>
    </w:p>
    <w:p>
      <w:pPr>
        <w:pStyle w:val="Heading2"/>
      </w:pPr>
      <w:r>
        <w:t>Phase 7 – Reliability and Explainability</w:t>
      </w:r>
    </w:p>
    <w:p>
      <w:r>
        <w:t>Create the transparent reliability/gap metric, SHAP explanations for supported models and reason codes for recommendations.</w:t>
      </w:r>
    </w:p>
    <w:p>
      <w:pPr>
        <w:pStyle w:val="Heading2"/>
      </w:pPr>
      <w:r>
        <w:t>Phase 8 – BESS Decision Engine</w:t>
      </w:r>
    </w:p>
    <w:p>
      <w:r>
        <w:t>Implement constrained charge/discharge optimization and compare against a baseline operating policy.</w:t>
      </w:r>
    </w:p>
    <w:p>
      <w:pPr>
        <w:pStyle w:val="Heading2"/>
      </w:pPr>
      <w:r>
        <w:t>Phase 9 – Dashboard and Demonstration</w:t>
      </w:r>
    </w:p>
    <w:p>
      <w:r>
        <w:t>Build the React dashboard showing data quality, SoC, SoH, RUL, uncertainty, domain shift, evidence comparison, reliability and recommendation.</w:t>
      </w:r>
    </w:p>
    <w:p>
      <w:pPr>
        <w:pStyle w:val="Heading1"/>
      </w:pPr>
      <w:r>
        <w:t>26. What the MVP Must NOT Claim</w:t>
      </w:r>
    </w:p>
    <w:p>
      <w:pPr>
        <w:pStyle w:val="ListBullet"/>
      </w:pPr>
      <w:r>
        <w:t>Do not claim that AI-based SoC/SoH/RUL prediction is new.</w:t>
      </w:r>
    </w:p>
    <w:p>
      <w:pPr>
        <w:pStyle w:val="ListBullet"/>
      </w:pPr>
      <w:r>
        <w:t>Do not claim that digital twins are new.</w:t>
      </w:r>
    </w:p>
    <w:p>
      <w:pPr>
        <w:pStyle w:val="ListBullet"/>
      </w:pPr>
      <w:r>
        <w:t>Do not claim that EMD+LSTM/B-LSTM is our innovation.</w:t>
      </w:r>
    </w:p>
    <w:p>
      <w:pPr>
        <w:pStyle w:val="ListBullet"/>
      </w:pPr>
      <w:r>
        <w:t>Do not claim that uncertainty quantification for battery RUL is new.</w:t>
      </w:r>
    </w:p>
    <w:p>
      <w:pPr>
        <w:pStyle w:val="ListBullet"/>
      </w:pPr>
      <w:r>
        <w:t>Do not claim that partial-cycle health prediction is new.</w:t>
      </w:r>
    </w:p>
    <w:p>
      <w:pPr>
        <w:pStyle w:val="ListBullet"/>
      </w:pPr>
      <w:r>
        <w:t>Do not claim that domain adaptation or residual correction is new.</w:t>
      </w:r>
    </w:p>
    <w:p>
      <w:pPr>
        <w:pStyle w:val="ListBullet"/>
      </w:pPr>
      <w:r>
        <w:t>Do not call public laboratory datasets “real-time physical BESS data.”</w:t>
      </w:r>
    </w:p>
    <w:p>
      <w:pPr>
        <w:pStyle w:val="ListBullet"/>
      </w:pPr>
      <w:r>
        <w:t>Do not present the project Reliability/Gap Score as an industry or scientific standard.</w:t>
      </w:r>
    </w:p>
    <w:p>
      <w:pPr>
        <w:pStyle w:val="ListBullet"/>
      </w:pPr>
      <w:r>
        <w:t>Do not fabricate missing sensor values and then describe them as measured values.</w:t>
      </w:r>
    </w:p>
    <w:p>
      <w:pPr>
        <w:pStyle w:val="ListBullet"/>
      </w:pPr>
      <w:r>
        <w:t>Do not claim real-world operational safety validation without hardware-in-the-loop or physical BESS testing.</w:t>
      </w:r>
    </w:p>
    <w:p>
      <w:pPr>
        <w:pStyle w:val="ListBullet"/>
      </w:pPr>
      <w:r>
        <w:t>Do not report a single high accuracy number from a random split as proof of real-world generalization.</w:t>
      </w:r>
    </w:p>
    <w:p>
      <w:pPr>
        <w:pStyle w:val="Heading1"/>
      </w:pPr>
      <w:r>
        <w:t>27. Anti-Hallucination and Scientific-Integrity Rules for the System</w:t>
      </w:r>
    </w:p>
    <w:p>
      <w:r>
        <w:t>The system itself should be designed so that it does not present unsupported predictions as facts. This is a software reliability requirement, not merely a documentation rule.</w:t>
      </w:r>
    </w:p>
    <w:tbl>
      <w:tblPr>
        <w:tblStyle w:val="TableGrid"/>
        <w:tblW w:type="auto" w:w="0"/>
        <w:jc w:val="center"/>
        <w:tblLook w:firstColumn="1" w:firstRow="1" w:lastColumn="0" w:lastRow="0" w:noHBand="0" w:noVBand="1" w:val="04A0"/>
      </w:tblPr>
      <w:tblGrid>
        <w:gridCol w:w="5112"/>
        <w:gridCol w:w="5112"/>
      </w:tblGrid>
      <w:tr>
        <w:tc>
          <w:tcPr>
            <w:tcW w:type="dxa" w:w="3456"/>
            <w:shd w:fill="D9EAF7"/>
            <w:vAlign w:val="center"/>
          </w:tcPr>
          <w:p>
            <w:r>
              <w:t>Situation</w:t>
            </w:r>
          </w:p>
        </w:tc>
        <w:tc>
          <w:tcPr>
            <w:tcW w:type="dxa" w:w="6624"/>
            <w:shd w:fill="D9EAF7"/>
            <w:vAlign w:val="center"/>
          </w:tcPr>
          <w:p>
            <w:r>
              <w:t>System behaviour</w:t>
            </w:r>
          </w:p>
        </w:tc>
      </w:tr>
      <w:tr>
        <w:tc>
          <w:tcPr>
            <w:tcW w:type="dxa" w:w="3456"/>
            <w:vAlign w:val="top"/>
          </w:tcPr>
          <w:p>
            <w:r>
              <w:t>Input missing</w:t>
            </w:r>
          </w:p>
        </w:tc>
        <w:tc>
          <w:tcPr>
            <w:tcW w:type="dxa" w:w="6624"/>
            <w:vAlign w:val="top"/>
          </w:tcPr>
          <w:p>
            <w:r>
              <w:t>Mark it unavailable; do not silently replace it with a physically meaningful value.</w:t>
            </w:r>
          </w:p>
        </w:tc>
      </w:tr>
      <w:tr>
        <w:tc>
          <w:tcPr>
            <w:tcW w:type="dxa" w:w="3456"/>
            <w:vAlign w:val="top"/>
          </w:tcPr>
          <w:p>
            <w:r>
              <w:t>Prediction outside validated domain</w:t>
            </w:r>
          </w:p>
        </w:tc>
        <w:tc>
          <w:tcPr>
            <w:tcW w:type="dxa" w:w="6624"/>
            <w:vAlign w:val="top"/>
          </w:tcPr>
          <w:p>
            <w:r>
              <w:t>Flag domain shift and reduce reliability.</w:t>
            </w:r>
          </w:p>
        </w:tc>
      </w:tr>
      <w:tr>
        <w:tc>
          <w:tcPr>
            <w:tcW w:type="dxa" w:w="3456"/>
            <w:vAlign w:val="top"/>
          </w:tcPr>
          <w:p>
            <w:r>
              <w:t>Wide uncertainty interval</w:t>
            </w:r>
          </w:p>
        </w:tc>
        <w:tc>
          <w:tcPr>
            <w:tcW w:type="dxa" w:w="6624"/>
            <w:vAlign w:val="top"/>
          </w:tcPr>
          <w:p>
            <w:r>
              <w:t>Show the interval and avoid presenting the median as certain.</w:t>
            </w:r>
          </w:p>
        </w:tc>
      </w:tr>
      <w:tr>
        <w:tc>
          <w:tcPr>
            <w:tcW w:type="dxa" w:w="3456"/>
            <w:vAlign w:val="top"/>
          </w:tcPr>
          <w:p>
            <w:r>
              <w:t>AI and measurement disagree</w:t>
            </w:r>
          </w:p>
        </w:tc>
        <w:tc>
          <w:tcPr>
            <w:tcW w:type="dxa" w:w="6624"/>
            <w:vAlign w:val="top"/>
          </w:tcPr>
          <w:p>
            <w:r>
              <w:t>Trigger verification warning; do not automatically override measurement.</w:t>
            </w:r>
          </w:p>
        </w:tc>
      </w:tr>
      <w:tr>
        <w:tc>
          <w:tcPr>
            <w:tcW w:type="dxa" w:w="3456"/>
            <w:vAlign w:val="top"/>
          </w:tcPr>
          <w:p>
            <w:r>
              <w:t>Simulation and measurement disagree</w:t>
            </w:r>
          </w:p>
        </w:tc>
        <w:tc>
          <w:tcPr>
            <w:tcW w:type="dxa" w:w="6624"/>
            <w:vAlign w:val="top"/>
          </w:tcPr>
          <w:p>
            <w:r>
              <w:t>Flag simulator/model mismatch.</w:t>
            </w:r>
          </w:p>
        </w:tc>
      </w:tr>
      <w:tr>
        <w:tc>
          <w:tcPr>
            <w:tcW w:type="dxa" w:w="3456"/>
            <w:vAlign w:val="top"/>
          </w:tcPr>
          <w:p>
            <w:r>
              <w:t>No target-domain labels</w:t>
            </w:r>
          </w:p>
        </w:tc>
        <w:tc>
          <w:tcPr>
            <w:tcW w:type="dxa" w:w="6624"/>
            <w:vAlign w:val="top"/>
          </w:tcPr>
          <w:p>
            <w:r>
              <w:t>Do not claim that adaptation improved accuracy; report adaptation as unavailable.</w:t>
            </w:r>
          </w:p>
        </w:tc>
      </w:tr>
      <w:tr>
        <w:tc>
          <w:tcPr>
            <w:tcW w:type="dxa" w:w="3456"/>
            <w:vAlign w:val="top"/>
          </w:tcPr>
          <w:p>
            <w:r>
              <w:t>No live hardware</w:t>
            </w:r>
          </w:p>
        </w:tc>
        <w:tc>
          <w:tcPr>
            <w:tcW w:type="dxa" w:w="6624"/>
            <w:vAlign w:val="top"/>
          </w:tcPr>
          <w:p>
            <w:r>
              <w:t>Label outputs as dataset/simulation-based rather than real-time BESS measurements.</w:t>
            </w:r>
          </w:p>
        </w:tc>
      </w:tr>
      <w:tr>
        <w:tc>
          <w:tcPr>
            <w:tcW w:type="dxa" w:w="3456"/>
            <w:vAlign w:val="top"/>
          </w:tcPr>
          <w:p>
            <w:r>
              <w:t>Insufficient evidence</w:t>
            </w:r>
          </w:p>
        </w:tc>
        <w:tc>
          <w:tcPr>
            <w:tcW w:type="dxa" w:w="6624"/>
            <w:vAlign w:val="top"/>
          </w:tcPr>
          <w:p>
            <w:r>
              <w:t>Return “insufficient evidence / low confidence” rather than inventing a value.</w:t>
            </w:r>
          </w:p>
        </w:tc>
      </w:tr>
      <w:tr>
        <w:tc>
          <w:tcPr>
            <w:tcW w:type="dxa" w:w="3456"/>
            <w:vAlign w:val="top"/>
          </w:tcPr>
          <w:p>
            <w:r>
              <w:t>Recommendation constraint violated</w:t>
            </w:r>
          </w:p>
        </w:tc>
        <w:tc>
          <w:tcPr>
            <w:tcW w:type="dxa" w:w="6624"/>
            <w:vAlign w:val="top"/>
          </w:tcPr>
          <w:p>
            <w:r>
              <w:t>Reject the action and select a feasible alternative.</w:t>
            </w:r>
          </w:p>
        </w:tc>
      </w:tr>
    </w:tbl>
    <w:p/>
    <w:p>
      <w:pPr>
        <w:pStyle w:val="Heading1"/>
      </w:pPr>
      <w:r>
        <w:t>28. Research Evidence and Positioning</w:t>
      </w:r>
    </w:p>
    <w:p>
      <w:r>
        <w:t>The selected architecture is intentionally built from established research components while avoiding claims of algorithmic novelty where the literature already demonstrates the technique.</w:t>
      </w:r>
    </w:p>
    <w:p>
      <w:r>
        <w:t>Cheng, Wang and He (2021) combine empirical mode decomposition with backpropagation LSTM models for SOH estimation and RUL prediction, using current, voltage and capacity-related information. This confirms that EMD + LSTM/B-LSTM should be treated as existing work rather than reproduced as our novelty.</w:t>
      </w:r>
    </w:p>
    <w:p>
      <w:r>
        <w:t>Rahman and Lu (2020/2021 publication) combine LSTM and Gaussian-process regression for future capacity/RUL prediction with uncertainty quantification. This supports our decision to report RUL intervals rather than a point estimate alone.</w:t>
      </w:r>
    </w:p>
    <w:p>
      <w:r>
        <w:t>Recent digital-twin reviews describe digital twins as an established battery-health research area and identify generalization, complex operating conditions and pack inconsistencies as continuing challenges. Our system therefore uses a lightweight physics model as a verification reference rather than claiming a new digital-twin architecture.</w:t>
      </w:r>
    </w:p>
    <w:p>
      <w:r>
        <w:t>Recent 2026 research perspectives continue to identify sparse data, cross-condition generalization and practical deployment constraints as open problems. These findings support the project's focus on incomplete data, external-domain testing and reliability-aware deployment.</w:t>
      </w:r>
    </w:p>
    <w:p>
      <w:pPr>
        <w:pStyle w:val="Heading1"/>
      </w:pPr>
      <w:r>
        <w:t>29. Reference List</w:t>
      </w:r>
    </w:p>
    <w:p>
      <w:pPr>
        <w:pStyle w:val="ListNumber"/>
      </w:pPr>
      <w:r>
        <w:t>Cheng, G., Wang, X., &amp; He, Y. (2021). Remaining useful life and state of health prediction for lithium batteries based on empirical mode decomposition and a long and short memory neural network. Energy, 232, 121022. DOI: 10.1016/j.energy.2021.121022.</w:t>
      </w:r>
    </w:p>
    <w:p>
      <w:pPr>
        <w:pStyle w:val="ListNumber"/>
      </w:pPr>
      <w:r>
        <w:t>Rahman, M., Lu, H., et al. (2020; published in IEEE Transactions on Industrial Electronics, 2021). A Data-Driven Approach With Uncertainty Quantification for Predicting Future Capacities and Remaining Useful Life of Lithium-ion Battery. DOI: 10.1109/TIE.2020.2973876.</w:t>
      </w:r>
    </w:p>
    <w:p>
      <w:pPr>
        <w:pStyle w:val="ListNumber"/>
      </w:pPr>
      <w:r>
        <w:t>Wang, Y., Xiao, J., Soo, Y.-Y., Chen, Y., &amp; Chen, Z. (2025). Digital twins for battery health prognosis: A comprehensive review of recent advances and challenges. eTransportation, 26, 100489.</w:t>
      </w:r>
    </w:p>
    <w:p>
      <w:pPr>
        <w:pStyle w:val="ListNumber"/>
      </w:pPr>
      <w:r>
        <w:t>Integration of digital twin technologies for state estimation in electric vehicle batteries: A review (2025). Reliability Engineering &amp; System Safety / related review record. DOI: 10.1016/j.rineng.2025.106858.</w:t>
      </w:r>
    </w:p>
    <w:p>
      <w:pPr>
        <w:pStyle w:val="ListNumber"/>
      </w:pPr>
      <w:r>
        <w:t>Recent 2026 perspective: Data-Driven Pathways to a Self-Improving Battery Health Ecosystem: A Perspective on State of Health and Remaining Useful Life Prediction. ACS Applied Energy Materials, 9(8), 4599–4609. DOI: 10.1021/acsaem.6c00644.</w:t>
      </w:r>
    </w:p>
    <w:p>
      <w:pPr>
        <w:pStyle w:val="ListNumber"/>
      </w:pPr>
      <w:r>
        <w:t>2026 review: Transfer learning for state-of-health prognostics of lithium-ion batteries: A survey. Journal of Energy Storage, 164, 122169.</w:t>
      </w:r>
    </w:p>
    <w:p>
      <w:pPr>
        <w:pStyle w:val="ListNumber"/>
      </w:pPr>
      <w:r>
        <w:t>2026 review: Filtering techniques for lithium-ion battery state of health and remaining useful life prediction. npj Thermal Science and Engineering, 1, Article 10.</w:t>
      </w:r>
    </w:p>
    <w:p>
      <w:pPr>
        <w:pStyle w:val="Heading1"/>
      </w:pPr>
      <w:r>
        <w:t>30. Final Proposed System Statement</w:t>
      </w:r>
    </w:p>
    <w:p>
      <w:r>
        <w:t>We propose a reliability-aware BESS intelligence platform that estimates SoC, SoH, degradation and RUL from complete or incomplete battery observations; verifies learned predictions against measured behaviour and a physics-based battery reference; detects operating-domain shift and data-quality limitations; calibrates predictions when sufficient target-domain evidence is available; quantifies uncertainty; explains the main factors affecting the prediction; and converts the validated battery state into constrained, degradation-aware charging and discharging recommendations. The project does not claim that any individual algorithmic component is new. Its defensible contribution is the integrated evidence-to-action workflow and its experimental evaluation under incomplete data, cross-domain conditions and uncertainty.</w:t>
      </w:r>
    </w:p>
    <w:p>
      <w:pPr>
        <w:pStyle w:val="Heading1"/>
      </w:pPr>
      <w:r>
        <w:t>31. One-Line SIH Pitch</w:t>
      </w:r>
    </w:p>
    <w:p>
      <w:r>
        <w:rPr>
          <w:b/>
        </w:rPr>
        <w:t>“Don’t just predict battery health—verify whether the prediction can be trusted, quantify what is uncertain, and act accordingly.”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