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560C" w:rsidRDefault="00E7560C">
      <w:pPr>
        <w:spacing w:line="480" w:lineRule="auto"/>
        <w:jc w:val="center"/>
        <w:rPr>
          <w:rFonts w:ascii="Times New Roman" w:eastAsia="Times New Roman" w:hAnsi="Times New Roman" w:cs="Times New Roman"/>
          <w:sz w:val="24"/>
          <w:szCs w:val="24"/>
        </w:rPr>
      </w:pPr>
    </w:p>
    <w:p w14:paraId="00000002" w14:textId="77777777" w:rsidR="00E7560C" w:rsidRDefault="00E7560C">
      <w:pPr>
        <w:spacing w:line="480" w:lineRule="auto"/>
        <w:jc w:val="center"/>
        <w:rPr>
          <w:rFonts w:ascii="Times New Roman" w:eastAsia="Times New Roman" w:hAnsi="Times New Roman" w:cs="Times New Roman"/>
          <w:sz w:val="24"/>
          <w:szCs w:val="24"/>
        </w:rPr>
      </w:pPr>
    </w:p>
    <w:p w14:paraId="00000003" w14:textId="77777777" w:rsidR="00E7560C" w:rsidRDefault="00E7560C">
      <w:pPr>
        <w:spacing w:line="480" w:lineRule="auto"/>
        <w:jc w:val="center"/>
        <w:rPr>
          <w:rFonts w:ascii="Times New Roman" w:eastAsia="Times New Roman" w:hAnsi="Times New Roman" w:cs="Times New Roman"/>
          <w:sz w:val="24"/>
          <w:szCs w:val="24"/>
        </w:rPr>
      </w:pPr>
    </w:p>
    <w:p w14:paraId="00000004" w14:textId="77777777" w:rsidR="00E7560C" w:rsidRDefault="00E7560C">
      <w:pPr>
        <w:spacing w:line="480" w:lineRule="auto"/>
        <w:jc w:val="center"/>
        <w:rPr>
          <w:rFonts w:ascii="Times New Roman" w:eastAsia="Times New Roman" w:hAnsi="Times New Roman" w:cs="Times New Roman"/>
          <w:sz w:val="24"/>
          <w:szCs w:val="24"/>
        </w:rPr>
      </w:pPr>
    </w:p>
    <w:p w14:paraId="00000005" w14:textId="77777777" w:rsidR="00E7560C" w:rsidRDefault="00E7560C">
      <w:pPr>
        <w:spacing w:line="480" w:lineRule="auto"/>
        <w:jc w:val="center"/>
        <w:rPr>
          <w:rFonts w:ascii="Times New Roman" w:eastAsia="Times New Roman" w:hAnsi="Times New Roman" w:cs="Times New Roman"/>
          <w:sz w:val="24"/>
          <w:szCs w:val="24"/>
        </w:rPr>
      </w:pPr>
    </w:p>
    <w:p w14:paraId="00000006" w14:textId="77777777" w:rsidR="00E7560C" w:rsidRDefault="00E7560C">
      <w:pPr>
        <w:spacing w:line="480" w:lineRule="auto"/>
        <w:jc w:val="center"/>
        <w:rPr>
          <w:rFonts w:ascii="Times New Roman" w:eastAsia="Times New Roman" w:hAnsi="Times New Roman" w:cs="Times New Roman"/>
          <w:sz w:val="24"/>
          <w:szCs w:val="24"/>
        </w:rPr>
      </w:pPr>
    </w:p>
    <w:p w14:paraId="00000007" w14:textId="77777777" w:rsidR="00E7560C" w:rsidRDefault="00E7560C">
      <w:pPr>
        <w:spacing w:line="480" w:lineRule="auto"/>
        <w:jc w:val="center"/>
        <w:rPr>
          <w:rFonts w:ascii="Times New Roman" w:eastAsia="Times New Roman" w:hAnsi="Times New Roman" w:cs="Times New Roman"/>
          <w:sz w:val="24"/>
          <w:szCs w:val="24"/>
        </w:rPr>
      </w:pPr>
    </w:p>
    <w:p w14:paraId="00000008" w14:textId="77777777" w:rsidR="00E7560C"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Salem Witch Trials: Fear, Superstition, and Justice</w:t>
      </w:r>
    </w:p>
    <w:p w14:paraId="00000009" w14:textId="77777777" w:rsidR="00E7560C"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p>
    <w:p w14:paraId="0000000A" w14:textId="77777777" w:rsidR="00E7560C"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 Research &amp; Technical Writer</w:t>
      </w:r>
    </w:p>
    <w:p w14:paraId="0000000B" w14:textId="77777777" w:rsidR="00E7560C"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17, 2026.</w:t>
      </w:r>
      <w:r>
        <w:br w:type="page"/>
      </w:r>
    </w:p>
    <w:p w14:paraId="0000000C" w14:textId="77777777" w:rsidR="00E7560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0" w:name="_a3f9wgngp2gm" w:colFirst="0" w:colLast="0"/>
      <w:bookmarkEnd w:id="0"/>
      <w:r>
        <w:rPr>
          <w:rFonts w:ascii="Times New Roman" w:eastAsia="Times New Roman" w:hAnsi="Times New Roman" w:cs="Times New Roman"/>
          <w:b/>
          <w:bCs/>
          <w:sz w:val="24"/>
          <w:szCs w:val="24"/>
        </w:rPr>
        <w:lastRenderedPageBreak/>
        <w:t>I. Abstract</w:t>
      </w:r>
    </w:p>
    <w:p w14:paraId="0000000D"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Salem Witch Trials of 1692 stand among the most infamous episodes of mass hysteria and judicial failure in early American history. Originating in Salem Village, Massachusetts, the trials resulted in the accusation of more than 200 individuals and the execution of 20 people based largely on unsubstantiated claims, religious fears, and spectral evidence.</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Deeply rooted in Puritan beliefs, social divisions, political uncertainty, and widespread fear of the Devil, the events exposed the dangers of allowing superstition and prejudice to influence legal proceedings. The trials not only devastated families and communities but also prompted public reflection on the importance of due process and reliable evidence in the justice system. Today, the Salem Witch Trials continue to serve as a powerful historical case study, illustrating how fear, misinformation, and societal pressures can undermine justice and human rights.</w:t>
      </w:r>
      <w:r>
        <w:rPr>
          <w:rFonts w:ascii="Times New Roman" w:eastAsia="Times New Roman" w:hAnsi="Times New Roman" w:cs="Times New Roman"/>
          <w:sz w:val="24"/>
          <w:szCs w:val="24"/>
          <w:vertAlign w:val="superscript"/>
        </w:rPr>
        <w:footnoteReference w:id="2"/>
      </w:r>
    </w:p>
    <w:p w14:paraId="0000000E" w14:textId="77777777" w:rsidR="00E7560C" w:rsidRDefault="00E7560C">
      <w:pPr>
        <w:spacing w:before="240" w:after="240" w:line="480" w:lineRule="auto"/>
        <w:rPr>
          <w:rFonts w:ascii="Times New Roman" w:eastAsia="Times New Roman" w:hAnsi="Times New Roman" w:cs="Times New Roman"/>
          <w:sz w:val="24"/>
          <w:szCs w:val="24"/>
        </w:rPr>
      </w:pPr>
    </w:p>
    <w:p w14:paraId="0000000F" w14:textId="77777777" w:rsidR="00E7560C" w:rsidRDefault="00000000">
      <w:pPr>
        <w:spacing w:before="240" w:after="240" w:line="480" w:lineRule="auto"/>
        <w:rPr>
          <w:rFonts w:ascii="Times New Roman" w:eastAsia="Times New Roman" w:hAnsi="Times New Roman" w:cs="Times New Roman"/>
          <w:sz w:val="24"/>
          <w:szCs w:val="24"/>
        </w:rPr>
      </w:pPr>
      <w:r>
        <w:br w:type="page"/>
      </w:r>
    </w:p>
    <w:p w14:paraId="00000010" w14:textId="77777777" w:rsidR="00E7560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smhe7q1llh7e" w:colFirst="0" w:colLast="0"/>
      <w:bookmarkEnd w:id="1"/>
      <w:r>
        <w:rPr>
          <w:rFonts w:ascii="Times New Roman" w:eastAsia="Times New Roman" w:hAnsi="Times New Roman" w:cs="Times New Roman"/>
          <w:b/>
          <w:bCs/>
          <w:sz w:val="24"/>
          <w:szCs w:val="24"/>
        </w:rPr>
        <w:lastRenderedPageBreak/>
        <w:t xml:space="preserve">II. </w:t>
      </w:r>
      <w:r>
        <w:rPr>
          <w:rFonts w:ascii="Times New Roman" w:eastAsia="Times New Roman" w:hAnsi="Times New Roman" w:cs="Times New Roman"/>
          <w:b/>
          <w:bCs/>
          <w:sz w:val="22"/>
          <w:szCs w:val="22"/>
        </w:rPr>
        <w:t>Int</w:t>
      </w:r>
      <w:r>
        <w:rPr>
          <w:rFonts w:ascii="Times New Roman" w:eastAsia="Times New Roman" w:hAnsi="Times New Roman" w:cs="Times New Roman"/>
          <w:b/>
          <w:bCs/>
          <w:sz w:val="24"/>
          <w:szCs w:val="24"/>
        </w:rPr>
        <w:t>roduction</w:t>
      </w:r>
    </w:p>
    <w:p w14:paraId="00000011"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1692, Salem Village in colonial Massachusetts became the center of a major witchcraft crisis. What began with unusual behavior among several young girls soon developed into widespread accusations of witchcraft. More than two hundred people were accused, and twenty people were executed during the trials.</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Salem Village was a deeply religious Puritan community. Its residents believed strongly in God, the Devil, and the existence of witchcraft. These beliefs made accusations of supernatural activity especially frightening and encouraged suspicion within the community.</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Social divisions also contributed to the crisis. Conflicts involving religion, property, wealth, and local authority had already created tensions among Salem's residents. When accusations began, these existing disagreements helped fuel further suspicion and hostility.</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The trials eventually involved questionable evidence, including claims that the spirits of accused individuals had attacked their accusers. As fear spread, accusations increased and the legal system failed to protect many of the accused. This paper examines the causes, events, societal influences, and lasting impact of the Salem Witch Trials while exploring their significance in the history of justice and mass hysteria.</w:t>
      </w:r>
      <w:r>
        <w:br w:type="page"/>
      </w:r>
    </w:p>
    <w:p w14:paraId="00000012" w14:textId="77777777" w:rsidR="00E7560C" w:rsidRDefault="00000000">
      <w:pPr>
        <w:pStyle w:val="Heading1"/>
        <w:keepNext w:val="0"/>
        <w:keepLines w:val="0"/>
        <w:spacing w:before="480" w:line="480" w:lineRule="auto"/>
        <w:jc w:val="center"/>
        <w:rPr>
          <w:rFonts w:ascii="Times New Roman" w:eastAsia="Times New Roman" w:hAnsi="Times New Roman" w:cs="Times New Roman"/>
          <w:b/>
          <w:bCs/>
          <w:sz w:val="22"/>
          <w:szCs w:val="22"/>
        </w:rPr>
      </w:pPr>
      <w:bookmarkStart w:id="2" w:name="_ouc0ckcdn52r" w:colFirst="0" w:colLast="0"/>
      <w:bookmarkEnd w:id="2"/>
      <w:r>
        <w:rPr>
          <w:rFonts w:ascii="Times New Roman" w:eastAsia="Times New Roman" w:hAnsi="Times New Roman" w:cs="Times New Roman"/>
          <w:b/>
          <w:bCs/>
          <w:sz w:val="22"/>
          <w:szCs w:val="22"/>
        </w:rPr>
        <w:lastRenderedPageBreak/>
        <w:t>III. Historical Background</w:t>
      </w:r>
    </w:p>
    <w:p w14:paraId="00000013"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Salem Witch Trials took place in 1692 in the Massachusetts Bay Colony, a society strongly shaped by Puritan religion. Puritans believed that their community had a special religious purpose and that the Devil constantly threatened their faith. Witchcraft was considered both a spiritual sin and a serious crime.</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Belief in witchcraft was not unique to Salem. Witch trials had occurred throughout Europe for centuries, and stories of witches, demons, and supernatural forces were widely accepted in colonial America. English laws also treated witchcraft as a criminal offense, influencing the legal system of the Massachusetts colony.</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Salem Village itself was divided by disagreements over religion, property, wealth, and local leadership. The village depended heavily on agriculture, while neighboring Salem Town was becoming an important commercial center. These differences contributed to tensions within the community.</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Religion, social conflict, and fear therefore created an environment in which accusations of witchcraft could spread quickly. When unusual events began occurring in early 1692, many residents interpreted them through the religious beliefs and fears that were already deeply rooted in their society. Understanding this background is essential to explaining why the accusations in Salem developed into a widespread crisis rather than remaining isolated incidents.</w:t>
      </w:r>
    </w:p>
    <w:p w14:paraId="00000014" w14:textId="77777777" w:rsidR="00E7560C" w:rsidRDefault="00E7560C">
      <w:pPr>
        <w:spacing w:before="240" w:after="240" w:line="480" w:lineRule="auto"/>
        <w:jc w:val="both"/>
        <w:rPr>
          <w:rFonts w:ascii="Times New Roman" w:eastAsia="Times New Roman" w:hAnsi="Times New Roman" w:cs="Times New Roman"/>
          <w:b/>
          <w:bCs/>
          <w:sz w:val="24"/>
          <w:szCs w:val="24"/>
        </w:rPr>
      </w:pPr>
    </w:p>
    <w:p w14:paraId="00000015" w14:textId="77777777" w:rsidR="00E7560C" w:rsidRDefault="00E7560C">
      <w:pPr>
        <w:spacing w:before="240" w:after="240" w:line="480" w:lineRule="auto"/>
        <w:jc w:val="center"/>
        <w:rPr>
          <w:rFonts w:ascii="Times New Roman" w:eastAsia="Times New Roman" w:hAnsi="Times New Roman" w:cs="Times New Roman"/>
          <w:sz w:val="24"/>
          <w:szCs w:val="24"/>
        </w:rPr>
      </w:pPr>
    </w:p>
    <w:p w14:paraId="00000017" w14:textId="3079CF30" w:rsidR="00E7560C" w:rsidRDefault="00000000" w:rsidP="007E1ACC">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IV. Causes of the Salem Witch Trials</w:t>
      </w:r>
    </w:p>
    <w:p w14:paraId="00000018"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Salem Witch Trials were caused by a combination of religious beliefs, social tensions, fear, and personal conflicts. Puritan society placed great importance on religion, and many people believed that the Devil could work through individuals to harm the community. This fear made accusations of witchcraft seem believable.</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Social and political divisions within Salem Village also contributed to the crisis. Disputes over property, church leadership, wealth, and local authority had created resentment among residents. Existing conflicts made it easier for accusations to become connected to personal disagreements.</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Fear and mass hysteria further intensified the situation. As more people were accused, the growing number of accusations made the claims appear more credible to the community. Courts also accepted spectral evidence, allowing accusers to claim that the spirits of suspected witches had harmed them.</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Together, religious extremism, social tensions, personal rivalries, political uncertainty, and mass fear created conditions in which suspicion could spread rapidly and eventually lead to imprisonment and execution.</w:t>
      </w:r>
      <w:r>
        <w:br w:type="page"/>
      </w:r>
    </w:p>
    <w:p w14:paraId="00000019" w14:textId="77777777" w:rsidR="00E7560C"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V. Events of the Trials </w:t>
      </w:r>
    </w:p>
    <w:p w14:paraId="0000001A"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crisis began in early 1692 when several girls in Salem Village experienced unexplained physical and emotional symptoms. After claiming that they were being afflicted by supernatural forces, the girls accused several women of witchcraft. Tituba, Sarah Good, and Sarah Osborne became some of the first people formally accused.</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As accusations increased, suspected witches were questioned and examined by local authorities. Some suspects were pressured to confess, while others denied the accusations. Tituba eventually confessed and accused others of participating in witchcraft, contributing to the rapid expansion of the crisis.</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Formal court proceedings began later in 1692. The courts accepted testimony about dreams, visions, and alleged supernatural experiences. This controversial evidence, known as spectral evidence, played an important role in several convictions.</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The trials resulted in numerous imprisonments and executions. Nineteen people were hanged, while Giles Corey died after being subjected to pressing for refusing to enter a plea. In total, twenty people died as a direct result of the witchcraft proceedings.</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By late 1692, public confidence in the trials began to decline. Governor William Phips eventually prohibited further arrests and ended the special court proceedings. The remaining prisoners were gradually released, bringing the major phase of the Salem Witch Trials to an end.</w:t>
      </w:r>
      <w:r>
        <w:rPr>
          <w:rFonts w:ascii="Times New Roman" w:eastAsia="Times New Roman" w:hAnsi="Times New Roman" w:cs="Times New Roman"/>
          <w:sz w:val="24"/>
          <w:szCs w:val="24"/>
          <w:vertAlign w:val="superscript"/>
        </w:rPr>
        <w:footnoteReference w:id="16"/>
      </w:r>
      <w:r>
        <w:br w:type="page"/>
      </w:r>
    </w:p>
    <w:p w14:paraId="0000001B" w14:textId="77777777" w:rsidR="00E7560C"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VI. Consequences and Impact </w:t>
      </w:r>
    </w:p>
    <w:p w14:paraId="0000001C"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Salem Witch Trials had serious consequences for individuals, families, and the wider Massachusetts community. Twenty people were executed, while many others were imprisoned and suffered financial and social losses. The accusations also damaged relationships within the community and left families divided.</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xml:space="preserve"> As the trials ended, doubts about the proceedings grew. Some people who had supported the accusations began to regret their actions. In the years that followed, Massachusetts authorities took steps to reverse convictions and recognize the injustice suffered by the accused.</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The trials also influenced the development of American ideas about justice. The use of unreliable evidence, including spectral testimony, demonstrated the dangers of allowing fear and superstition to influence legal decisions. Later generations increasingly emphasized stronger standards of evidence and fairer legal procedures.</w:t>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The Salem Witch Trials remain historically significant because they demonstrate how fear, social conflict, and religious beliefs can combine to produce persecution. Their legacy continues to remind society of the importance of evidence, fairness, and due process in the administration of justice.</w:t>
      </w:r>
    </w:p>
    <w:p w14:paraId="0000001D" w14:textId="77777777" w:rsidR="00E7560C" w:rsidRDefault="00E7560C">
      <w:pPr>
        <w:spacing w:before="240" w:after="240" w:line="480" w:lineRule="auto"/>
        <w:jc w:val="both"/>
        <w:rPr>
          <w:rFonts w:ascii="Times New Roman" w:eastAsia="Times New Roman" w:hAnsi="Times New Roman" w:cs="Times New Roman"/>
          <w:sz w:val="24"/>
          <w:szCs w:val="24"/>
        </w:rPr>
      </w:pPr>
    </w:p>
    <w:p w14:paraId="0000001E" w14:textId="77777777" w:rsidR="00E7560C" w:rsidRDefault="00000000">
      <w:pPr>
        <w:spacing w:before="240" w:after="240" w:line="480" w:lineRule="auto"/>
        <w:jc w:val="both"/>
        <w:rPr>
          <w:rFonts w:ascii="Times New Roman" w:eastAsia="Times New Roman" w:hAnsi="Times New Roman" w:cs="Times New Roman"/>
          <w:sz w:val="24"/>
          <w:szCs w:val="24"/>
        </w:rPr>
      </w:pPr>
      <w:r>
        <w:br w:type="page"/>
      </w:r>
    </w:p>
    <w:p w14:paraId="0000001F" w14:textId="77777777" w:rsidR="00E7560C"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VII. Lessons Learned </w:t>
      </w:r>
    </w:p>
    <w:p w14:paraId="00000020"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Salem Witch Trials provide important lessons about justice, evidence, and human behavior. One of the clearest lessons is the importance of reliable evidence. The acceptance of spectral evidence contributed to wrongful accusations and convictions, demonstrating the dangers of making legal decisions based on claims that cannot be independently verified.</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The trials also demonstrate the importance of due process and the protection of individual rights. Fear and public pressure influenced the proceedings, making it difficult for accused individuals to receive fair treatment. A justice system must therefore remain independent from public panic and personal prejudice.</w:t>
      </w:r>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 xml:space="preserve"> Another important lesson concerns misinformation and group psychology. As accusations increased, fear spread throughout the community, causing people to interpret ordinary events as evidence of witchcraft. This shows how quickly misinformation and collective fear can influence human judgment.</w:t>
      </w:r>
      <w:r>
        <w:rPr>
          <w:rFonts w:ascii="Times New Roman" w:eastAsia="Times New Roman" w:hAnsi="Times New Roman" w:cs="Times New Roman"/>
          <w:sz w:val="24"/>
          <w:szCs w:val="24"/>
          <w:vertAlign w:val="superscript"/>
        </w:rPr>
        <w:footnoteReference w:id="22"/>
      </w:r>
      <w:r>
        <w:rPr>
          <w:rFonts w:ascii="Times New Roman" w:eastAsia="Times New Roman" w:hAnsi="Times New Roman" w:cs="Times New Roman"/>
          <w:sz w:val="24"/>
          <w:szCs w:val="24"/>
        </w:rPr>
        <w:t xml:space="preserve"> The Salem Witch Trials ultimately emphasize the need for critical thinking, fairness, and careful examination of evidence. These principles remain important whenever societies face fear, uncertainty, or accusations against individuals or groups.</w:t>
      </w:r>
    </w:p>
    <w:p w14:paraId="00000021" w14:textId="77777777" w:rsidR="00E7560C" w:rsidRDefault="00000000">
      <w:pPr>
        <w:spacing w:line="480" w:lineRule="auto"/>
        <w:jc w:val="both"/>
        <w:rPr>
          <w:rFonts w:ascii="Times New Roman" w:eastAsia="Times New Roman" w:hAnsi="Times New Roman" w:cs="Times New Roman"/>
          <w:sz w:val="24"/>
          <w:szCs w:val="24"/>
        </w:rPr>
      </w:pPr>
      <w:r>
        <w:br w:type="page"/>
      </w:r>
    </w:p>
    <w:p w14:paraId="00000022" w14:textId="77777777" w:rsidR="00E7560C"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VIII. Conclusion </w:t>
      </w:r>
    </w:p>
    <w:p w14:paraId="00000023"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Salem Witch Trials were the result of a complex combination of religious beliefs, social tensions, fear, personal conflicts, and mass hysteria. What began with a small number of accusations quickly developed into a widespread crisis that affected an entire community. The use of unreliable evidence and unfair legal procedures resulted in imprisonment, suffering, and the deaths of innocent people.</w:t>
      </w:r>
      <w:r>
        <w:rPr>
          <w:rFonts w:ascii="Times New Roman" w:eastAsia="Times New Roman" w:hAnsi="Times New Roman" w:cs="Times New Roman"/>
          <w:sz w:val="24"/>
          <w:szCs w:val="24"/>
          <w:vertAlign w:val="superscript"/>
        </w:rPr>
        <w:footnoteReference w:id="23"/>
      </w:r>
      <w:r>
        <w:rPr>
          <w:rFonts w:ascii="Times New Roman" w:eastAsia="Times New Roman" w:hAnsi="Times New Roman" w:cs="Times New Roman"/>
          <w:sz w:val="24"/>
          <w:szCs w:val="24"/>
        </w:rPr>
        <w:t xml:space="preserve"> Although the trials ended in 1692, their significance continues to extend beyond colonial Massachusetts. The events demonstrate how fear and prejudice can influence communities and undermine justice when evidence and due process are ignored. The later regret surrounding the trials also shows the importance of recognizing and correcting injustice. The Salem Witch Trials remain a powerful reminder of how fear, prejudice, and the absence of fair legal procedures can lead to devastating consequences.</w:t>
      </w:r>
    </w:p>
    <w:p w14:paraId="00000024" w14:textId="77777777" w:rsidR="00E7560C" w:rsidRDefault="00000000">
      <w:pPr>
        <w:spacing w:line="480" w:lineRule="auto"/>
        <w:jc w:val="both"/>
        <w:rPr>
          <w:rFonts w:ascii="Times New Roman" w:eastAsia="Times New Roman" w:hAnsi="Times New Roman" w:cs="Times New Roman"/>
          <w:sz w:val="24"/>
          <w:szCs w:val="24"/>
        </w:rPr>
      </w:pPr>
      <w:r>
        <w:br w:type="page"/>
      </w:r>
    </w:p>
    <w:p w14:paraId="00000025" w14:textId="77777777" w:rsidR="00E7560C"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pasaqo3t94fv" w:colFirst="0" w:colLast="0"/>
      <w:bookmarkEnd w:id="3"/>
      <w:r>
        <w:rPr>
          <w:rFonts w:ascii="Times New Roman" w:eastAsia="Times New Roman" w:hAnsi="Times New Roman" w:cs="Times New Roman"/>
          <w:b/>
          <w:bCs/>
          <w:sz w:val="24"/>
          <w:szCs w:val="24"/>
        </w:rPr>
        <w:lastRenderedPageBreak/>
        <w:t>Bibliography</w:t>
      </w:r>
    </w:p>
    <w:p w14:paraId="00000026"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Baker, Emerson W. </w:t>
      </w:r>
      <w:r>
        <w:rPr>
          <w:rFonts w:ascii="Times New Roman" w:eastAsia="Times New Roman" w:hAnsi="Times New Roman" w:cs="Times New Roman"/>
          <w:i/>
          <w:iCs/>
          <w:sz w:val="24"/>
          <w:szCs w:val="24"/>
        </w:rPr>
        <w:t>A Storm of Witchcraft: The Salem Trials and the American Experience</w:t>
      </w:r>
      <w:r>
        <w:rPr>
          <w:rFonts w:ascii="Times New Roman" w:eastAsia="Times New Roman" w:hAnsi="Times New Roman" w:cs="Times New Roman"/>
          <w:sz w:val="24"/>
          <w:szCs w:val="24"/>
        </w:rPr>
        <w:t>. New York: Oxford University Press, 2015.</w:t>
      </w:r>
    </w:p>
    <w:p w14:paraId="00000027"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Boyer, Paul, and Stephen Nissenbaum. </w:t>
      </w:r>
      <w:r>
        <w:rPr>
          <w:rFonts w:ascii="Times New Roman" w:eastAsia="Times New Roman" w:hAnsi="Times New Roman" w:cs="Times New Roman"/>
          <w:i/>
          <w:iCs/>
          <w:sz w:val="24"/>
          <w:szCs w:val="24"/>
        </w:rPr>
        <w:t>Salem Possessed: The Social Origins of Witchcraft</w:t>
      </w:r>
      <w:r>
        <w:rPr>
          <w:rFonts w:ascii="Times New Roman" w:eastAsia="Times New Roman" w:hAnsi="Times New Roman" w:cs="Times New Roman"/>
          <w:sz w:val="24"/>
          <w:szCs w:val="24"/>
        </w:rPr>
        <w:t>. Cambridge, MA: Harvard University Press, 1974.</w:t>
      </w:r>
    </w:p>
    <w:p w14:paraId="00000028" w14:textId="77777777" w:rsidR="00E7560C"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Norton, Mary Beth. </w:t>
      </w:r>
      <w:r>
        <w:rPr>
          <w:rFonts w:ascii="Times New Roman" w:eastAsia="Times New Roman" w:hAnsi="Times New Roman" w:cs="Times New Roman"/>
          <w:i/>
          <w:iCs/>
          <w:sz w:val="24"/>
          <w:szCs w:val="24"/>
        </w:rPr>
        <w:t>In the Devil's Snare: The Salem Witchcraft Crisis of 1692</w:t>
      </w:r>
      <w:r>
        <w:rPr>
          <w:rFonts w:ascii="Times New Roman" w:eastAsia="Times New Roman" w:hAnsi="Times New Roman" w:cs="Times New Roman"/>
          <w:sz w:val="24"/>
          <w:szCs w:val="24"/>
        </w:rPr>
        <w:t>. New York: Alfred A. Knopf, 2002.</w:t>
      </w:r>
    </w:p>
    <w:p w14:paraId="00000029" w14:textId="77777777" w:rsidR="00E7560C" w:rsidRDefault="00E7560C">
      <w:pPr>
        <w:spacing w:line="480" w:lineRule="auto"/>
        <w:jc w:val="both"/>
        <w:rPr>
          <w:rFonts w:ascii="Times New Roman" w:eastAsia="Times New Roman" w:hAnsi="Times New Roman" w:cs="Times New Roman"/>
          <w:sz w:val="24"/>
          <w:szCs w:val="24"/>
        </w:rPr>
      </w:pPr>
    </w:p>
    <w:sectPr w:rsidR="00E7560C">
      <w:headerReference w:type="default" r:id="rId6"/>
      <w:footerReference w:type="default" r:id="rId7"/>
      <w:headerReference w:type="first" r:id="rId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E8EC" w14:textId="77777777" w:rsidR="00F033F4" w:rsidRDefault="00F033F4">
      <w:pPr>
        <w:spacing w:line="240" w:lineRule="auto"/>
      </w:pPr>
      <w:r>
        <w:separator/>
      </w:r>
    </w:p>
  </w:endnote>
  <w:endnote w:type="continuationSeparator" w:id="0">
    <w:p w14:paraId="27022066" w14:textId="77777777" w:rsidR="00F033F4" w:rsidRDefault="00F03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C653D1-F3B2-4A95-8641-8CC8B6BBCB6D}"/>
  </w:font>
  <w:font w:name="Cambria">
    <w:panose1 w:val="02040503050406030204"/>
    <w:charset w:val="00"/>
    <w:family w:val="roman"/>
    <w:pitch w:val="variable"/>
    <w:sig w:usb0="E00006FF" w:usb1="420024FF" w:usb2="02000000" w:usb3="00000000" w:csb0="0000019F" w:csb1="00000000"/>
    <w:embedRegular r:id="rId2" w:fontKey="{27FAAE46-91B8-4321-8193-70B347F350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A" w14:textId="77777777" w:rsidR="00E7560C" w:rsidRDefault="00E7560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6A3AE" w14:textId="77777777" w:rsidR="00F033F4" w:rsidRDefault="00F033F4">
      <w:pPr>
        <w:spacing w:line="240" w:lineRule="auto"/>
      </w:pPr>
      <w:r>
        <w:separator/>
      </w:r>
    </w:p>
  </w:footnote>
  <w:footnote w:type="continuationSeparator" w:id="0">
    <w:p w14:paraId="57957919" w14:textId="77777777" w:rsidR="00F033F4" w:rsidRDefault="00F033F4">
      <w:pPr>
        <w:spacing w:line="240" w:lineRule="auto"/>
      </w:pPr>
      <w:r>
        <w:continuationSeparator/>
      </w:r>
    </w:p>
  </w:footnote>
  <w:footnote w:id="1">
    <w:p w14:paraId="0000002D"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1–18. </w:t>
      </w:r>
    </w:p>
  </w:footnote>
  <w:footnote w:id="2">
    <w:p w14:paraId="0000002E" w14:textId="77777777" w:rsidR="00E7560C" w:rsidRDefault="00000000">
      <w:pPr>
        <w:spacing w:line="240" w:lineRule="auto"/>
        <w:rPr>
          <w:sz w:val="20"/>
          <w:szCs w:val="20"/>
        </w:rPr>
      </w:pPr>
      <w:r>
        <w:rPr>
          <w:vertAlign w:val="superscript"/>
        </w:rPr>
        <w:footnoteRef/>
      </w:r>
      <w:r>
        <w:rPr>
          <w:sz w:val="20"/>
          <w:szCs w:val="20"/>
        </w:rPr>
        <w:t xml:space="preserve"> Mary Beth Norton, </w:t>
      </w:r>
      <w:r>
        <w:rPr>
          <w:i/>
          <w:iCs/>
          <w:sz w:val="20"/>
          <w:szCs w:val="20"/>
        </w:rPr>
        <w:t>In the Devil's Snare: The Salem Witchcraft Crisis of 1692</w:t>
      </w:r>
      <w:r>
        <w:rPr>
          <w:sz w:val="20"/>
          <w:szCs w:val="20"/>
        </w:rPr>
        <w:t xml:space="preserve"> (New York: Alfred A. Knopf, 2002), 3–15.</w:t>
      </w:r>
    </w:p>
    <w:p w14:paraId="0000002F" w14:textId="77777777" w:rsidR="00E7560C" w:rsidRDefault="00E7560C">
      <w:pPr>
        <w:spacing w:line="240" w:lineRule="auto"/>
        <w:rPr>
          <w:sz w:val="20"/>
          <w:szCs w:val="20"/>
        </w:rPr>
      </w:pPr>
    </w:p>
  </w:footnote>
  <w:footnote w:id="3">
    <w:p w14:paraId="00000030"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1–18. </w:t>
      </w:r>
    </w:p>
  </w:footnote>
  <w:footnote w:id="4">
    <w:p w14:paraId="00000031" w14:textId="77777777" w:rsidR="00E7560C" w:rsidRDefault="00000000">
      <w:pPr>
        <w:spacing w:line="240" w:lineRule="auto"/>
        <w:rPr>
          <w:sz w:val="20"/>
          <w:szCs w:val="20"/>
        </w:rPr>
      </w:pPr>
      <w:r>
        <w:rPr>
          <w:vertAlign w:val="superscript"/>
        </w:rPr>
        <w:footnoteRef/>
      </w:r>
      <w:r>
        <w:rPr>
          <w:sz w:val="20"/>
          <w:szCs w:val="20"/>
        </w:rPr>
        <w:t xml:space="preserve"> Mary Beth Norton, </w:t>
      </w:r>
      <w:r>
        <w:rPr>
          <w:i/>
          <w:iCs/>
          <w:sz w:val="20"/>
          <w:szCs w:val="20"/>
        </w:rPr>
        <w:t>In the Devil's Snare: The Salem Witchcraft Crisis of 1692</w:t>
      </w:r>
      <w:r>
        <w:rPr>
          <w:sz w:val="20"/>
          <w:szCs w:val="20"/>
        </w:rPr>
        <w:t xml:space="preserve"> (New York: Alfred A. Knopf, 2002), 17–25. </w:t>
      </w:r>
    </w:p>
  </w:footnote>
  <w:footnote w:id="5">
    <w:p w14:paraId="00000032" w14:textId="77777777" w:rsidR="00E7560C" w:rsidRDefault="00000000">
      <w:pPr>
        <w:spacing w:line="240" w:lineRule="auto"/>
        <w:rPr>
          <w:sz w:val="20"/>
          <w:szCs w:val="20"/>
        </w:rPr>
      </w:pPr>
      <w:r>
        <w:rPr>
          <w:vertAlign w:val="superscript"/>
        </w:rPr>
        <w:footnoteRef/>
      </w:r>
      <w:r>
        <w:rPr>
          <w:sz w:val="20"/>
          <w:szCs w:val="20"/>
        </w:rPr>
        <w:t xml:space="preserve"> Paul Boyer and Stephen Nissenbaum, </w:t>
      </w:r>
      <w:r>
        <w:rPr>
          <w:i/>
          <w:iCs/>
          <w:sz w:val="20"/>
          <w:szCs w:val="20"/>
        </w:rPr>
        <w:t>Salem Possessed: The Social Origins of Witchcraft</w:t>
      </w:r>
      <w:r>
        <w:rPr>
          <w:sz w:val="20"/>
          <w:szCs w:val="20"/>
        </w:rPr>
        <w:t xml:space="preserve"> (Cambridge, MA: Harvard University Press, 1974), 3–16. </w:t>
      </w:r>
    </w:p>
  </w:footnote>
  <w:footnote w:id="6">
    <w:p w14:paraId="00000033" w14:textId="77777777" w:rsidR="00E7560C" w:rsidRDefault="00000000">
      <w:pPr>
        <w:spacing w:line="240" w:lineRule="auto"/>
        <w:rPr>
          <w:sz w:val="20"/>
          <w:szCs w:val="20"/>
        </w:rPr>
      </w:pPr>
      <w:r>
        <w:rPr>
          <w:vertAlign w:val="superscript"/>
        </w:rPr>
        <w:footnoteRef/>
      </w:r>
      <w:r>
        <w:rPr>
          <w:sz w:val="20"/>
          <w:szCs w:val="20"/>
        </w:rPr>
        <w:t xml:space="preserve"> Mary Beth Norton, </w:t>
      </w:r>
      <w:r>
        <w:rPr>
          <w:i/>
          <w:iCs/>
          <w:sz w:val="20"/>
          <w:szCs w:val="20"/>
        </w:rPr>
        <w:t>In the Devil's Snare: The Salem Witchcraft Crisis of 1692</w:t>
      </w:r>
      <w:r>
        <w:rPr>
          <w:sz w:val="20"/>
          <w:szCs w:val="20"/>
        </w:rPr>
        <w:t xml:space="preserve"> (New York: Alfred A. Knopf, 2002), 17–25. </w:t>
      </w:r>
    </w:p>
  </w:footnote>
  <w:footnote w:id="7">
    <w:p w14:paraId="00000034"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21–35. </w:t>
      </w:r>
    </w:p>
  </w:footnote>
  <w:footnote w:id="8">
    <w:p w14:paraId="00000035" w14:textId="77777777" w:rsidR="00E7560C" w:rsidRDefault="00000000">
      <w:pPr>
        <w:spacing w:line="240" w:lineRule="auto"/>
        <w:rPr>
          <w:sz w:val="20"/>
          <w:szCs w:val="20"/>
        </w:rPr>
      </w:pPr>
      <w:r>
        <w:rPr>
          <w:vertAlign w:val="superscript"/>
        </w:rPr>
        <w:footnoteRef/>
      </w:r>
      <w:r>
        <w:rPr>
          <w:sz w:val="20"/>
          <w:szCs w:val="20"/>
        </w:rPr>
        <w:t xml:space="preserve"> Paul Boyer and Stephen Nissenbaum, </w:t>
      </w:r>
      <w:r>
        <w:rPr>
          <w:i/>
          <w:iCs/>
          <w:sz w:val="20"/>
          <w:szCs w:val="20"/>
        </w:rPr>
        <w:t>Salem Possessed: The Social Origins of Witchcraft</w:t>
      </w:r>
      <w:r>
        <w:rPr>
          <w:sz w:val="20"/>
          <w:szCs w:val="20"/>
        </w:rPr>
        <w:t xml:space="preserve"> (Cambridge, MA: Harvard University Press, 1974), 3–16. </w:t>
      </w:r>
    </w:p>
  </w:footnote>
  <w:footnote w:id="9">
    <w:p w14:paraId="00000036" w14:textId="77777777" w:rsidR="00E7560C" w:rsidRDefault="00000000">
      <w:pPr>
        <w:spacing w:line="240" w:lineRule="auto"/>
        <w:rPr>
          <w:sz w:val="20"/>
          <w:szCs w:val="20"/>
        </w:rPr>
      </w:pPr>
      <w:r>
        <w:rPr>
          <w:vertAlign w:val="superscript"/>
        </w:rPr>
        <w:footnoteRef/>
      </w:r>
      <w:r>
        <w:rPr>
          <w:sz w:val="20"/>
          <w:szCs w:val="20"/>
        </w:rPr>
        <w:t xml:space="preserve"> Mary Beth Norton, </w:t>
      </w:r>
      <w:r>
        <w:rPr>
          <w:i/>
          <w:iCs/>
          <w:sz w:val="20"/>
          <w:szCs w:val="20"/>
        </w:rPr>
        <w:t>In the Devil's Snare: The Salem Witchcraft Crisis of 1692</w:t>
      </w:r>
      <w:r>
        <w:rPr>
          <w:sz w:val="20"/>
          <w:szCs w:val="20"/>
        </w:rPr>
        <w:t xml:space="preserve"> (New York: Alfred A. Knopf, 2002), 17–25. </w:t>
      </w:r>
    </w:p>
  </w:footnote>
  <w:footnote w:id="10">
    <w:p w14:paraId="00000037" w14:textId="77777777" w:rsidR="00E7560C" w:rsidRDefault="00000000">
      <w:pPr>
        <w:spacing w:line="240" w:lineRule="auto"/>
        <w:rPr>
          <w:sz w:val="20"/>
          <w:szCs w:val="20"/>
        </w:rPr>
      </w:pPr>
      <w:r>
        <w:rPr>
          <w:vertAlign w:val="superscript"/>
        </w:rPr>
        <w:footnoteRef/>
      </w:r>
      <w:r>
        <w:rPr>
          <w:sz w:val="20"/>
          <w:szCs w:val="20"/>
        </w:rPr>
        <w:t xml:space="preserve"> Paul Boyer and Stephen Nissenbaum, </w:t>
      </w:r>
      <w:r>
        <w:rPr>
          <w:i/>
          <w:iCs/>
          <w:sz w:val="20"/>
          <w:szCs w:val="20"/>
        </w:rPr>
        <w:t>Salem Possessed: The Social Origins of Witchcraft</w:t>
      </w:r>
      <w:r>
        <w:rPr>
          <w:sz w:val="20"/>
          <w:szCs w:val="20"/>
        </w:rPr>
        <w:t xml:space="preserve"> (Cambridge, MA: Harvard University Press, 1974), 3–16. </w:t>
      </w:r>
    </w:p>
  </w:footnote>
  <w:footnote w:id="11">
    <w:p w14:paraId="00000038"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80–96. </w:t>
      </w:r>
    </w:p>
  </w:footnote>
  <w:footnote w:id="12">
    <w:p w14:paraId="00000039"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55–70. </w:t>
      </w:r>
    </w:p>
  </w:footnote>
  <w:footnote w:id="13">
    <w:p w14:paraId="0000003A" w14:textId="77777777" w:rsidR="00E7560C" w:rsidRDefault="00000000">
      <w:pPr>
        <w:spacing w:line="240" w:lineRule="auto"/>
        <w:rPr>
          <w:b/>
          <w:bCs/>
          <w:sz w:val="20"/>
          <w:szCs w:val="20"/>
        </w:rPr>
      </w:pPr>
      <w:r>
        <w:rPr>
          <w:vertAlign w:val="superscript"/>
        </w:rPr>
        <w:footnoteRef/>
      </w:r>
      <w:r>
        <w:rPr>
          <w:sz w:val="20"/>
          <w:szCs w:val="20"/>
        </w:rPr>
        <w:t xml:space="preserve"> Mary Beth Norton, </w:t>
      </w:r>
      <w:r>
        <w:rPr>
          <w:i/>
          <w:iCs/>
          <w:sz w:val="20"/>
          <w:szCs w:val="20"/>
        </w:rPr>
        <w:t>In the Devil's Snare: The Salem Witchcraft Crisis of 1692</w:t>
      </w:r>
      <w:r>
        <w:rPr>
          <w:sz w:val="20"/>
          <w:szCs w:val="20"/>
        </w:rPr>
        <w:t xml:space="preserve"> (New York: Alfred A. Knopf, 2002), 41–55. </w:t>
      </w:r>
    </w:p>
  </w:footnote>
  <w:footnote w:id="14">
    <w:p w14:paraId="0000003B" w14:textId="77777777" w:rsidR="00E7560C" w:rsidRDefault="00000000">
      <w:pPr>
        <w:spacing w:line="240" w:lineRule="auto"/>
        <w:rPr>
          <w:sz w:val="20"/>
          <w:szCs w:val="20"/>
        </w:rPr>
      </w:pPr>
      <w:r>
        <w:rPr>
          <w:vertAlign w:val="superscript"/>
        </w:rPr>
        <w:footnoteRef/>
      </w:r>
      <w:r>
        <w:rPr>
          <w:sz w:val="20"/>
          <w:szCs w:val="20"/>
        </w:rPr>
        <w:t xml:space="preserve"> Baker, </w:t>
      </w:r>
      <w:r>
        <w:rPr>
          <w:i/>
          <w:iCs/>
          <w:sz w:val="20"/>
          <w:szCs w:val="20"/>
        </w:rPr>
        <w:t>A Storm of Witchcraft</w:t>
      </w:r>
      <w:r>
        <w:rPr>
          <w:sz w:val="20"/>
          <w:szCs w:val="20"/>
        </w:rPr>
        <w:t xml:space="preserve">, 80–96. </w:t>
      </w:r>
    </w:p>
  </w:footnote>
  <w:footnote w:id="15">
    <w:p w14:paraId="0000003C" w14:textId="77777777" w:rsidR="00E7560C" w:rsidRDefault="00000000">
      <w:pPr>
        <w:spacing w:line="240" w:lineRule="auto"/>
        <w:rPr>
          <w:sz w:val="20"/>
          <w:szCs w:val="20"/>
        </w:rPr>
      </w:pPr>
      <w:r>
        <w:rPr>
          <w:vertAlign w:val="superscript"/>
        </w:rPr>
        <w:footnoteRef/>
      </w:r>
      <w:r>
        <w:rPr>
          <w:sz w:val="20"/>
          <w:szCs w:val="20"/>
        </w:rPr>
        <w:t xml:space="preserve"> Mary Beth Norton, </w:t>
      </w:r>
      <w:r>
        <w:rPr>
          <w:i/>
          <w:iCs/>
          <w:sz w:val="20"/>
          <w:szCs w:val="20"/>
        </w:rPr>
        <w:t>In the Devil's Snare</w:t>
      </w:r>
      <w:r>
        <w:rPr>
          <w:sz w:val="20"/>
          <w:szCs w:val="20"/>
        </w:rPr>
        <w:t xml:space="preserve">, 296–305. </w:t>
      </w:r>
    </w:p>
  </w:footnote>
  <w:footnote w:id="16">
    <w:p w14:paraId="0000003D" w14:textId="77777777" w:rsidR="00E7560C" w:rsidRDefault="00000000">
      <w:pPr>
        <w:spacing w:line="240" w:lineRule="auto"/>
        <w:rPr>
          <w:sz w:val="20"/>
          <w:szCs w:val="20"/>
        </w:rPr>
      </w:pPr>
      <w:r>
        <w:rPr>
          <w:vertAlign w:val="superscript"/>
        </w:rPr>
        <w:footnoteRef/>
      </w:r>
      <w:r>
        <w:rPr>
          <w:sz w:val="20"/>
          <w:szCs w:val="20"/>
        </w:rPr>
        <w:t xml:space="preserve"> Baker, </w:t>
      </w:r>
      <w:r>
        <w:rPr>
          <w:i/>
          <w:iCs/>
          <w:sz w:val="20"/>
          <w:szCs w:val="20"/>
        </w:rPr>
        <w:t>A Storm of Witchcraft</w:t>
      </w:r>
      <w:r>
        <w:rPr>
          <w:sz w:val="20"/>
          <w:szCs w:val="20"/>
        </w:rPr>
        <w:t xml:space="preserve">, 240–250. </w:t>
      </w:r>
    </w:p>
  </w:footnote>
  <w:footnote w:id="17">
    <w:p w14:paraId="0000003E"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240–50. </w:t>
      </w:r>
    </w:p>
  </w:footnote>
  <w:footnote w:id="18">
    <w:p w14:paraId="0000003F" w14:textId="77777777" w:rsidR="00E7560C" w:rsidRDefault="00000000">
      <w:pPr>
        <w:spacing w:line="240" w:lineRule="auto"/>
        <w:rPr>
          <w:sz w:val="20"/>
          <w:szCs w:val="20"/>
        </w:rPr>
      </w:pPr>
      <w:r>
        <w:rPr>
          <w:vertAlign w:val="superscript"/>
        </w:rPr>
        <w:footnoteRef/>
      </w:r>
      <w:r>
        <w:rPr>
          <w:sz w:val="20"/>
          <w:szCs w:val="20"/>
        </w:rPr>
        <w:t xml:space="preserve"> Mary Beth Norton, </w:t>
      </w:r>
      <w:r>
        <w:rPr>
          <w:i/>
          <w:iCs/>
          <w:sz w:val="20"/>
          <w:szCs w:val="20"/>
        </w:rPr>
        <w:t>In the Devil's Snare: The Salem Witchcraft Crisis of 1692</w:t>
      </w:r>
      <w:r>
        <w:rPr>
          <w:sz w:val="20"/>
          <w:szCs w:val="20"/>
        </w:rPr>
        <w:t xml:space="preserve"> (New York: Alfred A. Knopf, 2002), 300–305. </w:t>
      </w:r>
    </w:p>
  </w:footnote>
  <w:footnote w:id="19">
    <w:p w14:paraId="00000040" w14:textId="77777777" w:rsidR="00E7560C" w:rsidRDefault="00000000">
      <w:pPr>
        <w:spacing w:line="240" w:lineRule="auto"/>
        <w:rPr>
          <w:sz w:val="20"/>
          <w:szCs w:val="20"/>
        </w:rPr>
      </w:pPr>
      <w:r>
        <w:rPr>
          <w:vertAlign w:val="superscript"/>
        </w:rPr>
        <w:footnoteRef/>
      </w:r>
      <w:r>
        <w:rPr>
          <w:sz w:val="20"/>
          <w:szCs w:val="20"/>
        </w:rPr>
        <w:t xml:space="preserve"> Baker, </w:t>
      </w:r>
      <w:r>
        <w:rPr>
          <w:i/>
          <w:iCs/>
          <w:sz w:val="20"/>
          <w:szCs w:val="20"/>
        </w:rPr>
        <w:t>A Storm of Witchcraft</w:t>
      </w:r>
      <w:r>
        <w:rPr>
          <w:sz w:val="20"/>
          <w:szCs w:val="20"/>
        </w:rPr>
        <w:t xml:space="preserve">, 250–60. </w:t>
      </w:r>
    </w:p>
  </w:footnote>
  <w:footnote w:id="20">
    <w:p w14:paraId="00000041"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80–96. </w:t>
      </w:r>
    </w:p>
  </w:footnote>
  <w:footnote w:id="21">
    <w:p w14:paraId="00000042" w14:textId="77777777" w:rsidR="00E7560C" w:rsidRDefault="00000000">
      <w:pPr>
        <w:spacing w:line="240" w:lineRule="auto"/>
        <w:rPr>
          <w:sz w:val="20"/>
          <w:szCs w:val="20"/>
        </w:rPr>
      </w:pPr>
      <w:r>
        <w:rPr>
          <w:vertAlign w:val="superscript"/>
        </w:rPr>
        <w:footnoteRef/>
      </w:r>
      <w:r>
        <w:rPr>
          <w:sz w:val="20"/>
          <w:szCs w:val="20"/>
        </w:rPr>
        <w:t xml:space="preserve"> Mary Beth Norton, </w:t>
      </w:r>
      <w:r>
        <w:rPr>
          <w:i/>
          <w:iCs/>
          <w:sz w:val="20"/>
          <w:szCs w:val="20"/>
        </w:rPr>
        <w:t>In the Devil's Snare: The Salem Witchcraft Crisis of 1692</w:t>
      </w:r>
      <w:r>
        <w:rPr>
          <w:sz w:val="20"/>
          <w:szCs w:val="20"/>
        </w:rPr>
        <w:t xml:space="preserve"> (New York: Alfred A. Knopf, 2002), 296–305. </w:t>
      </w:r>
    </w:p>
  </w:footnote>
  <w:footnote w:id="22">
    <w:p w14:paraId="00000043" w14:textId="77777777" w:rsidR="00E7560C" w:rsidRDefault="00000000">
      <w:pPr>
        <w:spacing w:line="240" w:lineRule="auto"/>
        <w:rPr>
          <w:sz w:val="20"/>
          <w:szCs w:val="20"/>
        </w:rPr>
      </w:pPr>
      <w:r>
        <w:rPr>
          <w:vertAlign w:val="superscript"/>
        </w:rPr>
        <w:footnoteRef/>
      </w:r>
      <w:r>
        <w:rPr>
          <w:sz w:val="20"/>
          <w:szCs w:val="20"/>
        </w:rPr>
        <w:t xml:space="preserve"> Paul Boyer and Stephen Nissenbaum, </w:t>
      </w:r>
      <w:r>
        <w:rPr>
          <w:i/>
          <w:iCs/>
          <w:sz w:val="20"/>
          <w:szCs w:val="20"/>
        </w:rPr>
        <w:t>Salem Possessed: The Social Origins of Witchcraft</w:t>
      </w:r>
      <w:r>
        <w:rPr>
          <w:sz w:val="20"/>
          <w:szCs w:val="20"/>
        </w:rPr>
        <w:t xml:space="preserve"> (Cambridge, MA: Harvard University Press, 1974), 3–16.</w:t>
      </w:r>
    </w:p>
    <w:p w14:paraId="00000044" w14:textId="77777777" w:rsidR="00E7560C" w:rsidRDefault="00E7560C">
      <w:pPr>
        <w:spacing w:line="240" w:lineRule="auto"/>
        <w:rPr>
          <w:sz w:val="20"/>
          <w:szCs w:val="20"/>
        </w:rPr>
      </w:pPr>
    </w:p>
  </w:footnote>
  <w:footnote w:id="23">
    <w:p w14:paraId="00000045" w14:textId="77777777" w:rsidR="00E7560C" w:rsidRDefault="00000000">
      <w:pPr>
        <w:spacing w:line="240" w:lineRule="auto"/>
        <w:rPr>
          <w:sz w:val="20"/>
          <w:szCs w:val="20"/>
        </w:rPr>
      </w:pPr>
      <w:r>
        <w:rPr>
          <w:vertAlign w:val="superscript"/>
        </w:rPr>
        <w:footnoteRef/>
      </w:r>
      <w:r>
        <w:rPr>
          <w:sz w:val="20"/>
          <w:szCs w:val="20"/>
        </w:rPr>
        <w:t xml:space="preserve"> Emerson W. Baker, </w:t>
      </w:r>
      <w:r>
        <w:rPr>
          <w:i/>
          <w:iCs/>
          <w:sz w:val="20"/>
          <w:szCs w:val="20"/>
        </w:rPr>
        <w:t>A Storm of Witchcraft: The Salem Trials and the American Experience</w:t>
      </w:r>
      <w:r>
        <w:rPr>
          <w:sz w:val="20"/>
          <w:szCs w:val="20"/>
        </w:rPr>
        <w:t xml:space="preserve"> (New York: Oxford University Press, 2015), 240–60.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3AD246A5" w:rsidR="00E7560C"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16ED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C" w14:textId="77777777" w:rsidR="00E7560C" w:rsidRDefault="00E7560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0C"/>
    <w:rsid w:val="00216ED9"/>
    <w:rsid w:val="003A4943"/>
    <w:rsid w:val="006E5D5A"/>
    <w:rsid w:val="007E1ACC"/>
    <w:rsid w:val="00B815C4"/>
    <w:rsid w:val="00E6693A"/>
    <w:rsid w:val="00E7560C"/>
    <w:rsid w:val="00F033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2C9C"/>
  <w15:docId w15:val="{E90C290E-1477-4313-A24C-70C7DB9F6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1528</Words>
  <Characters>8710</Characters>
  <Application>Microsoft Office Word</Application>
  <DocSecurity>0</DocSecurity>
  <Lines>72</Lines>
  <Paragraphs>20</Paragraphs>
  <ScaleCrop>false</ScaleCrop>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dc:creator>
  <cp:lastModifiedBy>Swetha V</cp:lastModifiedBy>
  <cp:revision>3</cp:revision>
  <dcterms:created xsi:type="dcterms:W3CDTF">2026-08-17T08:06:00Z</dcterms:created>
  <dcterms:modified xsi:type="dcterms:W3CDTF">2026-08-17T08:22:00Z</dcterms:modified>
</cp:coreProperties>
</file>