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06AA" w:rsidRDefault="006406AA">
      <w:pPr>
        <w:spacing w:line="480" w:lineRule="auto"/>
        <w:jc w:val="center"/>
        <w:rPr>
          <w:rFonts w:ascii="Times New Roman" w:eastAsia="Times New Roman" w:hAnsi="Times New Roman" w:cs="Times New Roman"/>
          <w:sz w:val="24"/>
          <w:szCs w:val="24"/>
        </w:rPr>
      </w:pPr>
    </w:p>
    <w:p w14:paraId="00000002" w14:textId="77777777" w:rsidR="006406AA" w:rsidRDefault="006406AA">
      <w:pPr>
        <w:spacing w:line="480" w:lineRule="auto"/>
        <w:jc w:val="center"/>
        <w:rPr>
          <w:rFonts w:ascii="Times New Roman" w:eastAsia="Times New Roman" w:hAnsi="Times New Roman" w:cs="Times New Roman"/>
          <w:sz w:val="24"/>
          <w:szCs w:val="24"/>
        </w:rPr>
      </w:pPr>
    </w:p>
    <w:p w14:paraId="00000003" w14:textId="77777777" w:rsidR="006406AA" w:rsidRDefault="006406AA">
      <w:pPr>
        <w:spacing w:line="480" w:lineRule="auto"/>
        <w:jc w:val="center"/>
        <w:rPr>
          <w:rFonts w:ascii="Times New Roman" w:eastAsia="Times New Roman" w:hAnsi="Times New Roman" w:cs="Times New Roman"/>
          <w:sz w:val="24"/>
          <w:szCs w:val="24"/>
        </w:rPr>
      </w:pPr>
    </w:p>
    <w:p w14:paraId="00000004" w14:textId="77777777" w:rsidR="006406AA" w:rsidRDefault="006406AA">
      <w:pPr>
        <w:spacing w:line="480" w:lineRule="auto"/>
        <w:jc w:val="center"/>
        <w:rPr>
          <w:rFonts w:ascii="Times New Roman" w:eastAsia="Times New Roman" w:hAnsi="Times New Roman" w:cs="Times New Roman"/>
          <w:sz w:val="24"/>
          <w:szCs w:val="24"/>
        </w:rPr>
      </w:pPr>
    </w:p>
    <w:p w14:paraId="00000005" w14:textId="77777777" w:rsidR="006406AA" w:rsidRDefault="006406AA">
      <w:pPr>
        <w:spacing w:line="480" w:lineRule="auto"/>
        <w:jc w:val="center"/>
        <w:rPr>
          <w:rFonts w:ascii="Times New Roman" w:eastAsia="Times New Roman" w:hAnsi="Times New Roman" w:cs="Times New Roman"/>
          <w:sz w:val="24"/>
          <w:szCs w:val="24"/>
        </w:rPr>
      </w:pPr>
    </w:p>
    <w:p w14:paraId="00000006" w14:textId="77777777" w:rsidR="006406AA" w:rsidRDefault="006406AA">
      <w:pPr>
        <w:spacing w:line="480" w:lineRule="auto"/>
        <w:jc w:val="center"/>
        <w:rPr>
          <w:rFonts w:ascii="Times New Roman" w:eastAsia="Times New Roman" w:hAnsi="Times New Roman" w:cs="Times New Roman"/>
          <w:sz w:val="24"/>
          <w:szCs w:val="24"/>
        </w:rPr>
      </w:pPr>
    </w:p>
    <w:p w14:paraId="00000007" w14:textId="77777777" w:rsidR="006406AA" w:rsidRDefault="006406AA">
      <w:pPr>
        <w:spacing w:line="480" w:lineRule="auto"/>
        <w:jc w:val="center"/>
        <w:rPr>
          <w:rFonts w:ascii="Times New Roman" w:eastAsia="Times New Roman" w:hAnsi="Times New Roman" w:cs="Times New Roman"/>
          <w:sz w:val="24"/>
          <w:szCs w:val="24"/>
        </w:rPr>
      </w:pPr>
    </w:p>
    <w:p w14:paraId="00000008" w14:textId="77777777" w:rsidR="006406AA"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Curse of King Tutankhamun: Myth, Death, and Historical Evidence</w:t>
      </w:r>
    </w:p>
    <w:p w14:paraId="00000009" w14:textId="77777777" w:rsidR="006406AA"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A" w14:textId="77777777" w:rsidR="006406AA"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24, 2026</w:t>
      </w:r>
      <w:r>
        <w:br w:type="page"/>
      </w:r>
    </w:p>
    <w:p w14:paraId="0000000B"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0" w:name="_1z02obepte8d" w:colFirst="0" w:colLast="0"/>
      <w:bookmarkEnd w:id="0"/>
      <w:r>
        <w:rPr>
          <w:rFonts w:ascii="Times New Roman" w:eastAsia="Times New Roman" w:hAnsi="Times New Roman" w:cs="Times New Roman"/>
          <w:b/>
          <w:bCs/>
          <w:sz w:val="24"/>
          <w:szCs w:val="24"/>
        </w:rPr>
        <w:lastRenderedPageBreak/>
        <w:t>I. Abstract</w:t>
      </w:r>
    </w:p>
    <w:p w14:paraId="0000000C"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discovery of Tutankhamun's tomb in 1922 became one of the most famous archaeological discoveries in history. The tomb contained thousands of valuable objects, including the famous golden mask of the young pharaoh. After the discovery, stories began to spread about a </w:t>
      </w:r>
      <w:r>
        <w:rPr>
          <w:rFonts w:ascii="Times New Roman" w:eastAsia="Times New Roman" w:hAnsi="Times New Roman" w:cs="Times New Roman"/>
          <w:b/>
          <w:bCs/>
          <w:sz w:val="24"/>
          <w:szCs w:val="24"/>
        </w:rPr>
        <w:t>curse</w:t>
      </w:r>
      <w:r>
        <w:rPr>
          <w:rFonts w:ascii="Times New Roman" w:eastAsia="Times New Roman" w:hAnsi="Times New Roman" w:cs="Times New Roman"/>
          <w:sz w:val="24"/>
          <w:szCs w:val="24"/>
        </w:rPr>
        <w:t xml:space="preserve"> connected to the tomb. The deaths and illnesses of several people associated with the excavation were presented as possible signs that the ancient pharaoh had taken revenge on those who disturbed his resting place. The curse story became popular through newspapers, books, films, and later popular culture. However, there is little historical evidence to prove that a supernatural curse existed. This research explores the life of Tutankhamun, ancient Egyptian beliefs about death, the discovery of his tomb, the origin of the curse story, the deaths connected with the excavation, and possible scientific explanations. It also compares the famous legend with historical evidence to understand why the story continues to fascinate people today.</w:t>
      </w:r>
    </w:p>
    <w:p w14:paraId="0000000D" w14:textId="77777777" w:rsidR="006406AA" w:rsidRDefault="006406AA">
      <w:pPr>
        <w:spacing w:line="480" w:lineRule="auto"/>
        <w:jc w:val="center"/>
        <w:rPr>
          <w:rFonts w:ascii="Times New Roman" w:eastAsia="Times New Roman" w:hAnsi="Times New Roman" w:cs="Times New Roman"/>
          <w:sz w:val="24"/>
          <w:szCs w:val="24"/>
        </w:rPr>
      </w:pPr>
    </w:p>
    <w:p w14:paraId="0000000E" w14:textId="77777777" w:rsidR="006406AA" w:rsidRDefault="006406AA">
      <w:pPr>
        <w:spacing w:line="480" w:lineRule="auto"/>
        <w:jc w:val="center"/>
        <w:rPr>
          <w:rFonts w:ascii="Times New Roman" w:eastAsia="Times New Roman" w:hAnsi="Times New Roman" w:cs="Times New Roman"/>
          <w:sz w:val="24"/>
          <w:szCs w:val="24"/>
        </w:rPr>
      </w:pPr>
    </w:p>
    <w:p w14:paraId="0000000F" w14:textId="77777777" w:rsidR="006406AA" w:rsidRDefault="006406AA">
      <w:pPr>
        <w:spacing w:line="480" w:lineRule="auto"/>
        <w:jc w:val="center"/>
        <w:rPr>
          <w:rFonts w:ascii="Times New Roman" w:eastAsia="Times New Roman" w:hAnsi="Times New Roman" w:cs="Times New Roman"/>
          <w:sz w:val="24"/>
          <w:szCs w:val="24"/>
        </w:rPr>
      </w:pPr>
    </w:p>
    <w:p w14:paraId="00000010" w14:textId="77777777" w:rsidR="006406AA" w:rsidRDefault="006406AA">
      <w:pPr>
        <w:spacing w:line="480" w:lineRule="auto"/>
        <w:jc w:val="center"/>
        <w:rPr>
          <w:rFonts w:ascii="Times New Roman" w:eastAsia="Times New Roman" w:hAnsi="Times New Roman" w:cs="Times New Roman"/>
          <w:sz w:val="24"/>
          <w:szCs w:val="24"/>
        </w:rPr>
      </w:pPr>
    </w:p>
    <w:p w14:paraId="00000011" w14:textId="77777777" w:rsidR="006406AA" w:rsidRDefault="006406AA">
      <w:pPr>
        <w:spacing w:line="480" w:lineRule="auto"/>
        <w:jc w:val="center"/>
        <w:rPr>
          <w:rFonts w:ascii="Times New Roman" w:eastAsia="Times New Roman" w:hAnsi="Times New Roman" w:cs="Times New Roman"/>
          <w:sz w:val="24"/>
          <w:szCs w:val="24"/>
        </w:rPr>
      </w:pPr>
    </w:p>
    <w:p w14:paraId="00000012" w14:textId="77777777" w:rsidR="006406AA" w:rsidRDefault="006406AA">
      <w:pPr>
        <w:spacing w:line="480" w:lineRule="auto"/>
        <w:jc w:val="center"/>
        <w:rPr>
          <w:rFonts w:ascii="Times New Roman" w:eastAsia="Times New Roman" w:hAnsi="Times New Roman" w:cs="Times New Roman"/>
          <w:sz w:val="24"/>
          <w:szCs w:val="24"/>
        </w:rPr>
      </w:pPr>
    </w:p>
    <w:p w14:paraId="00000013" w14:textId="77777777" w:rsidR="006406AA" w:rsidRDefault="006406AA">
      <w:pPr>
        <w:spacing w:line="480" w:lineRule="auto"/>
        <w:jc w:val="center"/>
        <w:rPr>
          <w:rFonts w:ascii="Times New Roman" w:eastAsia="Times New Roman" w:hAnsi="Times New Roman" w:cs="Times New Roman"/>
          <w:sz w:val="24"/>
          <w:szCs w:val="24"/>
        </w:rPr>
      </w:pPr>
    </w:p>
    <w:p w14:paraId="00000014" w14:textId="77777777" w:rsidR="006406AA" w:rsidRDefault="006406AA">
      <w:pPr>
        <w:spacing w:line="480" w:lineRule="auto"/>
        <w:jc w:val="center"/>
        <w:rPr>
          <w:rFonts w:ascii="Times New Roman" w:eastAsia="Times New Roman" w:hAnsi="Times New Roman" w:cs="Times New Roman"/>
          <w:sz w:val="24"/>
          <w:szCs w:val="24"/>
        </w:rPr>
      </w:pPr>
    </w:p>
    <w:p w14:paraId="00000015" w14:textId="77777777" w:rsidR="006406AA" w:rsidRDefault="006406AA">
      <w:pPr>
        <w:spacing w:line="480" w:lineRule="auto"/>
        <w:jc w:val="center"/>
        <w:rPr>
          <w:rFonts w:ascii="Times New Roman" w:eastAsia="Times New Roman" w:hAnsi="Times New Roman" w:cs="Times New Roman"/>
          <w:sz w:val="24"/>
          <w:szCs w:val="24"/>
        </w:rPr>
      </w:pPr>
    </w:p>
    <w:p w14:paraId="00000016" w14:textId="77777777" w:rsidR="006406AA" w:rsidRDefault="006406AA">
      <w:pPr>
        <w:spacing w:line="480" w:lineRule="auto"/>
        <w:jc w:val="center"/>
        <w:rPr>
          <w:rFonts w:ascii="Times New Roman" w:eastAsia="Times New Roman" w:hAnsi="Times New Roman" w:cs="Times New Roman"/>
          <w:sz w:val="24"/>
          <w:szCs w:val="24"/>
        </w:rPr>
      </w:pPr>
    </w:p>
    <w:p w14:paraId="00000017" w14:textId="77777777" w:rsidR="006406AA" w:rsidRDefault="006406AA">
      <w:pPr>
        <w:spacing w:line="480" w:lineRule="auto"/>
        <w:jc w:val="center"/>
        <w:rPr>
          <w:rFonts w:ascii="Times New Roman" w:eastAsia="Times New Roman" w:hAnsi="Times New Roman" w:cs="Times New Roman"/>
          <w:sz w:val="24"/>
          <w:szCs w:val="24"/>
        </w:rPr>
      </w:pPr>
    </w:p>
    <w:p w14:paraId="00000018"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wv27f3ihbddu" w:colFirst="0" w:colLast="0"/>
      <w:bookmarkEnd w:id="1"/>
      <w:r>
        <w:rPr>
          <w:rFonts w:ascii="Times New Roman" w:eastAsia="Times New Roman" w:hAnsi="Times New Roman" w:cs="Times New Roman"/>
          <w:b/>
          <w:bCs/>
          <w:sz w:val="24"/>
          <w:szCs w:val="24"/>
        </w:rPr>
        <w:lastRenderedPageBreak/>
        <w:t>II. Introduction</w:t>
      </w:r>
    </w:p>
    <w:p w14:paraId="00000019" w14:textId="77777777" w:rsidR="006406AA"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2" w:name="_rbtgwaxr1yt0" w:colFirst="0" w:colLast="0"/>
      <w:bookmarkEnd w:id="2"/>
      <w:r>
        <w:rPr>
          <w:rFonts w:ascii="Times New Roman" w:eastAsia="Times New Roman" w:hAnsi="Times New Roman" w:cs="Times New Roman"/>
          <w:b/>
          <w:bCs/>
          <w:sz w:val="24"/>
          <w:szCs w:val="24"/>
        </w:rPr>
        <w:t>A Tomb, a Pharaoh, and a Curse</w:t>
      </w:r>
    </w:p>
    <w:p w14:paraId="0000001A"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thousands of years, ancient Egypt has been surrounded by stories of pharaohs, gods, death, and the afterlife. But in 1922, one archaeological discovery created a mystery that reached far beyond ancient Egypt. When British archaeologist Howard Carter discovered the tomb of Tutankhamun, the world became fascinated by the young pharaoh and the treasures hidden inside his burial place. At first, the discovery was a celebration of history. The tomb had remained hidden for more than three thousand years and contained an extraordinary collection of ancient objects. Then the story took a darker turn. Several people connected with the excavation later became ill or died. Newspapers began suggesting that these events were connected to an ancient Egyptian curse. The idea quickly captured the public imagination. Soon, the story was no longer just about an archaeological discovery. It had become a mystery involving death, coincidence, ancient beliefs, and the possibility of something supernatural. But was there really a curse? Or did newspapers and popular culture turn a series of ordinary events into something frightening? This research examines the life of Tutankhamun, the world of ancient Egyptian burial traditions, the discovery of his tomb, and the origins of the curse legend. It also looks at the deaths connected with the excavation and what historical and scientific evidence actually tells us.</w:t>
      </w:r>
    </w:p>
    <w:p w14:paraId="0000001B" w14:textId="77777777" w:rsidR="006406AA" w:rsidRDefault="006406AA">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6si63p92rriy" w:colFirst="0" w:colLast="0"/>
      <w:bookmarkEnd w:id="3"/>
    </w:p>
    <w:p w14:paraId="0000001C" w14:textId="77777777" w:rsidR="006406AA" w:rsidRDefault="006406AA">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2ly8aqemr2ek" w:colFirst="0" w:colLast="0"/>
      <w:bookmarkEnd w:id="4"/>
    </w:p>
    <w:p w14:paraId="0000001D" w14:textId="77777777" w:rsidR="006406AA" w:rsidRDefault="006406AA">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gifboh6zsoco" w:colFirst="0" w:colLast="0"/>
      <w:bookmarkEnd w:id="5"/>
    </w:p>
    <w:p w14:paraId="0000001E"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y4sb1kh233wn" w:colFirst="0" w:colLast="0"/>
      <w:bookmarkEnd w:id="6"/>
      <w:r>
        <w:rPr>
          <w:rFonts w:ascii="Times New Roman" w:eastAsia="Times New Roman" w:hAnsi="Times New Roman" w:cs="Times New Roman"/>
          <w:b/>
          <w:bCs/>
          <w:sz w:val="24"/>
          <w:szCs w:val="24"/>
        </w:rPr>
        <w:lastRenderedPageBreak/>
        <w:t>III. The Life of Tutankhamun</w:t>
      </w:r>
    </w:p>
    <w:p w14:paraId="0000001F"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Before he became famous because of his tomb, Tutankhamun was simply a young Egyptian king. Tutankhamun was born around the fourteenth century BCE and became pharaoh while he was still a child. He ruled Egypt during a period of important religious and political changes. His father is generally identified as Akhenaten, a pharaoh known for changing Egypt's traditional religious system. Akhenaten promoted the worship of the god Aten and moved the royal capital to a new city called </w:t>
      </w:r>
      <w:proofErr w:type="spellStart"/>
      <w:r>
        <w:rPr>
          <w:rFonts w:ascii="Times New Roman" w:eastAsia="Times New Roman" w:hAnsi="Times New Roman" w:cs="Times New Roman"/>
          <w:sz w:val="24"/>
          <w:szCs w:val="24"/>
        </w:rPr>
        <w:t>Akhetaten</w:t>
      </w:r>
      <w:proofErr w:type="spellEnd"/>
      <w:r>
        <w:rPr>
          <w:rFonts w:ascii="Times New Roman" w:eastAsia="Times New Roman" w:hAnsi="Times New Roman" w:cs="Times New Roman"/>
          <w:sz w:val="24"/>
          <w:szCs w:val="24"/>
        </w:rPr>
        <w:t>. After Akhenaten's death, Egypt gradually returned to its older religious traditions. Tutankhamun became part of this restoration. Because he was so young, adults around him played an important role in governing the kingdom. Even though his reign was relatively short, important religious changes took place during his rule. Tutankhamun died when he was still a teenager. The exact circumstances of his death have been studied for many years, and modern research suggests that illness, injury, and other health problems may have contributed to his early death. His death was not unusual for the ancient world, where medical knowledge and living conditions were very different from today. What made Tutankhamun extraordinary was not his long reign. It was what happened to his tomb thousands of years later.</w:t>
      </w:r>
    </w:p>
    <w:p w14:paraId="00000020"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zgp2un9w2jmd" w:colFirst="0" w:colLast="0"/>
      <w:bookmarkEnd w:id="7"/>
      <w:r>
        <w:rPr>
          <w:rFonts w:ascii="Times New Roman" w:eastAsia="Times New Roman" w:hAnsi="Times New Roman" w:cs="Times New Roman"/>
          <w:b/>
          <w:bCs/>
          <w:sz w:val="24"/>
          <w:szCs w:val="24"/>
        </w:rPr>
        <w:t>IV. Ancient Egypt and the Pharaohs</w:t>
      </w:r>
    </w:p>
    <w:p w14:paraId="00000021"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 understand the idea of Tutankhamun's curse, we first need to understand how ancient Egyptians viewed death. For ancient Egyptians, death was not considered the complete end of existence. They believed that a person's life could continue in another form after death. This belief made burial extremely important.</w:t>
      </w:r>
    </w:p>
    <w:p w14:paraId="00000022"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bodies of important people were carefully preserved through mummification. Tombs were filled with objects that were believed to be useful in the afterlife. Food, clothing, furniture, jewelry, and other belongings could be placed with the dead. Pharaohs received especially elaborate burials because they were considered powerful figures with an important religious role. Tombs were therefore not simply places where bodies were stored. They were carefully prepared spaces connected with religion and the journey into the afterlife. Because tombs were sacred places, disturbing them could have been considered disrespectful. However, the idea that ancient Egyptians created a supernatural curse that would automatically kill anyone who entered a tomb is a different matter. There is no simple ancient Egyptian tradition saying that every tomb contained such a curse. The famous “curse of the pharaoh” became much more popular in modern times, especially after the discovery of Tutankhamun's tomb.</w:t>
      </w:r>
    </w:p>
    <w:p w14:paraId="00000023"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fj19h4pygmxr" w:colFirst="0" w:colLast="0"/>
      <w:bookmarkEnd w:id="8"/>
      <w:r>
        <w:rPr>
          <w:rFonts w:ascii="Times New Roman" w:eastAsia="Times New Roman" w:hAnsi="Times New Roman" w:cs="Times New Roman"/>
          <w:b/>
          <w:bCs/>
          <w:sz w:val="24"/>
          <w:szCs w:val="24"/>
        </w:rPr>
        <w:t>V. The Lost Tomb of Tutankhamun</w:t>
      </w:r>
    </w:p>
    <w:p w14:paraId="00000024"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beginning of the twentieth century, many royal tombs had already been discovered in Egypt. Tutankhamun's tomb, however, remained hidden. British archaeologist Howard Carter believed that the young pharaoh's tomb could still be found in the Valley of the Kings. He spent years searching the area. The search was difficult and expensive. Much of the valley had already been explored, and there was increasing doubt that an important undiscovered tomb remained. Then, in November 1922, Carter's workers discovered steps leading into the ground. The steps led to a sealed doorway. Carter had finally found what he had been searching for. When the doorway was opened, he saw objects inside the tomb that had been hidden for more than three thousand years. According to the famous story, Carter's patron Lord Carnarvon asked whether Carter could </w:t>
      </w:r>
      <w:r>
        <w:rPr>
          <w:rFonts w:ascii="Times New Roman" w:eastAsia="Times New Roman" w:hAnsi="Times New Roman" w:cs="Times New Roman"/>
          <w:sz w:val="24"/>
          <w:szCs w:val="24"/>
        </w:rPr>
        <w:lastRenderedPageBreak/>
        <w:t>see anything. Carter replied with words that would later become famous: “Yes, wonderful things.” The discovery was only the beginning. The world had not yet seen everything hidden inside.</w:t>
      </w:r>
    </w:p>
    <w:p w14:paraId="00000025"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rttwa3nipm1v" w:colFirst="0" w:colLast="0"/>
      <w:bookmarkEnd w:id="9"/>
      <w:r>
        <w:rPr>
          <w:rFonts w:ascii="Times New Roman" w:eastAsia="Times New Roman" w:hAnsi="Times New Roman" w:cs="Times New Roman"/>
          <w:b/>
          <w:bCs/>
          <w:sz w:val="24"/>
          <w:szCs w:val="24"/>
        </w:rPr>
        <w:t>VI. The Discovery That Captivated the World</w:t>
      </w:r>
    </w:p>
    <w:p w14:paraId="00000026"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opening of Tutankhamun's tomb created enormous excitement around the world. Inside were thousands of objects connected with the pharaoh and his journey into the afterlife. There were chariots, furniture, weapons, jewelry, statues, clothing, and other royal objects. The most famous discovery was the golden burial mask that covered Tutankhamun's mummy. Newspapers quickly began reporting on the excavation, and people became fascinated by the wealth and mystery of ancient Egypt. The discovery also created a strong connection between archaeology and popular culture. People who had never studied Egyptian history became interested in the young pharaoh. However, as public interest grew, another story began to appear alongside the archaeological discoveries: the story of a curse.</w:t>
      </w:r>
    </w:p>
    <w:p w14:paraId="00000027"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b8wdke3gkgik" w:colFirst="0" w:colLast="0"/>
      <w:bookmarkEnd w:id="10"/>
      <w:r>
        <w:rPr>
          <w:rFonts w:ascii="Times New Roman" w:eastAsia="Times New Roman" w:hAnsi="Times New Roman" w:cs="Times New Roman"/>
          <w:b/>
          <w:bCs/>
          <w:sz w:val="24"/>
          <w:szCs w:val="24"/>
        </w:rPr>
        <w:t>VII. The Birth of the Curse</w:t>
      </w:r>
    </w:p>
    <w:p w14:paraId="00000028"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idea of a curse connected with Tutankhamun's tomb became popular mainly after the discovery rather than through clear ancient Egyptian evidence. Newspapers were interested in mysterious stories, and the idea of an ancient curse was much more exciting than a simple archaeological report. When Lord Carnarvon, who helped finance the excavation, died in 1923, newspapers quickly connected his death with the supposed curse. Stories began suggesting that something terrible had been released from the tomb. Some reports even claimed that a warning had been found inside the tomb, although there is no reliable evidence that such a warning actually </w:t>
      </w:r>
      <w:r>
        <w:rPr>
          <w:rFonts w:ascii="Times New Roman" w:eastAsia="Times New Roman" w:hAnsi="Times New Roman" w:cs="Times New Roman"/>
          <w:sz w:val="24"/>
          <w:szCs w:val="24"/>
        </w:rPr>
        <w:lastRenderedPageBreak/>
        <w:t>existed. The curse story grew because it combined ancient mystery, death, and the excitement surrounding one of the greatest archaeological discoveries of the time.</w:t>
      </w:r>
    </w:p>
    <w:p w14:paraId="00000029"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hrnzsii0madm" w:colFirst="0" w:colLast="0"/>
      <w:bookmarkEnd w:id="11"/>
      <w:r>
        <w:rPr>
          <w:rFonts w:ascii="Times New Roman" w:eastAsia="Times New Roman" w:hAnsi="Times New Roman" w:cs="Times New Roman"/>
          <w:b/>
          <w:bCs/>
          <w:sz w:val="24"/>
          <w:szCs w:val="24"/>
        </w:rPr>
        <w:t>VIII. Deaths and Strange Events</w:t>
      </w:r>
    </w:p>
    <w:p w14:paraId="0000002A"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Lord Carnarvon's death became the most famous event associated with the supposed curse. He died in 1923, only months after the tomb was opened, and newspapers presented the timing as suspicious. Other people connected with the excavation later experienced illnesses or died, and these events were also added to the growing legend. However, many people who worked on or visited the excavation lived for many years afterward. This is an important part of the story because the popular image of a curse often focuses only on deaths while ignoring the large number of people who were not harmed. The deaths connected with the tomb therefore became a source of mystery, but they do not by themselves prove that a supernatural force was responsible.</w:t>
      </w:r>
    </w:p>
    <w:p w14:paraId="0000002B"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lhz3v8h8bebs" w:colFirst="0" w:colLast="0"/>
      <w:bookmarkEnd w:id="12"/>
      <w:r>
        <w:rPr>
          <w:rFonts w:ascii="Times New Roman" w:eastAsia="Times New Roman" w:hAnsi="Times New Roman" w:cs="Times New Roman"/>
          <w:b/>
          <w:bCs/>
          <w:sz w:val="24"/>
          <w:szCs w:val="24"/>
        </w:rPr>
        <w:t>IX. What the Evidence Actually Shows</w:t>
      </w:r>
    </w:p>
    <w:p w14:paraId="0000002C"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When the curse story is compared with historical evidence, the picture becomes less mysterious. There is no strong evidence showing that Tutankhamun's tomb contained a supernatural curse that caused the deaths of people connected with it. Many of the people involved in the excavation continued living for years after the tomb was opened. Lord Carnarvon's death also had medical explanations that were known at the time, making a supernatural explanation unnecessary. Some researchers have suggested that microorganisms, fungi, or other substances inside ancient tombs could potentially cause illness, but there is no clear evidence that such a pathogen caused the deaths associated with Tutankhamun's tomb. The available evidence therefore </w:t>
      </w:r>
      <w:r>
        <w:rPr>
          <w:rFonts w:ascii="Times New Roman" w:eastAsia="Times New Roman" w:hAnsi="Times New Roman" w:cs="Times New Roman"/>
          <w:sz w:val="24"/>
          <w:szCs w:val="24"/>
        </w:rPr>
        <w:lastRenderedPageBreak/>
        <w:t>suggests that coincidence, illness, age, and other ordinary causes provide more reasonable explanations than an ancient supernatural curse.</w:t>
      </w:r>
    </w:p>
    <w:p w14:paraId="0000002D"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6cqcsci3t0qm" w:colFirst="0" w:colLast="0"/>
      <w:bookmarkEnd w:id="13"/>
      <w:r>
        <w:rPr>
          <w:rFonts w:ascii="Times New Roman" w:eastAsia="Times New Roman" w:hAnsi="Times New Roman" w:cs="Times New Roman"/>
          <w:b/>
          <w:bCs/>
          <w:sz w:val="24"/>
          <w:szCs w:val="24"/>
        </w:rPr>
        <w:t>X. Newspapers, Media, and the Curse Myth</w:t>
      </w:r>
    </w:p>
    <w:p w14:paraId="0000002E"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newspapers played a major role in turning the curse into a worldwide legend. Reports about Tutankhamun's tomb attracted enormous public interest, and stories involving death made the discovery even more dramatic. Some newspapers published exaggerated claims about warnings, mysterious deaths, and supernatural forces. The public was already fascinated by ancient Egypt, so the idea of a pharaoh taking revenge from beyond the grave was easy to accept as a thrilling story. Over time, books, films, television programs, and other forms of entertainment repeated the idea of the curse. Each new version added to the legend, even when the original claims were not supported by historical evidence. In this way, the media helped transform an archaeological discovery into one of the world's most famous mysteries.</w:t>
      </w:r>
    </w:p>
    <w:p w14:paraId="0000002F"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4" w:name="_g7jrw7dk7acx" w:colFirst="0" w:colLast="0"/>
      <w:bookmarkEnd w:id="14"/>
      <w:r>
        <w:rPr>
          <w:rFonts w:ascii="Times New Roman" w:eastAsia="Times New Roman" w:hAnsi="Times New Roman" w:cs="Times New Roman"/>
          <w:b/>
          <w:bCs/>
          <w:sz w:val="24"/>
          <w:szCs w:val="24"/>
        </w:rPr>
        <w:t>XI. Scientific Explanations and Modern Research</w:t>
      </w:r>
    </w:p>
    <w:p w14:paraId="00000030"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Modern science provides several possible explanations for some of the strange events associated with ancient tombs. Closed tombs can contain dust, mold, fungi, bacteria, and other microorganisms that may affect people who enter them. Poor ventilation and long periods of exposure could also create health risks. However, these possibilities should not automatically be connected to Tutankhamun's deaths because there is no strong evidence proving that a particular organism from the tomb caused them. Another explanation is simple coincidence. When many people are connected with an important archaeological project over several years, illnesses and deaths will naturally occur. Modern research therefore encourages people to examine the dates, </w:t>
      </w:r>
      <w:r>
        <w:rPr>
          <w:rFonts w:ascii="Times New Roman" w:eastAsia="Times New Roman" w:hAnsi="Times New Roman" w:cs="Times New Roman"/>
          <w:sz w:val="24"/>
          <w:szCs w:val="24"/>
        </w:rPr>
        <w:lastRenderedPageBreak/>
        <w:t>medical records, and circumstances of each event instead of assuming that every death was caused by a curse.</w:t>
      </w:r>
    </w:p>
    <w:p w14:paraId="00000031"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nm5jiglhf8io" w:colFirst="0" w:colLast="0"/>
      <w:bookmarkEnd w:id="15"/>
      <w:r>
        <w:rPr>
          <w:rFonts w:ascii="Times New Roman" w:eastAsia="Times New Roman" w:hAnsi="Times New Roman" w:cs="Times New Roman"/>
          <w:b/>
          <w:bCs/>
          <w:sz w:val="24"/>
          <w:szCs w:val="24"/>
        </w:rPr>
        <w:t>XII. Curse or Coincidence?</w:t>
      </w:r>
    </w:p>
    <w:p w14:paraId="00000032"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story of Tutankhamun's curse remains powerful because it combines real history with mystery. The tomb was real, the treasures were real, and people connected with the excavation really did become ill or die. What is not supported by strong evidence is the idea that an ancient supernatural curse caused these events. The timeline of the deaths does not show a clear pattern, and many people involved in the excavation lived for decades afterward. The legend became stronger because newspapers and popular culture focused on unusual events while paying less attention to ordinary explanations. In the end, the evidence points more strongly toward coincidence, illness, and storytelling than toward a supernatural curse. Yet the mystery remains fascinating because people have always been drawn to stories where the ancient past seems to reach into the modern world.</w:t>
      </w:r>
    </w:p>
    <w:p w14:paraId="00000033"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16" w:name="_533isjtmosi2" w:colFirst="0" w:colLast="0"/>
      <w:bookmarkEnd w:id="16"/>
    </w:p>
    <w:p w14:paraId="00000034"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17" w:name="_6fyq6osoyguj" w:colFirst="0" w:colLast="0"/>
      <w:bookmarkEnd w:id="17"/>
    </w:p>
    <w:p w14:paraId="00000035"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18" w:name="_exgzvng9si99" w:colFirst="0" w:colLast="0"/>
      <w:bookmarkEnd w:id="18"/>
    </w:p>
    <w:p w14:paraId="00000036"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19" w:name="_dqx8b2ge7dcf" w:colFirst="0" w:colLast="0"/>
      <w:bookmarkEnd w:id="19"/>
    </w:p>
    <w:p w14:paraId="00000037"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0" w:name="_dz2t9cekn0l6" w:colFirst="0" w:colLast="0"/>
      <w:bookmarkEnd w:id="20"/>
    </w:p>
    <w:p w14:paraId="00000038"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1" w:name="_cky6qtdsyxeo" w:colFirst="0" w:colLast="0"/>
      <w:bookmarkEnd w:id="21"/>
      <w:r>
        <w:rPr>
          <w:rFonts w:ascii="Times New Roman" w:eastAsia="Times New Roman" w:hAnsi="Times New Roman" w:cs="Times New Roman"/>
          <w:b/>
          <w:bCs/>
          <w:sz w:val="24"/>
          <w:szCs w:val="24"/>
        </w:rPr>
        <w:lastRenderedPageBreak/>
        <w:t>XIII. Conclusion</w:t>
      </w:r>
    </w:p>
    <w:p w14:paraId="00000039"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discovery of Tutankhamun's tomb was a remarkable moment in archaeological history. It revealed an extraordinary collection of ancient Egyptian objects and gave the modern world a closer look at the life and burial traditions of a young pharaoh. The supposed curse, however, developed mainly after the discovery and became stronger through newspapers and popular culture. Although several deaths were connected to people involved with the excavation, there is no convincing historical evidence that they were caused by a supernatural force. Scientific and historical explanations provide more reasonable ways of understanding these events. Even so, the legend of Tutankhamun's curse continues to fascinate people because it combines archaeology, death, mystery, and the unknown. The tomb may not have been cursed, but its story has certainly survived for generations.</w:t>
      </w:r>
    </w:p>
    <w:p w14:paraId="0000003A"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2" w:name="_u9p0x9wobvi5" w:colFirst="0" w:colLast="0"/>
      <w:bookmarkEnd w:id="22"/>
    </w:p>
    <w:p w14:paraId="0000003B"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3" w:name="_lvdvqnwgcjkh" w:colFirst="0" w:colLast="0"/>
      <w:bookmarkEnd w:id="23"/>
    </w:p>
    <w:p w14:paraId="0000003C"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4" w:name="_ur8t824f65u1" w:colFirst="0" w:colLast="0"/>
      <w:bookmarkEnd w:id="24"/>
    </w:p>
    <w:p w14:paraId="0000003D"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5" w:name="_na86u7uzftag" w:colFirst="0" w:colLast="0"/>
      <w:bookmarkEnd w:id="25"/>
    </w:p>
    <w:p w14:paraId="0000003E"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6" w:name="_finqjf64crlu" w:colFirst="0" w:colLast="0"/>
      <w:bookmarkEnd w:id="26"/>
    </w:p>
    <w:p w14:paraId="0000003F" w14:textId="77777777" w:rsidR="006406AA" w:rsidRDefault="006406AA">
      <w:pPr>
        <w:pStyle w:val="Heading1"/>
        <w:keepNext w:val="0"/>
        <w:keepLines w:val="0"/>
        <w:spacing w:before="480" w:line="480" w:lineRule="auto"/>
        <w:jc w:val="both"/>
        <w:rPr>
          <w:rFonts w:ascii="Times New Roman" w:eastAsia="Times New Roman" w:hAnsi="Times New Roman" w:cs="Times New Roman"/>
          <w:b/>
          <w:bCs/>
          <w:sz w:val="24"/>
          <w:szCs w:val="24"/>
        </w:rPr>
      </w:pPr>
      <w:bookmarkStart w:id="27" w:name="_w7e0yhn8v00v" w:colFirst="0" w:colLast="0"/>
      <w:bookmarkEnd w:id="27"/>
    </w:p>
    <w:p w14:paraId="00000040" w14:textId="77777777" w:rsidR="006406AA"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8" w:name="_2pjjcxt37s2d" w:colFirst="0" w:colLast="0"/>
      <w:bookmarkEnd w:id="28"/>
      <w:r>
        <w:rPr>
          <w:rFonts w:ascii="Times New Roman" w:eastAsia="Times New Roman" w:hAnsi="Times New Roman" w:cs="Times New Roman"/>
          <w:b/>
          <w:bCs/>
          <w:sz w:val="24"/>
          <w:szCs w:val="24"/>
        </w:rPr>
        <w:lastRenderedPageBreak/>
        <w:t>XIV. Reference</w:t>
      </w:r>
    </w:p>
    <w:p w14:paraId="00000041"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Carter, H. (1923–1933). </w:t>
      </w:r>
      <w:r>
        <w:rPr>
          <w:rFonts w:ascii="Times New Roman" w:eastAsia="Times New Roman" w:hAnsi="Times New Roman" w:cs="Times New Roman"/>
          <w:i/>
          <w:iCs/>
          <w:sz w:val="24"/>
          <w:szCs w:val="24"/>
        </w:rPr>
        <w:t xml:space="preserve">The tomb of </w:t>
      </w:r>
      <w:proofErr w:type="spellStart"/>
      <w:r>
        <w:rPr>
          <w:rFonts w:ascii="Times New Roman" w:eastAsia="Times New Roman" w:hAnsi="Times New Roman" w:cs="Times New Roman"/>
          <w:i/>
          <w:iCs/>
          <w:sz w:val="24"/>
          <w:szCs w:val="24"/>
        </w:rPr>
        <w:t>TutankhAmen</w:t>
      </w:r>
      <w:proofErr w:type="spellEnd"/>
      <w:r>
        <w:rPr>
          <w:rFonts w:ascii="Times New Roman" w:eastAsia="Times New Roman" w:hAnsi="Times New Roman" w:cs="Times New Roman"/>
          <w:sz w:val="24"/>
          <w:szCs w:val="24"/>
        </w:rPr>
        <w:t>. Cassell and Company.</w:t>
      </w:r>
    </w:p>
    <w:p w14:paraId="00000042"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Cline, E. H. (2017). </w:t>
      </w:r>
      <w:r>
        <w:rPr>
          <w:rFonts w:ascii="Times New Roman" w:eastAsia="Times New Roman" w:hAnsi="Times New Roman" w:cs="Times New Roman"/>
          <w:i/>
          <w:iCs/>
          <w:sz w:val="24"/>
          <w:szCs w:val="24"/>
        </w:rPr>
        <w:t>Egyptology: The missing millennium</w:t>
      </w:r>
      <w:r>
        <w:rPr>
          <w:rFonts w:ascii="Times New Roman" w:eastAsia="Times New Roman" w:hAnsi="Times New Roman" w:cs="Times New Roman"/>
          <w:sz w:val="24"/>
          <w:szCs w:val="24"/>
        </w:rPr>
        <w:t>. Princeton University Press.</w:t>
      </w:r>
    </w:p>
    <w:p w14:paraId="00000043"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Reeves, N. (1990). </w:t>
      </w:r>
      <w:r>
        <w:rPr>
          <w:rFonts w:ascii="Times New Roman" w:eastAsia="Times New Roman" w:hAnsi="Times New Roman" w:cs="Times New Roman"/>
          <w:i/>
          <w:iCs/>
          <w:sz w:val="24"/>
          <w:szCs w:val="24"/>
        </w:rPr>
        <w:t>The complete Tutankhamun: The king, the tomb, the royal treasure</w:t>
      </w:r>
      <w:r>
        <w:rPr>
          <w:rFonts w:ascii="Times New Roman" w:eastAsia="Times New Roman" w:hAnsi="Times New Roman" w:cs="Times New Roman"/>
          <w:sz w:val="24"/>
          <w:szCs w:val="24"/>
        </w:rPr>
        <w:t>. Thames &amp; Hudson.</w:t>
      </w:r>
    </w:p>
    <w:p w14:paraId="00000044"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Tyldesley, J. (2012). </w:t>
      </w:r>
      <w:r>
        <w:rPr>
          <w:rFonts w:ascii="Times New Roman" w:eastAsia="Times New Roman" w:hAnsi="Times New Roman" w:cs="Times New Roman"/>
          <w:i/>
          <w:iCs/>
          <w:sz w:val="24"/>
          <w:szCs w:val="24"/>
        </w:rPr>
        <w:t>Tutankhamen: The search for an Egyptian king</w:t>
      </w:r>
      <w:r>
        <w:rPr>
          <w:rFonts w:ascii="Times New Roman" w:eastAsia="Times New Roman" w:hAnsi="Times New Roman" w:cs="Times New Roman"/>
          <w:sz w:val="24"/>
          <w:szCs w:val="24"/>
        </w:rPr>
        <w:t>. Basic Books.</w:t>
      </w:r>
    </w:p>
    <w:p w14:paraId="00000045" w14:textId="77777777" w:rsidR="006406AA"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University College London. (n.d.). </w:t>
      </w:r>
      <w:r>
        <w:rPr>
          <w:rFonts w:ascii="Times New Roman" w:eastAsia="Times New Roman" w:hAnsi="Times New Roman" w:cs="Times New Roman"/>
          <w:i/>
          <w:iCs/>
          <w:sz w:val="24"/>
          <w:szCs w:val="24"/>
        </w:rPr>
        <w:t>Digital Egypt for universities: Ancient Egyptian religion and beliefs about death</w:t>
      </w:r>
      <w:r>
        <w:rPr>
          <w:rFonts w:ascii="Times New Roman" w:eastAsia="Times New Roman" w:hAnsi="Times New Roman" w:cs="Times New Roman"/>
          <w:sz w:val="24"/>
          <w:szCs w:val="24"/>
        </w:rPr>
        <w:t>. University College London.</w:t>
      </w:r>
    </w:p>
    <w:p w14:paraId="00000046" w14:textId="77777777" w:rsidR="006406AA" w:rsidRDefault="0000000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Encyclopaedia</w:t>
      </w:r>
      <w:proofErr w:type="spellEnd"/>
      <w:r>
        <w:rPr>
          <w:rFonts w:ascii="Times New Roman" w:eastAsia="Times New Roman" w:hAnsi="Times New Roman" w:cs="Times New Roman"/>
          <w:sz w:val="24"/>
          <w:szCs w:val="24"/>
        </w:rPr>
        <w:t xml:space="preserve"> Britannica. (n.d.). </w:t>
      </w:r>
      <w:r>
        <w:rPr>
          <w:rFonts w:ascii="Times New Roman" w:eastAsia="Times New Roman" w:hAnsi="Times New Roman" w:cs="Times New Roman"/>
          <w:i/>
          <w:iCs/>
          <w:sz w:val="24"/>
          <w:szCs w:val="24"/>
        </w:rPr>
        <w:t>Tutankhamun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Encyclopaedia</w:t>
      </w:r>
      <w:proofErr w:type="spellEnd"/>
      <w:r>
        <w:rPr>
          <w:rFonts w:ascii="Times New Roman" w:eastAsia="Times New Roman" w:hAnsi="Times New Roman" w:cs="Times New Roman"/>
          <w:sz w:val="24"/>
          <w:szCs w:val="24"/>
        </w:rPr>
        <w:t xml:space="preserve"> Britannica.</w:t>
      </w:r>
    </w:p>
    <w:p w14:paraId="00000047" w14:textId="77777777" w:rsidR="006406AA" w:rsidRDefault="006406AA">
      <w:pPr>
        <w:spacing w:before="240" w:after="240" w:line="480" w:lineRule="auto"/>
        <w:jc w:val="both"/>
        <w:rPr>
          <w:rFonts w:ascii="Times New Roman" w:eastAsia="Times New Roman" w:hAnsi="Times New Roman" w:cs="Times New Roman"/>
          <w:sz w:val="24"/>
          <w:szCs w:val="24"/>
        </w:rPr>
      </w:pPr>
    </w:p>
    <w:p w14:paraId="00000048" w14:textId="77777777" w:rsidR="006406AA" w:rsidRDefault="006406AA">
      <w:pPr>
        <w:spacing w:before="240" w:after="240" w:line="480" w:lineRule="auto"/>
        <w:jc w:val="both"/>
        <w:rPr>
          <w:rFonts w:ascii="Times New Roman" w:eastAsia="Times New Roman" w:hAnsi="Times New Roman" w:cs="Times New Roman"/>
          <w:sz w:val="24"/>
          <w:szCs w:val="24"/>
        </w:rPr>
      </w:pPr>
    </w:p>
    <w:p w14:paraId="00000049" w14:textId="77777777" w:rsidR="006406AA" w:rsidRDefault="006406AA">
      <w:pPr>
        <w:spacing w:line="480" w:lineRule="auto"/>
        <w:jc w:val="center"/>
        <w:rPr>
          <w:rFonts w:ascii="Times New Roman" w:eastAsia="Times New Roman" w:hAnsi="Times New Roman" w:cs="Times New Roman"/>
          <w:sz w:val="24"/>
          <w:szCs w:val="24"/>
        </w:rPr>
      </w:pPr>
    </w:p>
    <w:sectPr w:rsidR="006406AA">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7A13E" w14:textId="77777777" w:rsidR="00B25321" w:rsidRDefault="00B25321">
      <w:pPr>
        <w:spacing w:line="240" w:lineRule="auto"/>
      </w:pPr>
      <w:r>
        <w:separator/>
      </w:r>
    </w:p>
  </w:endnote>
  <w:endnote w:type="continuationSeparator" w:id="0">
    <w:p w14:paraId="3702A413" w14:textId="77777777" w:rsidR="00B25321" w:rsidRDefault="00B25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048144-4B60-4676-ACEE-CB27C2B72B24}"/>
  </w:font>
  <w:font w:name="Cambria">
    <w:panose1 w:val="02040503050406030204"/>
    <w:charset w:val="00"/>
    <w:family w:val="roman"/>
    <w:pitch w:val="variable"/>
    <w:sig w:usb0="E00006FF" w:usb1="420024FF" w:usb2="02000000" w:usb3="00000000" w:csb0="0000019F" w:csb1="00000000"/>
    <w:embedRegular r:id="rId2" w:fontKey="{8737B085-C7B0-4C60-AD40-EC62695683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C5A32" w14:textId="77777777" w:rsidR="00B25321" w:rsidRDefault="00B25321">
      <w:pPr>
        <w:spacing w:line="240" w:lineRule="auto"/>
      </w:pPr>
      <w:r>
        <w:separator/>
      </w:r>
    </w:p>
  </w:footnote>
  <w:footnote w:type="continuationSeparator" w:id="0">
    <w:p w14:paraId="4C0F1BC6" w14:textId="77777777" w:rsidR="00B25321" w:rsidRDefault="00B25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405C7" w14:textId="77777777" w:rsidR="00803037" w:rsidRDefault="00000000" w:rsidP="0080303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Curse of King Tutankhamun </w:t>
    </w:r>
  </w:p>
  <w:p w14:paraId="0000004A" w14:textId="0359464C" w:rsidR="006406AA"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803037">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6AA"/>
    <w:rsid w:val="006406AA"/>
    <w:rsid w:val="00803037"/>
    <w:rsid w:val="00B25321"/>
    <w:rsid w:val="00F40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123F5"/>
  <w15:docId w15:val="{19F4A01A-8B0A-4513-84E2-3560B930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03037"/>
    <w:pPr>
      <w:tabs>
        <w:tab w:val="center" w:pos="4513"/>
        <w:tab w:val="right" w:pos="9026"/>
      </w:tabs>
      <w:spacing w:line="240" w:lineRule="auto"/>
    </w:pPr>
  </w:style>
  <w:style w:type="character" w:customStyle="1" w:styleId="HeaderChar">
    <w:name w:val="Header Char"/>
    <w:basedOn w:val="DefaultParagraphFont"/>
    <w:link w:val="Header"/>
    <w:uiPriority w:val="99"/>
    <w:rsid w:val="00803037"/>
  </w:style>
  <w:style w:type="paragraph" w:styleId="Footer">
    <w:name w:val="footer"/>
    <w:basedOn w:val="Normal"/>
    <w:link w:val="FooterChar"/>
    <w:uiPriority w:val="99"/>
    <w:unhideWhenUsed/>
    <w:rsid w:val="00803037"/>
    <w:pPr>
      <w:tabs>
        <w:tab w:val="center" w:pos="4513"/>
        <w:tab w:val="right" w:pos="9026"/>
      </w:tabs>
      <w:spacing w:line="240" w:lineRule="auto"/>
    </w:pPr>
  </w:style>
  <w:style w:type="character" w:customStyle="1" w:styleId="FooterChar">
    <w:name w:val="Footer Char"/>
    <w:basedOn w:val="DefaultParagraphFont"/>
    <w:link w:val="Footer"/>
    <w:uiPriority w:val="99"/>
    <w:rsid w:val="00803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2088</Words>
  <Characters>11903</Characters>
  <Application>Microsoft Office Word</Application>
  <DocSecurity>0</DocSecurity>
  <Lines>99</Lines>
  <Paragraphs>27</Paragraphs>
  <ScaleCrop>false</ScaleCrop>
  <Company/>
  <LinksUpToDate>false</LinksUpToDate>
  <CharactersWithSpaces>13964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2026-08-24T13:42:00Z</dcterms:created>
  <dcterms:modified xsi:type="dcterms:W3CDTF">2026-08-24T13:44:00Z</dcterms:modified>
</cp:coreProperties>
</file>