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2C75C" w14:textId="77777777" w:rsidR="00A7248B" w:rsidRDefault="00A7248B" w:rsidP="00A7248B">
      <w:pPr>
        <w:pStyle w:val="berschrift1"/>
      </w:pPr>
      <w:proofErr w:type="spellStart"/>
      <w:r>
        <w:t>Systemische</w:t>
      </w:r>
      <w:proofErr w:type="spellEnd"/>
      <w:r>
        <w:t xml:space="preserve"> </w:t>
      </w:r>
      <w:proofErr w:type="spellStart"/>
      <w:r>
        <w:t>Arbeitsweise</w:t>
      </w:r>
      <w:proofErr w:type="spellEnd"/>
      <w:r>
        <w:t xml:space="preserve"> </w:t>
      </w:r>
      <w:proofErr w:type="spellStart"/>
      <w:r>
        <w:t>im</w:t>
      </w:r>
      <w:proofErr w:type="spellEnd"/>
      <w:r>
        <w:t xml:space="preserve"> </w:t>
      </w:r>
      <w:proofErr w:type="spellStart"/>
      <w:r>
        <w:t>Prozessmanagement</w:t>
      </w:r>
      <w:proofErr w:type="spellEnd"/>
      <w:r>
        <w:t xml:space="preserve"> (</w:t>
      </w:r>
      <w:proofErr w:type="spellStart"/>
      <w:r>
        <w:t>PzM</w:t>
      </w:r>
      <w:proofErr w:type="spellEnd"/>
      <w:r>
        <w:t xml:space="preserve">) und der </w:t>
      </w:r>
      <w:proofErr w:type="spellStart"/>
      <w:r>
        <w:t>Prozessmodernisierung</w:t>
      </w:r>
      <w:proofErr w:type="spellEnd"/>
      <w:r>
        <w:t xml:space="preserve"> in </w:t>
      </w:r>
      <w:proofErr w:type="spellStart"/>
      <w:r>
        <w:t>Landesbehörden</w:t>
      </w:r>
      <w:proofErr w:type="spellEnd"/>
    </w:p>
    <w:p w14:paraId="6F38A0F7" w14:textId="757EACA9" w:rsidR="00BB6D19" w:rsidRDefault="00BB6D19">
      <w:pPr>
        <w:pStyle w:val="Titel"/>
      </w:pPr>
    </w:p>
    <w:p w14:paraId="6791D9F4" w14:textId="77777777" w:rsidR="00BB6D19" w:rsidRDefault="00000000">
      <w:pPr>
        <w:pStyle w:val="berschrift2"/>
      </w:pPr>
      <w:bookmarkStart w:id="0" w:name="Xa5f27ddfa80a6add0c530a886c8ae9ed167d8f5"/>
      <w:bookmarkStart w:id="1" w:name="zielsetzung"/>
      <w:r>
        <w:t>1. Zielsetzung</w:t>
      </w:r>
    </w:p>
    <w:p w14:paraId="616363F8" w14:textId="77777777" w:rsidR="00BB6D19" w:rsidRDefault="00000000">
      <w:pPr>
        <w:pStyle w:val="FirstParagraph"/>
      </w:pPr>
      <w:r>
        <w:t xml:space="preserve">Systemische Prozessmodernisierung wird als lernorientierter Meta-Prozess verstanden, der nicht nur Abläufe effizienter gestaltet, sondern auch die Zusammenarbeit, Rollenklärung und Veränderungsbereitschaft in Behörden fördert. Ziel ist es, mit </w:t>
      </w:r>
      <w:r>
        <w:rPr>
          <w:b/>
          <w:bCs/>
        </w:rPr>
        <w:t>systemischen Methoden</w:t>
      </w:r>
      <w:r>
        <w:t xml:space="preserve"> tragfähige Prozesse zu entwickeln, die strukturell anschlussfähig und kulturell eingebettet sind. Dabei wird das digitale Werkzeug </w:t>
      </w:r>
      <w:r>
        <w:rPr>
          <w:b/>
          <w:bCs/>
        </w:rPr>
        <w:t>PICTURE</w:t>
      </w:r>
      <w:r>
        <w:t xml:space="preserve"> als unterstützendes Element integriert – immer im Dienst eines sinnvollen, beteiligungsorientierten Verwaltungshandelns.</w:t>
      </w:r>
    </w:p>
    <w:p w14:paraId="3CFF0460" w14:textId="77777777" w:rsidR="00BB6D19" w:rsidRDefault="00000000">
      <w:pPr>
        <w:pStyle w:val="berschrift2"/>
      </w:pPr>
      <w:bookmarkStart w:id="2" w:name="X03c8b92356672d63096e0eca62406c168de4f6b"/>
      <w:bookmarkEnd w:id="1"/>
      <w:r>
        <w:t>2. Leitprinzipien systemischen Prozessmanagements</w:t>
      </w:r>
    </w:p>
    <w:tbl>
      <w:tblPr>
        <w:tblStyle w:val="Table"/>
        <w:tblW w:w="0" w:type="auto"/>
        <w:tblLook w:val="0020" w:firstRow="1" w:lastRow="0" w:firstColumn="0" w:lastColumn="0" w:noHBand="0" w:noVBand="0"/>
      </w:tblPr>
      <w:tblGrid>
        <w:gridCol w:w="2514"/>
        <w:gridCol w:w="7108"/>
      </w:tblGrid>
      <w:tr w:rsidR="00BB6D19" w14:paraId="61BF53D1" w14:textId="77777777" w:rsidTr="00BB6D19">
        <w:trPr>
          <w:cnfStyle w:val="100000000000" w:firstRow="1" w:lastRow="0" w:firstColumn="0" w:lastColumn="0" w:oddVBand="0" w:evenVBand="0" w:oddHBand="0" w:evenHBand="0" w:firstRowFirstColumn="0" w:firstRowLastColumn="0" w:lastRowFirstColumn="0" w:lastRowLastColumn="0"/>
          <w:tblHeader/>
        </w:trPr>
        <w:tc>
          <w:tcPr>
            <w:tcW w:w="0" w:type="auto"/>
          </w:tcPr>
          <w:p w14:paraId="1E57A434" w14:textId="77777777" w:rsidR="00BB6D19" w:rsidRDefault="00000000">
            <w:pPr>
              <w:pStyle w:val="Compact"/>
            </w:pPr>
            <w:r>
              <w:t>Prinzip</w:t>
            </w:r>
          </w:p>
        </w:tc>
        <w:tc>
          <w:tcPr>
            <w:tcW w:w="0" w:type="auto"/>
          </w:tcPr>
          <w:p w14:paraId="234323C0" w14:textId="77777777" w:rsidR="00BB6D19" w:rsidRDefault="00000000">
            <w:pPr>
              <w:pStyle w:val="Compact"/>
            </w:pPr>
            <w:r>
              <w:t>Bedeutung in der PzM</w:t>
            </w:r>
          </w:p>
        </w:tc>
      </w:tr>
      <w:tr w:rsidR="00BB6D19" w14:paraId="32FD4D0C" w14:textId="77777777">
        <w:tc>
          <w:tcPr>
            <w:tcW w:w="0" w:type="auto"/>
          </w:tcPr>
          <w:p w14:paraId="03FF5551" w14:textId="77777777" w:rsidR="00BB6D19" w:rsidRDefault="00000000">
            <w:pPr>
              <w:pStyle w:val="Compact"/>
            </w:pPr>
            <w:r>
              <w:rPr>
                <w:b/>
                <w:bCs/>
              </w:rPr>
              <w:t>Mehrperspektivität</w:t>
            </w:r>
          </w:p>
        </w:tc>
        <w:tc>
          <w:tcPr>
            <w:tcW w:w="0" w:type="auto"/>
          </w:tcPr>
          <w:p w14:paraId="7578B67A" w14:textId="77777777" w:rsidR="00BB6D19" w:rsidRDefault="00000000">
            <w:pPr>
              <w:pStyle w:val="Compact"/>
            </w:pPr>
            <w:r>
              <w:t>In der systemischen Prozessarbeit werden unterschiedliche Sichtweisen nicht nur toleriert, sondern aktiv eingeholt. Jede beteiligte Rolle bringt ihre eigene Wirklichkeitskonstruktion mit, die in die Prozessgestaltung einfließen muss. Nur durch das bewusste Zulassen und Zusammenführen dieser Perspektiven kann ein tragfähiger und akzeptierter Prozess entstehen.</w:t>
            </w:r>
          </w:p>
        </w:tc>
      </w:tr>
      <w:tr w:rsidR="00BB6D19" w14:paraId="2296D12B" w14:textId="77777777">
        <w:tc>
          <w:tcPr>
            <w:tcW w:w="0" w:type="auto"/>
          </w:tcPr>
          <w:p w14:paraId="3A81A066" w14:textId="77777777" w:rsidR="00BB6D19" w:rsidRDefault="00000000">
            <w:pPr>
              <w:pStyle w:val="Compact"/>
            </w:pPr>
            <w:r>
              <w:rPr>
                <w:b/>
                <w:bCs/>
              </w:rPr>
              <w:t>Selbstorganisation stärken</w:t>
            </w:r>
          </w:p>
        </w:tc>
        <w:tc>
          <w:tcPr>
            <w:tcW w:w="0" w:type="auto"/>
          </w:tcPr>
          <w:p w14:paraId="19F33722" w14:textId="77777777" w:rsidR="00BB6D19" w:rsidRDefault="00000000">
            <w:pPr>
              <w:pStyle w:val="Compact"/>
            </w:pPr>
            <w:r>
              <w:t>Systemische Arbeitsweisen fördern die Fähigkeit der Organisation, sich von innen heraus weiterzuentwickeln. Die Prozessverantwortung wird nicht von außen aufgedrückt, sondern durch Beteiligung der Betroffenen ermöglicht. Diese gestalten ihre Prozesse selbst mit, wodurch Akzeptanz, Motivation und Passung deutlich steigen.</w:t>
            </w:r>
          </w:p>
        </w:tc>
      </w:tr>
      <w:tr w:rsidR="00BB6D19" w14:paraId="6653F9B8" w14:textId="77777777">
        <w:tc>
          <w:tcPr>
            <w:tcW w:w="0" w:type="auto"/>
          </w:tcPr>
          <w:p w14:paraId="0EE332D8" w14:textId="77777777" w:rsidR="00BB6D19" w:rsidRDefault="00000000">
            <w:pPr>
              <w:pStyle w:val="Compact"/>
            </w:pPr>
            <w:r>
              <w:rPr>
                <w:b/>
                <w:bCs/>
              </w:rPr>
              <w:t>Strukturelle Kopplung verstehen</w:t>
            </w:r>
          </w:p>
        </w:tc>
        <w:tc>
          <w:tcPr>
            <w:tcW w:w="0" w:type="auto"/>
          </w:tcPr>
          <w:p w14:paraId="3D22423D" w14:textId="77777777" w:rsidR="00BB6D19" w:rsidRDefault="00000000">
            <w:pPr>
              <w:pStyle w:val="Compact"/>
            </w:pPr>
            <w:r>
              <w:t>Prozesse existieren nie isoliert, sondern sind eingebettet in verschiedene Systeme – organisatorische, technische, kulturelle. Systemisches Denken analysiert bewusst diese Schnittstellen und Wechselwirkungen. Ziel ist es, nicht nur einzelne Abläufe zu verbessern, sondern auch das Zusammenspiel der beteiligten Strukturen zu stärken.</w:t>
            </w:r>
          </w:p>
        </w:tc>
      </w:tr>
      <w:tr w:rsidR="00BB6D19" w14:paraId="236C4844" w14:textId="77777777">
        <w:tc>
          <w:tcPr>
            <w:tcW w:w="0" w:type="auto"/>
          </w:tcPr>
          <w:p w14:paraId="3EA006B3" w14:textId="77777777" w:rsidR="00BB6D19" w:rsidRDefault="00000000">
            <w:pPr>
              <w:pStyle w:val="Compact"/>
            </w:pPr>
            <w:r>
              <w:rPr>
                <w:b/>
                <w:bCs/>
              </w:rPr>
              <w:t>Zirkularität und Rückkopplung</w:t>
            </w:r>
          </w:p>
        </w:tc>
        <w:tc>
          <w:tcPr>
            <w:tcW w:w="0" w:type="auto"/>
          </w:tcPr>
          <w:p w14:paraId="1C2DC85D" w14:textId="77777777" w:rsidR="00BB6D19" w:rsidRDefault="00000000">
            <w:pPr>
              <w:pStyle w:val="Compact"/>
            </w:pPr>
            <w:r>
              <w:t>Prozesse sollten nicht linear gedacht, sondern als zirkuläre Abläufe verstanden werden, die Feedback erzeugen und aufnehmen. Rückmeldungen aus der Praxis werden als wertvolle Impulse für die Weiterentwicklung genutzt. Dadurch entsteht ein lernendes System, das auch auf unerwartete Veränderungen reagieren kann.</w:t>
            </w:r>
          </w:p>
        </w:tc>
      </w:tr>
      <w:tr w:rsidR="00BB6D19" w14:paraId="4A6383CC" w14:textId="77777777">
        <w:tc>
          <w:tcPr>
            <w:tcW w:w="0" w:type="auto"/>
          </w:tcPr>
          <w:p w14:paraId="0C1D2030" w14:textId="77777777" w:rsidR="00BB6D19" w:rsidRDefault="00000000">
            <w:pPr>
              <w:pStyle w:val="Compact"/>
            </w:pPr>
            <w:r>
              <w:rPr>
                <w:b/>
                <w:bCs/>
              </w:rPr>
              <w:lastRenderedPageBreak/>
              <w:t>Sinnfokussierung</w:t>
            </w:r>
          </w:p>
        </w:tc>
        <w:tc>
          <w:tcPr>
            <w:tcW w:w="0" w:type="auto"/>
          </w:tcPr>
          <w:p w14:paraId="54688FDA" w14:textId="77777777" w:rsidR="00BB6D19" w:rsidRDefault="00000000">
            <w:pPr>
              <w:pStyle w:val="Compact"/>
            </w:pPr>
            <w:r>
              <w:t>Systemisch arbeitende Prozessberater:innen fragen nicht nur nach dem „Was“ und „Wie“, sondern vor allem nach dem „Wozu“. Sinnstiftung ist zentral für die Akzeptanz und nachhaltige Umsetzung von Veränderungen. Prozesse müssen erlebbar machen, welchen Beitrag sie für Mitarbeitende, Organisation und Gesellschaft leisten.</w:t>
            </w:r>
          </w:p>
        </w:tc>
      </w:tr>
    </w:tbl>
    <w:p w14:paraId="66C40EA3" w14:textId="77777777" w:rsidR="00BB6D19" w:rsidRDefault="00000000">
      <w:pPr>
        <w:pStyle w:val="berschrift2"/>
      </w:pPr>
      <w:bookmarkStart w:id="3" w:name="X41ffd86cd8ee68340cdb2e79ed6d884e504c8e7"/>
      <w:bookmarkEnd w:id="2"/>
      <w:r>
        <w:t>3. Prozessmodell für die systemische Begleitung</w:t>
      </w:r>
    </w:p>
    <w:p w14:paraId="0A7261C7" w14:textId="77777777" w:rsidR="00BB6D19" w:rsidRDefault="00000000">
      <w:pPr>
        <w:pStyle w:val="berschrift3"/>
      </w:pPr>
      <w:bookmarkStart w:id="4" w:name="X435c7c85c35f0ad3b7d11ffd5296270b44813c7"/>
      <w:r>
        <w:t xml:space="preserve">Phase 1: </w:t>
      </w:r>
      <w:r>
        <w:rPr>
          <w:b/>
          <w:bCs/>
        </w:rPr>
        <w:t>Auftragsklärung (Dreiervertrag nach Fanita English)</w:t>
      </w:r>
    </w:p>
    <w:p w14:paraId="611DCB9C" w14:textId="77777777" w:rsidR="00BB6D19" w:rsidRDefault="00000000">
      <w:pPr>
        <w:pStyle w:val="FirstParagraph"/>
      </w:pPr>
      <w:r>
        <w:t xml:space="preserve">Die Phase der Auftragsklärung stellt einen </w:t>
      </w:r>
      <w:r>
        <w:rPr>
          <w:b/>
          <w:bCs/>
        </w:rPr>
        <w:t>kritischen Ausgangspunkt</w:t>
      </w:r>
      <w:r>
        <w:t xml:space="preserve"> für jede systemische Begleitung dar. Im Zentrum steht hier die bewusste Gestaltung eines sogenannten </w:t>
      </w:r>
      <w:r>
        <w:rPr>
          <w:b/>
          <w:bCs/>
        </w:rPr>
        <w:t>Dreiervertrags</w:t>
      </w:r>
      <w:r>
        <w:t xml:space="preserve">, wie ihn Fanita English beschrieben hat. Dabei werden die drei Hauptbeteiligten – die </w:t>
      </w:r>
      <w:r>
        <w:rPr>
          <w:b/>
          <w:bCs/>
        </w:rPr>
        <w:t>Leitung der Organisation (Auftraggeber:in)</w:t>
      </w:r>
      <w:r>
        <w:t xml:space="preserve">, die </w:t>
      </w:r>
      <w:r>
        <w:rPr>
          <w:b/>
          <w:bCs/>
        </w:rPr>
        <w:t>betroffene Einheit oder das Team (Nutzer:in)</w:t>
      </w:r>
      <w:r>
        <w:t xml:space="preserve"> sowie die </w:t>
      </w:r>
      <w:r>
        <w:rPr>
          <w:b/>
          <w:bCs/>
        </w:rPr>
        <w:t>systemische Beratungsperson</w:t>
      </w:r>
      <w:r>
        <w:t xml:space="preserve"> – gleichwertig in einen offenen Klärungsprozess einbezogen. Es geht darum, </w:t>
      </w:r>
      <w:r>
        <w:rPr>
          <w:b/>
          <w:bCs/>
        </w:rPr>
        <w:t>Erwartungen, Zielvorstellungen und mögliche Spannungsfelder</w:t>
      </w:r>
      <w:r>
        <w:t xml:space="preserve"> transparent zu machen und gemeinsam zu formulieren. Die Auftragsklärung endet idealerweise mit einem </w:t>
      </w:r>
      <w:r>
        <w:rPr>
          <w:b/>
          <w:bCs/>
        </w:rPr>
        <w:t>tragfähigen Mandat</w:t>
      </w:r>
      <w:r>
        <w:t xml:space="preserve">, das von allen Beteiligten mitgetragen wird und in dem klar ist, </w:t>
      </w:r>
      <w:r>
        <w:rPr>
          <w:b/>
          <w:bCs/>
        </w:rPr>
        <w:t>wer worauf Einfluss hat – und wer nicht</w:t>
      </w:r>
      <w:r>
        <w:t xml:space="preserve">. Eine besondere Rolle spielt dabei die </w:t>
      </w:r>
      <w:r>
        <w:rPr>
          <w:b/>
          <w:bCs/>
        </w:rPr>
        <w:t>systemische Haltung</w:t>
      </w:r>
      <w:r>
        <w:t xml:space="preserve">: Die Berater:in nimmt </w:t>
      </w:r>
      <w:r>
        <w:rPr>
          <w:b/>
          <w:bCs/>
        </w:rPr>
        <w:t>nicht die Rolle einer Expert:in mit fertigen Lösungen</w:t>
      </w:r>
      <w:r>
        <w:t xml:space="preserve"> ein, sondern bietet </w:t>
      </w:r>
      <w:r>
        <w:rPr>
          <w:b/>
          <w:bCs/>
        </w:rPr>
        <w:t>Reflexionsräume</w:t>
      </w:r>
      <w:r>
        <w:t xml:space="preserve">, nutzt </w:t>
      </w:r>
      <w:r>
        <w:rPr>
          <w:b/>
          <w:bCs/>
        </w:rPr>
        <w:t>zirkuläre Fragen</w:t>
      </w:r>
      <w:r>
        <w:t xml:space="preserve"> und unterstützt die Auftragsbeteiligten dabei, ihre </w:t>
      </w:r>
      <w:r>
        <w:rPr>
          <w:b/>
          <w:bCs/>
        </w:rPr>
        <w:t>eigene Problemlandschaft</w:t>
      </w:r>
      <w:r>
        <w:t xml:space="preserve"> zu verstehen. Typische Methoden sind </w:t>
      </w:r>
      <w:r>
        <w:rPr>
          <w:b/>
          <w:bCs/>
        </w:rPr>
        <w:t>Auftragslandschaften</w:t>
      </w:r>
      <w:r>
        <w:t xml:space="preserve">, </w:t>
      </w:r>
      <w:r>
        <w:rPr>
          <w:b/>
          <w:bCs/>
        </w:rPr>
        <w:t>Stakeholder-Karten</w:t>
      </w:r>
      <w:r>
        <w:t xml:space="preserve"> oder auch </w:t>
      </w:r>
      <w:r>
        <w:rPr>
          <w:b/>
          <w:bCs/>
        </w:rPr>
        <w:t>moderierte Klärungsgespräche</w:t>
      </w:r>
      <w:r>
        <w:t>, in denen implizite Aufträge explizit gemacht werden.</w:t>
      </w:r>
    </w:p>
    <w:p w14:paraId="4F1901FA" w14:textId="77777777" w:rsidR="00BB6D19" w:rsidRDefault="00000000">
      <w:pPr>
        <w:pStyle w:val="berschrift3"/>
      </w:pPr>
      <w:bookmarkStart w:id="5" w:name="X03237af9f7c71c5d65658b26cd6e3c6e75da19b"/>
      <w:bookmarkEnd w:id="4"/>
      <w:r>
        <w:t xml:space="preserve">Phase 2: </w:t>
      </w:r>
      <w:r>
        <w:rPr>
          <w:b/>
          <w:bCs/>
        </w:rPr>
        <w:t>Vorbereitung – Stakeholderanalyse &amp; Umfeldbeobachtung</w:t>
      </w:r>
    </w:p>
    <w:p w14:paraId="0D6DB9A7" w14:textId="77777777" w:rsidR="00BB6D19" w:rsidRDefault="00000000">
      <w:pPr>
        <w:pStyle w:val="FirstParagraph"/>
      </w:pPr>
      <w:r>
        <w:t xml:space="preserve">Diese Phase dient der </w:t>
      </w:r>
      <w:r>
        <w:rPr>
          <w:b/>
          <w:bCs/>
        </w:rPr>
        <w:t>systemischen Verortung des geplanten Veränderungsvorhabens</w:t>
      </w:r>
      <w:r>
        <w:t xml:space="preserve"> innerhalb des organisatorischen Gesamtzusammenhangs. Im Zentrum stehen die Fragen: </w:t>
      </w:r>
      <w:r>
        <w:rPr>
          <w:b/>
          <w:bCs/>
        </w:rPr>
        <w:t>Wer ist direkt oder indirekt betroffen?</w:t>
      </w:r>
      <w:r>
        <w:t xml:space="preserve"> und </w:t>
      </w:r>
      <w:r>
        <w:rPr>
          <w:b/>
          <w:bCs/>
        </w:rPr>
        <w:t>wo zeigen sich bereits heute Symptome des Wandels oder der Überforderung?</w:t>
      </w:r>
      <w:r>
        <w:t xml:space="preserve"> Dazu zählen etwa Frustration im Arbeitsalltag, Umgehung bestehender Abläufe oder häufige informelle Absprachen. Die Beobachtung richtet sich dabei nicht nur auf einzelne Personen, sondern auf </w:t>
      </w:r>
      <w:r>
        <w:rPr>
          <w:b/>
          <w:bCs/>
        </w:rPr>
        <w:t>funktionale Rollen, Beziehungen, Strukturen und kulturelle Muster</w:t>
      </w:r>
      <w:r>
        <w:t xml:space="preserve">. Systemische Methoden wie </w:t>
      </w:r>
      <w:r>
        <w:rPr>
          <w:b/>
          <w:bCs/>
        </w:rPr>
        <w:t>Netzwerkdiagramme</w:t>
      </w:r>
      <w:r>
        <w:t xml:space="preserve">, </w:t>
      </w:r>
      <w:r>
        <w:rPr>
          <w:b/>
          <w:bCs/>
        </w:rPr>
        <w:t>Soziogramme</w:t>
      </w:r>
      <w:r>
        <w:t xml:space="preserve">, </w:t>
      </w:r>
      <w:r>
        <w:rPr>
          <w:b/>
          <w:bCs/>
        </w:rPr>
        <w:t>Stakeholder-Matrixen</w:t>
      </w:r>
      <w:r>
        <w:t xml:space="preserve"> oder </w:t>
      </w:r>
      <w:r>
        <w:rPr>
          <w:b/>
          <w:bCs/>
        </w:rPr>
        <w:t>Rollen-Funktions-Karten</w:t>
      </w:r>
      <w:r>
        <w:t xml:space="preserve"> helfen, das Beziehungsgeflecht sichtbar zu machen. Wichtig ist, diese Vorbereitung nicht als isolierte Analyse zu verstehen, sondern als </w:t>
      </w:r>
      <w:r>
        <w:rPr>
          <w:b/>
          <w:bCs/>
        </w:rPr>
        <w:t>erste Intervention</w:t>
      </w:r>
      <w:r>
        <w:t xml:space="preserve">, bei der Beteiligte bereits als Mitdenkende aktiviert werden. Beobachtungen werden nicht als Fakten, sondern als </w:t>
      </w:r>
      <w:r>
        <w:rPr>
          <w:b/>
          <w:bCs/>
        </w:rPr>
        <w:t>Hypothesen über systemische Dynamiken</w:t>
      </w:r>
      <w:r>
        <w:t xml:space="preserve"> behandelt, die in den nächsten Schritten weiter erforscht werden sollen.</w:t>
      </w:r>
    </w:p>
    <w:p w14:paraId="4577E960" w14:textId="77777777" w:rsidR="00BB6D19" w:rsidRDefault="00000000">
      <w:pPr>
        <w:pStyle w:val="berschrift3"/>
      </w:pPr>
      <w:bookmarkStart w:id="6" w:name="phase-3-workshop-design-nach-rössel"/>
      <w:bookmarkEnd w:id="5"/>
      <w:r>
        <w:lastRenderedPageBreak/>
        <w:t xml:space="preserve">Phase 3: </w:t>
      </w:r>
      <w:r>
        <w:rPr>
          <w:b/>
          <w:bCs/>
        </w:rPr>
        <w:t>Workshop-Design nach Rössel</w:t>
      </w:r>
    </w:p>
    <w:p w14:paraId="2440DA13" w14:textId="77777777" w:rsidR="00BB6D19" w:rsidRDefault="00000000">
      <w:pPr>
        <w:pStyle w:val="FirstParagraph"/>
      </w:pPr>
      <w:r>
        <w:t xml:space="preserve">Das Workshop-Format nach Rössel ist ein praxisbewährter Ansatz zur Entwicklung oder Optimierung von Prozessen, bei dem </w:t>
      </w:r>
      <w:r>
        <w:rPr>
          <w:b/>
          <w:bCs/>
        </w:rPr>
        <w:t>systemisches Denken, partizipative Beteiligung und haptische Arbeitsweisen</w:t>
      </w:r>
      <w:r>
        <w:t xml:space="preserve"> im Vordergrund stehen. Es basiert auf der Idee, dass Prozesse nicht rein logisch-designerisch entworfen, sondern in einem sozialen Dialog gemeinsam </w:t>
      </w:r>
      <w:r>
        <w:rPr>
          <w:b/>
          <w:bCs/>
        </w:rPr>
        <w:t>sichtbar gemacht, verhandelt und rekonstruiert</w:t>
      </w:r>
      <w:r>
        <w:t xml:space="preserve"> werden. Der methodische Kern liegt in der Verwendung von </w:t>
      </w:r>
      <w:r>
        <w:rPr>
          <w:b/>
          <w:bCs/>
        </w:rPr>
        <w:t>Moderationskarten, Rollen-Clustern und symbolischen Gateways</w:t>
      </w:r>
      <w:r>
        <w:t xml:space="preserve">, die gemeinsam mit den Beteiligten auf Tischen oder Wänden ausgelegt und Schritt für Schritt entwickelt werden. Die Prozesse werden dabei nicht nur modelliert, sondern auch </w:t>
      </w:r>
      <w:r>
        <w:rPr>
          <w:b/>
          <w:bCs/>
        </w:rPr>
        <w:t>verinnerlicht</w:t>
      </w:r>
      <w:r>
        <w:t xml:space="preserve">, weil die Beteiligten selbst die Struktur mitgestalten. Diese Form der Prozessentwicklung erzeugt ein hohes Maß an </w:t>
      </w:r>
      <w:r>
        <w:rPr>
          <w:b/>
          <w:bCs/>
        </w:rPr>
        <w:t>Verständigung, Energie und Verantwortungsübernahme</w:t>
      </w:r>
      <w:r>
        <w:t>.</w:t>
      </w:r>
    </w:p>
    <w:tbl>
      <w:tblPr>
        <w:tblStyle w:val="Table"/>
        <w:tblW w:w="0" w:type="auto"/>
        <w:tblLook w:val="0020" w:firstRow="1" w:lastRow="0" w:firstColumn="0" w:lastColumn="0" w:noHBand="0" w:noVBand="0"/>
      </w:tblPr>
      <w:tblGrid>
        <w:gridCol w:w="2615"/>
        <w:gridCol w:w="7007"/>
      </w:tblGrid>
      <w:tr w:rsidR="00BB6D19" w14:paraId="0935A77F" w14:textId="77777777" w:rsidTr="00BB6D19">
        <w:trPr>
          <w:cnfStyle w:val="100000000000" w:firstRow="1" w:lastRow="0" w:firstColumn="0" w:lastColumn="0" w:oddVBand="0" w:evenVBand="0" w:oddHBand="0" w:evenHBand="0" w:firstRowFirstColumn="0" w:firstRowLastColumn="0" w:lastRowFirstColumn="0" w:lastRowLastColumn="0"/>
          <w:tblHeader/>
        </w:trPr>
        <w:tc>
          <w:tcPr>
            <w:tcW w:w="0" w:type="auto"/>
          </w:tcPr>
          <w:p w14:paraId="66FAC857" w14:textId="77777777" w:rsidR="00BB6D19" w:rsidRDefault="00000000">
            <w:pPr>
              <w:pStyle w:val="Compact"/>
            </w:pPr>
            <w:r>
              <w:t>Schritt</w:t>
            </w:r>
          </w:p>
        </w:tc>
        <w:tc>
          <w:tcPr>
            <w:tcW w:w="0" w:type="auto"/>
          </w:tcPr>
          <w:p w14:paraId="3DE4AFB6" w14:textId="77777777" w:rsidR="00BB6D19" w:rsidRDefault="00000000">
            <w:pPr>
              <w:pStyle w:val="Compact"/>
            </w:pPr>
            <w:r>
              <w:t>Methode &amp; Beschreibung</w:t>
            </w:r>
          </w:p>
        </w:tc>
      </w:tr>
      <w:tr w:rsidR="00BB6D19" w14:paraId="7B5C335C" w14:textId="77777777">
        <w:tc>
          <w:tcPr>
            <w:tcW w:w="0" w:type="auto"/>
          </w:tcPr>
          <w:p w14:paraId="6A676676" w14:textId="77777777" w:rsidR="00BB6D19" w:rsidRDefault="00000000">
            <w:pPr>
              <w:pStyle w:val="Compact"/>
            </w:pPr>
            <w:r>
              <w:rPr>
                <w:b/>
                <w:bCs/>
              </w:rPr>
              <w:t>1. Fokussierung</w:t>
            </w:r>
          </w:p>
        </w:tc>
        <w:tc>
          <w:tcPr>
            <w:tcW w:w="0" w:type="auto"/>
          </w:tcPr>
          <w:p w14:paraId="1BD2A6F8" w14:textId="77777777" w:rsidR="00BB6D19" w:rsidRDefault="00000000">
            <w:pPr>
              <w:pStyle w:val="Compact"/>
            </w:pPr>
            <w:r>
              <w:t>Zu Beginn wird gemeinsam geklärt, wodurch der Prozess ausgelöst wird (Input) und was als Ergebnis erwartet wird (Output). Diese Klarheit über Anfang und Ende des Prozesses schafft Orientierung und ermöglicht es, alle dazwischenliegenden Schritte sinnvoll zu verorten. Gleichzeitig wird hier die Systemgrenze des betrachteten Prozesses definiert – eine wichtige Voraussetzung für wirksame Prozessgestaltung.</w:t>
            </w:r>
          </w:p>
        </w:tc>
      </w:tr>
      <w:tr w:rsidR="00BB6D19" w14:paraId="59607A48" w14:textId="77777777">
        <w:tc>
          <w:tcPr>
            <w:tcW w:w="0" w:type="auto"/>
          </w:tcPr>
          <w:p w14:paraId="1B2B4443" w14:textId="77777777" w:rsidR="00BB6D19" w:rsidRDefault="00000000">
            <w:pPr>
              <w:pStyle w:val="Compact"/>
            </w:pPr>
            <w:r>
              <w:rPr>
                <w:b/>
                <w:bCs/>
              </w:rPr>
              <w:t>2. Ist-Modell</w:t>
            </w:r>
          </w:p>
        </w:tc>
        <w:tc>
          <w:tcPr>
            <w:tcW w:w="0" w:type="auto"/>
          </w:tcPr>
          <w:p w14:paraId="65E69149" w14:textId="77777777" w:rsidR="00BB6D19" w:rsidRDefault="00000000">
            <w:pPr>
              <w:pStyle w:val="Compact"/>
            </w:pPr>
            <w:r>
              <w:t>Die Teilnehmenden schreiben auf Moderationskarten die Tätigkeiten und Abläufe auf, die derzeit stattfinden, und legen sie gemeinsam aus. Dabei entstehen automatisch Gespräche über Wirklichkeitskonstruktionen und Wahrnehmungsunterschiede. Durch die haptische Darstellung entsteht ein kollektives Bild des aktuellen Prozesses, das auch implizites Wissen sichtbar macht.</w:t>
            </w:r>
          </w:p>
        </w:tc>
      </w:tr>
      <w:tr w:rsidR="00BB6D19" w14:paraId="23C3A84F" w14:textId="77777777">
        <w:tc>
          <w:tcPr>
            <w:tcW w:w="0" w:type="auto"/>
          </w:tcPr>
          <w:p w14:paraId="653FF10C" w14:textId="77777777" w:rsidR="00BB6D19" w:rsidRDefault="00000000">
            <w:pPr>
              <w:pStyle w:val="Compact"/>
            </w:pPr>
            <w:r>
              <w:rPr>
                <w:b/>
                <w:bCs/>
              </w:rPr>
              <w:t>3. Rollenzuordnung</w:t>
            </w:r>
          </w:p>
        </w:tc>
        <w:tc>
          <w:tcPr>
            <w:tcW w:w="0" w:type="auto"/>
          </w:tcPr>
          <w:p w14:paraId="610F51D8" w14:textId="77777777" w:rsidR="00BB6D19" w:rsidRDefault="00000000">
            <w:pPr>
              <w:pStyle w:val="Compact"/>
            </w:pPr>
            <w:r>
              <w:t>Die im Prozess beteiligten Rollen (nicht Personen) werden benannt und mit ihren Tätigkeiten verknüpft. Durch diese Zuordnung lassen sich Verantwortlichkeiten, Redundanzen und unklare Schnittstellen aufdecken. Die Darstellung in Schwimmbahnen oder Zeilen hilft, ein besseres Verständnis der Rollenlogik im Gesamtprozess zu entwickeln.</w:t>
            </w:r>
          </w:p>
        </w:tc>
      </w:tr>
      <w:tr w:rsidR="00BB6D19" w14:paraId="5A2EB641" w14:textId="77777777">
        <w:tc>
          <w:tcPr>
            <w:tcW w:w="0" w:type="auto"/>
          </w:tcPr>
          <w:p w14:paraId="241C9433" w14:textId="77777777" w:rsidR="00BB6D19" w:rsidRDefault="00000000">
            <w:pPr>
              <w:pStyle w:val="Compact"/>
            </w:pPr>
            <w:r>
              <w:rPr>
                <w:b/>
                <w:bCs/>
              </w:rPr>
              <w:t>4. Schnittstellenklärung</w:t>
            </w:r>
          </w:p>
        </w:tc>
        <w:tc>
          <w:tcPr>
            <w:tcW w:w="0" w:type="auto"/>
          </w:tcPr>
          <w:p w14:paraId="776E3686" w14:textId="77777777" w:rsidR="00BB6D19" w:rsidRDefault="00000000">
            <w:pPr>
              <w:pStyle w:val="Compact"/>
            </w:pPr>
            <w:r>
              <w:t>Immer wenn eine Aktivität von einer Rolle zur nächsten wechselt, entsteht eine Schnittstelle – potenziell eine Quelle für Verzögerung oder Missverständnis. Durch das explizite Aufdecken dieser Übergänge kann reflektiert werden, wie Übergaben aktuell funktionieren und wo Verbesserungspotenzial besteht. Die Schnittstellenarbeit ist ein zentraler Beitrag zur Entschärfung organisatorischer Spannungen.</w:t>
            </w:r>
          </w:p>
        </w:tc>
      </w:tr>
      <w:tr w:rsidR="00BB6D19" w14:paraId="31876324" w14:textId="77777777">
        <w:tc>
          <w:tcPr>
            <w:tcW w:w="0" w:type="auto"/>
          </w:tcPr>
          <w:p w14:paraId="4D12B3F4" w14:textId="77777777" w:rsidR="00BB6D19" w:rsidRDefault="00000000">
            <w:pPr>
              <w:pStyle w:val="Compact"/>
            </w:pPr>
            <w:r>
              <w:rPr>
                <w:b/>
                <w:bCs/>
              </w:rPr>
              <w:t>5. Soll-Prozess</w:t>
            </w:r>
          </w:p>
        </w:tc>
        <w:tc>
          <w:tcPr>
            <w:tcW w:w="0" w:type="auto"/>
          </w:tcPr>
          <w:p w14:paraId="618E7766" w14:textId="77777777" w:rsidR="00BB6D19" w:rsidRDefault="00000000">
            <w:pPr>
              <w:pStyle w:val="Compact"/>
            </w:pPr>
            <w:r>
              <w:t xml:space="preserve">Auf Basis des Ist-Modells wird nun ein neuer, verbesserter Prozess gemeinsam entworfen. Die Karten werden verschoben, ergänzt oder entfernt, um einen für alle tragfähigen Ablauf zu </w:t>
            </w:r>
            <w:r>
              <w:lastRenderedPageBreak/>
              <w:t>entwickeln. Dies geschieht in einem offenen Prozess, bei dem alle Stimmen gehört werden – was die spätere Umsetzung stark erleichtert.</w:t>
            </w:r>
          </w:p>
        </w:tc>
      </w:tr>
      <w:tr w:rsidR="00BB6D19" w14:paraId="15C9E745" w14:textId="77777777">
        <w:tc>
          <w:tcPr>
            <w:tcW w:w="0" w:type="auto"/>
          </w:tcPr>
          <w:p w14:paraId="31F322D0" w14:textId="77777777" w:rsidR="00BB6D19" w:rsidRDefault="00000000">
            <w:pPr>
              <w:pStyle w:val="Compact"/>
            </w:pPr>
            <w:r>
              <w:rPr>
                <w:b/>
                <w:bCs/>
              </w:rPr>
              <w:lastRenderedPageBreak/>
              <w:t>6. Gateways</w:t>
            </w:r>
          </w:p>
        </w:tc>
        <w:tc>
          <w:tcPr>
            <w:tcW w:w="0" w:type="auto"/>
          </w:tcPr>
          <w:p w14:paraId="578B4B05" w14:textId="77777777" w:rsidR="00BB6D19" w:rsidRDefault="00000000">
            <w:pPr>
              <w:pStyle w:val="Compact"/>
            </w:pPr>
            <w:r>
              <w:t>Bei komplexeren Prozessen kommen Verzweigungen und Entscheidungslogiken ins Spiel. Mit Hilfe von symbolischen Rhomben („Gateways“) werden Entscheidungspunkte (z. B. Ja/Nein, Entweder/Oder) oder parallele Abläufe sichtbar gemacht. Dadurch lässt sich ein realitätsnahes und vollständiges Prozessmodell abbilden, das auch Alternativen und Optionen einschließt.</w:t>
            </w:r>
          </w:p>
        </w:tc>
      </w:tr>
    </w:tbl>
    <w:p w14:paraId="7DB9FD7B" w14:textId="77777777" w:rsidR="00BB6D19" w:rsidRDefault="00000000">
      <w:pPr>
        <w:pStyle w:val="Textkrper"/>
      </w:pPr>
      <w:r>
        <w:rPr>
          <w:b/>
          <w:bCs/>
        </w:rPr>
        <w:t>Visualisierung</w:t>
      </w:r>
      <w:r>
        <w:t>: Anschließend wird das gemeinsam entwickelte Modell fotografisch dokumentiert und ggf. in ein digitales Format (z. B. mit PICTURE) übertragen, um es weiter nutzbar zu machen.</w:t>
      </w:r>
    </w:p>
    <w:p w14:paraId="633E5975" w14:textId="77777777" w:rsidR="00BB6D19" w:rsidRDefault="00000000">
      <w:pPr>
        <w:pStyle w:val="berschrift2"/>
      </w:pPr>
      <w:bookmarkStart w:id="7" w:name="Xe9a9d14678de1759bb9f86ecd65cbb981c58b5c"/>
      <w:bookmarkEnd w:id="3"/>
      <w:bookmarkEnd w:id="6"/>
      <w:r>
        <w:t>4. Rolle des systemischen Organisationsberaters</w:t>
      </w:r>
    </w:p>
    <w:tbl>
      <w:tblPr>
        <w:tblStyle w:val="Table"/>
        <w:tblW w:w="0" w:type="auto"/>
        <w:tblLook w:val="0020" w:firstRow="1" w:lastRow="0" w:firstColumn="0" w:lastColumn="0" w:noHBand="0" w:noVBand="0"/>
      </w:tblPr>
      <w:tblGrid>
        <w:gridCol w:w="2311"/>
        <w:gridCol w:w="7311"/>
      </w:tblGrid>
      <w:tr w:rsidR="00BB6D19" w14:paraId="5469DF4A" w14:textId="77777777" w:rsidTr="00BB6D19">
        <w:trPr>
          <w:cnfStyle w:val="100000000000" w:firstRow="1" w:lastRow="0" w:firstColumn="0" w:lastColumn="0" w:oddVBand="0" w:evenVBand="0" w:oddHBand="0" w:evenHBand="0" w:firstRowFirstColumn="0" w:firstRowLastColumn="0" w:lastRowFirstColumn="0" w:lastRowLastColumn="0"/>
          <w:tblHeader/>
        </w:trPr>
        <w:tc>
          <w:tcPr>
            <w:tcW w:w="0" w:type="auto"/>
          </w:tcPr>
          <w:p w14:paraId="69FACE6B" w14:textId="77777777" w:rsidR="00BB6D19" w:rsidRDefault="00000000">
            <w:pPr>
              <w:pStyle w:val="Compact"/>
            </w:pPr>
            <w:r>
              <w:t>Tätigkeitsfeld</w:t>
            </w:r>
          </w:p>
        </w:tc>
        <w:tc>
          <w:tcPr>
            <w:tcW w:w="0" w:type="auto"/>
          </w:tcPr>
          <w:p w14:paraId="55CDD4CF" w14:textId="77777777" w:rsidR="00BB6D19" w:rsidRDefault="00000000">
            <w:pPr>
              <w:pStyle w:val="Compact"/>
            </w:pPr>
            <w:r>
              <w:t>Konkrete Aufgaben</w:t>
            </w:r>
          </w:p>
        </w:tc>
      </w:tr>
      <w:tr w:rsidR="00BB6D19" w14:paraId="29F4D0BC" w14:textId="77777777">
        <w:tc>
          <w:tcPr>
            <w:tcW w:w="0" w:type="auto"/>
          </w:tcPr>
          <w:p w14:paraId="7CA80EC4" w14:textId="77777777" w:rsidR="00BB6D19" w:rsidRDefault="00000000">
            <w:pPr>
              <w:pStyle w:val="Compact"/>
            </w:pPr>
            <w:r>
              <w:rPr>
                <w:b/>
                <w:bCs/>
              </w:rPr>
              <w:t>Strukturelle Beobachtung</w:t>
            </w:r>
          </w:p>
        </w:tc>
        <w:tc>
          <w:tcPr>
            <w:tcW w:w="0" w:type="auto"/>
          </w:tcPr>
          <w:p w14:paraId="564B8331" w14:textId="77777777" w:rsidR="00BB6D19" w:rsidRDefault="00000000">
            <w:pPr>
              <w:pStyle w:val="Compact"/>
            </w:pPr>
            <w:r>
              <w:t>Der systemische Organisationsberater analysiert die organisationalen Rahmenbedingungen, versteckte Strukturen, Machtverhältnisse und Kommunikationsmuster, um verborgene Dynamiken und strukturelle Kopplungen sichtbar zu machen. Dabei nutzt er systemische Fragetechniken, Beobachtungslogiken und Hypothesenbildung, um nicht nur das Offensichtliche zu erfassen, sondern auch die unbewussten Steuerungsgrößen zu reflektieren. Ziel ist es, eine reflektierte Grundlage für Prozessgestaltung zu schaffen, die über formale Abläufe hinausgeht.</w:t>
            </w:r>
          </w:p>
        </w:tc>
      </w:tr>
      <w:tr w:rsidR="00BB6D19" w14:paraId="58131CB3" w14:textId="77777777">
        <w:tc>
          <w:tcPr>
            <w:tcW w:w="0" w:type="auto"/>
          </w:tcPr>
          <w:p w14:paraId="2FF87F49" w14:textId="77777777" w:rsidR="00BB6D19" w:rsidRDefault="00000000">
            <w:pPr>
              <w:pStyle w:val="Compact"/>
            </w:pPr>
            <w:r>
              <w:rPr>
                <w:b/>
                <w:bCs/>
              </w:rPr>
              <w:t>Moderation von Beteiligung</w:t>
            </w:r>
          </w:p>
        </w:tc>
        <w:tc>
          <w:tcPr>
            <w:tcW w:w="0" w:type="auto"/>
          </w:tcPr>
          <w:p w14:paraId="6B37D5D4" w14:textId="77777777" w:rsidR="00BB6D19" w:rsidRDefault="00000000">
            <w:pPr>
              <w:pStyle w:val="Compact"/>
            </w:pPr>
            <w:r>
              <w:t>Beteiligung wird nicht nur ermöglicht, sondern professionell gestaltet – durch dialogische Formate, strukturierte Workshop-Prozesse und Raum für Resonanz. Der Berater moderiert nicht nur Gespräche, sondern sorgt durch Prozess- und Beziehungskompetenz dafür, dass unterschiedliche Perspektiven sichtbar, Spannungen produktiv und Ergebnisse tragfähig werden. So entsteht Beteiligung mit Wirkung, nicht nur mit Anwesenheit.</w:t>
            </w:r>
          </w:p>
        </w:tc>
      </w:tr>
      <w:tr w:rsidR="00BB6D19" w14:paraId="01B4F119" w14:textId="77777777">
        <w:tc>
          <w:tcPr>
            <w:tcW w:w="0" w:type="auto"/>
          </w:tcPr>
          <w:p w14:paraId="7040F470" w14:textId="77777777" w:rsidR="00BB6D19" w:rsidRDefault="00000000">
            <w:pPr>
              <w:pStyle w:val="Compact"/>
            </w:pPr>
            <w:r>
              <w:rPr>
                <w:b/>
                <w:bCs/>
              </w:rPr>
              <w:t>Systemische Auftragsklärung</w:t>
            </w:r>
          </w:p>
        </w:tc>
        <w:tc>
          <w:tcPr>
            <w:tcW w:w="0" w:type="auto"/>
          </w:tcPr>
          <w:p w14:paraId="06EE5EBB" w14:textId="77777777" w:rsidR="00BB6D19" w:rsidRDefault="00000000">
            <w:pPr>
              <w:pStyle w:val="Compact"/>
            </w:pPr>
            <w:r>
              <w:t>Eine klare, tragfähige Auftragsklärung bildet das Fundament jeder Beratungsarbeit. Der systemische Berater unterstützt die beteiligten Parteien im Dreieckvertrag (z. B. Leitung, betroffene Einheit, Beratung) dabei, implizite Erwartungen, verdeckte Ziele und mögliche Zielkonflikte zu benennen und konstruktiv auszuhandeln. Er sorgt dafür, dass der Auftrag als dynamische Beziehung verstanden wird – nicht als einmalig fixierter Vertrag.</w:t>
            </w:r>
          </w:p>
        </w:tc>
      </w:tr>
      <w:tr w:rsidR="00BB6D19" w14:paraId="4724A782" w14:textId="77777777">
        <w:tc>
          <w:tcPr>
            <w:tcW w:w="0" w:type="auto"/>
          </w:tcPr>
          <w:p w14:paraId="1591F24C" w14:textId="77777777" w:rsidR="00BB6D19" w:rsidRDefault="00000000">
            <w:pPr>
              <w:pStyle w:val="Compact"/>
            </w:pPr>
            <w:r>
              <w:rPr>
                <w:b/>
                <w:bCs/>
              </w:rPr>
              <w:t>Kultur- und Sinnverankerung</w:t>
            </w:r>
          </w:p>
        </w:tc>
        <w:tc>
          <w:tcPr>
            <w:tcW w:w="0" w:type="auto"/>
          </w:tcPr>
          <w:p w14:paraId="1B091984" w14:textId="77777777" w:rsidR="00BB6D19" w:rsidRDefault="00000000">
            <w:pPr>
              <w:pStyle w:val="Compact"/>
            </w:pPr>
            <w:r>
              <w:t xml:space="preserve">Prozesse entfalten ihre Wirkung nur dann nachhaltig, wenn sie in die kulturellen Selbstverständlichkeiten der Organisation eingebettet </w:t>
            </w:r>
            <w:r>
              <w:lastRenderedPageBreak/>
              <w:t>sind. Der systemische Berater achtet darauf, dass neue Strukturen und Abläufe anschlussfähig an Werte, Rituale und das kollektive Selbstbild sind. Gleichzeitig bringt er Irritationen ein, wo blinde Flecken oder hinderliche Muster eine Transformation blockieren.</w:t>
            </w:r>
          </w:p>
        </w:tc>
      </w:tr>
      <w:tr w:rsidR="00BB6D19" w14:paraId="75347C33" w14:textId="77777777">
        <w:tc>
          <w:tcPr>
            <w:tcW w:w="0" w:type="auto"/>
          </w:tcPr>
          <w:p w14:paraId="643AF5CC" w14:textId="77777777" w:rsidR="00BB6D19" w:rsidRDefault="00000000">
            <w:pPr>
              <w:pStyle w:val="Compact"/>
            </w:pPr>
            <w:r>
              <w:rPr>
                <w:b/>
                <w:bCs/>
              </w:rPr>
              <w:lastRenderedPageBreak/>
              <w:t>Transferberatung</w:t>
            </w:r>
          </w:p>
        </w:tc>
        <w:tc>
          <w:tcPr>
            <w:tcW w:w="0" w:type="auto"/>
          </w:tcPr>
          <w:p w14:paraId="44F48F91" w14:textId="77777777" w:rsidR="00BB6D19" w:rsidRDefault="00000000">
            <w:pPr>
              <w:pStyle w:val="Compact"/>
            </w:pPr>
            <w:r>
              <w:t>Der systemische Berater begleitet nicht nur die Konzeptphase, sondern unterstützt auch den Übergang in den Alltag. Er fördert Eigenverantwortung und Selbstbeobachtung, moderiert Reflexionsschleifen nach der Umsetzung und stärkt die Prozessverantwortung im System. Ziel ist es, nachhaltige Lernschritte zu ermöglichen, ohne Abhängigkeit von externer Steuerung zu erzeugen.</w:t>
            </w:r>
          </w:p>
        </w:tc>
      </w:tr>
    </w:tbl>
    <w:p w14:paraId="798D9826" w14:textId="77777777" w:rsidR="00BB6D19" w:rsidRDefault="00000000">
      <w:pPr>
        <w:pStyle w:val="berschrift2"/>
      </w:pPr>
      <w:bookmarkStart w:id="8" w:name="Xe982aa6d75dd641a7d05f59b4b49921c8a548bd"/>
      <w:bookmarkEnd w:id="7"/>
      <w:r>
        <w:t>5. Integration mit Digitalisierung und Werkzeugen</w:t>
      </w:r>
    </w:p>
    <w:p w14:paraId="4812F219" w14:textId="77777777" w:rsidR="00BB6D19" w:rsidRDefault="00000000">
      <w:pPr>
        <w:pStyle w:val="FirstParagraph"/>
      </w:pPr>
      <w:r>
        <w:t xml:space="preserve">Systemisches Prozessmanagement integriert digitale Werkzeuge wie </w:t>
      </w:r>
      <w:r>
        <w:rPr>
          <w:b/>
          <w:bCs/>
        </w:rPr>
        <w:t>PICTURE</w:t>
      </w:r>
      <w:r>
        <w:t xml:space="preserve"> kontextsensibel – nie als Steuerungsinstrument, sondern als Mittel zur Verständigung. Digitalisierung wird kritisch reflektiert: Welche technischen Lösungen passen zur sozialen Logik der Organisation? Welche Nebenwirkungen entstehen? Reflexionsräume, Technikfolgenabschätzungen und Feedbackformate flankieren die Einführung digitaler Hilfsmittel.</w:t>
      </w:r>
    </w:p>
    <w:p w14:paraId="19DE9282" w14:textId="77777777" w:rsidR="00BB6D19" w:rsidRDefault="00000000">
      <w:pPr>
        <w:pStyle w:val="berschrift2"/>
      </w:pPr>
      <w:bookmarkStart w:id="9" w:name="Xf751637f1b7378cbd636f53a374fd23714e8445"/>
      <w:bookmarkEnd w:id="8"/>
      <w:r>
        <w:t>6. Typische Spannungsfelder systemisch adressieren</w:t>
      </w:r>
    </w:p>
    <w:tbl>
      <w:tblPr>
        <w:tblStyle w:val="Table"/>
        <w:tblW w:w="0" w:type="auto"/>
        <w:tblLook w:val="0020" w:firstRow="1" w:lastRow="0" w:firstColumn="0" w:lastColumn="0" w:noHBand="0" w:noVBand="0"/>
      </w:tblPr>
      <w:tblGrid>
        <w:gridCol w:w="2670"/>
        <w:gridCol w:w="6952"/>
      </w:tblGrid>
      <w:tr w:rsidR="00BB6D19" w14:paraId="54535462" w14:textId="77777777" w:rsidTr="00BB6D19">
        <w:trPr>
          <w:cnfStyle w:val="100000000000" w:firstRow="1" w:lastRow="0" w:firstColumn="0" w:lastColumn="0" w:oddVBand="0" w:evenVBand="0" w:oddHBand="0" w:evenHBand="0" w:firstRowFirstColumn="0" w:firstRowLastColumn="0" w:lastRowFirstColumn="0" w:lastRowLastColumn="0"/>
          <w:tblHeader/>
        </w:trPr>
        <w:tc>
          <w:tcPr>
            <w:tcW w:w="0" w:type="auto"/>
          </w:tcPr>
          <w:p w14:paraId="0AA74E83" w14:textId="77777777" w:rsidR="00BB6D19" w:rsidRDefault="00000000">
            <w:pPr>
              <w:pStyle w:val="Compact"/>
            </w:pPr>
            <w:r>
              <w:t>Spannungsfeld</w:t>
            </w:r>
          </w:p>
        </w:tc>
        <w:tc>
          <w:tcPr>
            <w:tcW w:w="0" w:type="auto"/>
          </w:tcPr>
          <w:p w14:paraId="4F7B9D6E" w14:textId="77777777" w:rsidR="00BB6D19" w:rsidRDefault="00000000">
            <w:pPr>
              <w:pStyle w:val="Compact"/>
            </w:pPr>
            <w:r>
              <w:t>Systemische Perspektive</w:t>
            </w:r>
          </w:p>
        </w:tc>
      </w:tr>
      <w:tr w:rsidR="00BB6D19" w14:paraId="1265B16C" w14:textId="77777777">
        <w:tc>
          <w:tcPr>
            <w:tcW w:w="0" w:type="auto"/>
          </w:tcPr>
          <w:p w14:paraId="1BD92220" w14:textId="77777777" w:rsidR="00BB6D19" w:rsidRDefault="00000000">
            <w:pPr>
              <w:pStyle w:val="Compact"/>
            </w:pPr>
            <w:r>
              <w:rPr>
                <w:b/>
                <w:bCs/>
              </w:rPr>
              <w:t>Silos</w:t>
            </w:r>
          </w:p>
        </w:tc>
        <w:tc>
          <w:tcPr>
            <w:tcW w:w="0" w:type="auto"/>
          </w:tcPr>
          <w:p w14:paraId="73FED607" w14:textId="77777777" w:rsidR="00BB6D19" w:rsidRDefault="00000000">
            <w:pPr>
              <w:pStyle w:val="Compact"/>
            </w:pPr>
            <w:r>
              <w:t>Systemisches Denken betrachtet Silos nicht als bloße Strukturprobleme, sondern als Ausdruck funktionaler Abgrenzung. Die Aufgabe besteht darin, neue Formen struktureller Kopplung zwischen Organisationseinheiten zu schaffen – etwa durch rollenübergreifende Prozesse oder temporäre Kooperationsformate. Prozesse sollen als Verbindungsräume gestaltet werden, in denen sich Verantwortung über Bereichsgrenzen hinweg entfalten kann.</w:t>
            </w:r>
          </w:p>
        </w:tc>
      </w:tr>
      <w:tr w:rsidR="00BB6D19" w14:paraId="5B80EEAF" w14:textId="77777777">
        <w:tc>
          <w:tcPr>
            <w:tcW w:w="0" w:type="auto"/>
          </w:tcPr>
          <w:p w14:paraId="62543ED8" w14:textId="77777777" w:rsidR="00BB6D19" w:rsidRDefault="00000000">
            <w:pPr>
              <w:pStyle w:val="Compact"/>
            </w:pPr>
            <w:r>
              <w:rPr>
                <w:b/>
                <w:bCs/>
              </w:rPr>
              <w:t>Fachkräftemangel</w:t>
            </w:r>
          </w:p>
        </w:tc>
        <w:tc>
          <w:tcPr>
            <w:tcW w:w="0" w:type="auto"/>
          </w:tcPr>
          <w:p w14:paraId="54FBD0AA" w14:textId="77777777" w:rsidR="00BB6D19" w:rsidRDefault="00000000">
            <w:pPr>
              <w:pStyle w:val="Compact"/>
            </w:pPr>
            <w:r>
              <w:t>Fachkräftemangel zeigt sich nicht nur quantitativ, sondern oft qualitativ – durch Überforderung, Rollenunklarheit oder ineffiziente Abläufe. Systemisches Prozessmanagement hilft, überflüssige Tätigkeiten sichtbar zu machen und Prozesse so zu gestalten, dass sie entlasten und Orientierung geben. Durch transparente Rollenverteilung, schlanke Schnittstellen und dialogische Feedbackformate kann die verbleibende Personalressource wirksamer eingebunden werden.</w:t>
            </w:r>
          </w:p>
        </w:tc>
      </w:tr>
      <w:tr w:rsidR="00BB6D19" w14:paraId="7CBA93AB" w14:textId="77777777">
        <w:tc>
          <w:tcPr>
            <w:tcW w:w="0" w:type="auto"/>
          </w:tcPr>
          <w:p w14:paraId="7C51A31C" w14:textId="77777777" w:rsidR="00BB6D19" w:rsidRDefault="00000000">
            <w:pPr>
              <w:pStyle w:val="Compact"/>
            </w:pPr>
            <w:r>
              <w:rPr>
                <w:b/>
                <w:bCs/>
              </w:rPr>
              <w:t>Bürgerunzufriedenheit</w:t>
            </w:r>
          </w:p>
        </w:tc>
        <w:tc>
          <w:tcPr>
            <w:tcW w:w="0" w:type="auto"/>
          </w:tcPr>
          <w:p w14:paraId="62EB6CD2" w14:textId="77777777" w:rsidR="00BB6D19" w:rsidRDefault="00000000">
            <w:pPr>
              <w:pStyle w:val="Compact"/>
            </w:pPr>
            <w:r>
              <w:t xml:space="preserve">Bürgerunzufriedenheit ist häufig ein Resonanzsignal dafür, dass Prozesse aus Sicht der Adressat:innen nicht anschlussfähig sind. Systemische Perspektiven fragen danach, wie Bürger:innen als Umwelt des Verwaltungssystems wahrgenommen und </w:t>
            </w:r>
            <w:r>
              <w:lastRenderedPageBreak/>
              <w:t>berücksichtigt werden. Co-Design-Formate, partizipative Rückmeldeschleifen und nutzerzentrierte Prozessgestaltung ermöglichen eine Beziehungsgestaltung, die nicht nur effizient, sondern auch vertrauensbildend wirkt.</w:t>
            </w:r>
          </w:p>
        </w:tc>
      </w:tr>
      <w:tr w:rsidR="00BB6D19" w14:paraId="2A1DF940" w14:textId="77777777">
        <w:tc>
          <w:tcPr>
            <w:tcW w:w="0" w:type="auto"/>
          </w:tcPr>
          <w:p w14:paraId="1CC01018" w14:textId="77777777" w:rsidR="00BB6D19" w:rsidRDefault="00000000">
            <w:pPr>
              <w:pStyle w:val="Compact"/>
            </w:pPr>
            <w:r>
              <w:rPr>
                <w:b/>
                <w:bCs/>
              </w:rPr>
              <w:lastRenderedPageBreak/>
              <w:t>Digitalisierungsdruck</w:t>
            </w:r>
          </w:p>
        </w:tc>
        <w:tc>
          <w:tcPr>
            <w:tcW w:w="0" w:type="auto"/>
          </w:tcPr>
          <w:p w14:paraId="0F361DB2" w14:textId="77777777" w:rsidR="00BB6D19" w:rsidRDefault="00000000">
            <w:pPr>
              <w:pStyle w:val="Compact"/>
            </w:pPr>
            <w:r>
              <w:t>Digitalisierung wird häufig technikzentriert betrieben und löst dadurch Unsicherheit und Widerstand aus. Systemisch betrachtet ist Digitalisierung ein sozialer Prozess, der Integration, Sinnstiftung und Passung erfordert. Neue Tools sollten nicht bloß eingeführt, sondern mit den sozialen und kulturellen Mustern der Organisation verknüpft werden – etwa durch erprobte Beteiligungsformate, Pilotphasen und dialogische Technikfolgenreflexion.</w:t>
            </w:r>
          </w:p>
        </w:tc>
      </w:tr>
    </w:tbl>
    <w:p w14:paraId="5AEFDFF2" w14:textId="77777777" w:rsidR="00BB6D19" w:rsidRDefault="00000000">
      <w:pPr>
        <w:pStyle w:val="berschrift2"/>
      </w:pPr>
      <w:bookmarkStart w:id="10" w:name="fazit"/>
      <w:bookmarkEnd w:id="9"/>
      <w:r>
        <w:t>7. Fazit</w:t>
      </w:r>
    </w:p>
    <w:p w14:paraId="3F6F1CA2" w14:textId="77777777" w:rsidR="00BB6D19" w:rsidRDefault="00000000">
      <w:pPr>
        <w:pStyle w:val="FirstParagraph"/>
      </w:pPr>
      <w:r>
        <w:t>Systemische Prozessmodernisierung bedeutet weit mehr als technische oder organisatorische Veränderung – sie macht Beteiligte zu aktiven Mitgestaltenden ihres eigenen Systems. Der hier beschriebene Ansatz vereint strukturierte Prozessentwicklung mit kultureller Sensibilität, partizipativer Haltung und digitaler Anschlussfähigkeit. Prozesse werden nicht über die Köpfe der Menschen hinweg entworfen, sondern gemeinsam mit ihnen gestaltet – orientiert an ihren Erfahrungen, Ressourcen und Bedürfnissen im Alltag.</w:t>
      </w:r>
    </w:p>
    <w:p w14:paraId="24AA44E6" w14:textId="77777777" w:rsidR="00BB6D19" w:rsidRDefault="00000000">
      <w:pPr>
        <w:pStyle w:val="Textkrper"/>
      </w:pPr>
      <w:r>
        <w:t>Ein wesentlicher Mehrwert systemischer Arbeitsweise liegt darin, Spannungsfelder nicht zu vermeiden, sondern als produktive Impulse für Entwicklung zu nutzen. So entstehen nicht nur robuste Abläufe, sondern auch neue Kommunikationsräume, vertiefte Selbstreflexion und ein wachsendes Vertrauen zwischen Führung, Mitarbeitenden und Bürger:innen.</w:t>
      </w:r>
    </w:p>
    <w:p w14:paraId="3322016C" w14:textId="77777777" w:rsidR="00BB6D19" w:rsidRDefault="00000000">
      <w:pPr>
        <w:pStyle w:val="Textkrper"/>
      </w:pPr>
      <w:r>
        <w:t>Das Konzept versteht sich als lebendiger Orientierungsrahmen, der an die spezifischen Gegebenheiten von Landesbehörden angepasst und durch Praxiserfahrungen kontinuierlich weiterentwickelt werden kann.</w:t>
      </w:r>
      <w:bookmarkEnd w:id="0"/>
      <w:bookmarkEnd w:id="10"/>
    </w:p>
    <w:sectPr w:rsidR="00BB6D19">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5249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5086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B6D19"/>
    <w:rsid w:val="00793A4E"/>
    <w:rsid w:val="00A7248B"/>
    <w:rsid w:val="00BB6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0A3D3"/>
  <w15:docId w15:val="{5946EC62-3824-4616-AD5F-99F60F53A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Words>
  <Characters>12232</Characters>
  <Application>Microsoft Office Word</Application>
  <DocSecurity>0</DocSecurity>
  <Lines>101</Lines>
  <Paragraphs>28</Paragraphs>
  <ScaleCrop>false</ScaleCrop>
  <Company/>
  <LinksUpToDate>false</LinksUpToDate>
  <CharactersWithSpaces>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Systemische_Prozessmodernisierung_Landesbehoerden</dc:title>
  <dc:creator/>
  <cp:keywords/>
  <cp:lastModifiedBy>Sweti Beltschew</cp:lastModifiedBy>
  <cp:revision>3</cp:revision>
  <dcterms:created xsi:type="dcterms:W3CDTF">2025-05-26T08:33:00Z</dcterms:created>
  <dcterms:modified xsi:type="dcterms:W3CDTF">2025-05-26T08:37:00Z</dcterms:modified>
</cp:coreProperties>
</file>