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强度校核报告</w:t>
      </w:r>
    </w:p>
    <w:p>
      <w:r>
        <w:rPr>
          <w:sz w:val="21"/>
        </w:rPr>
        <w:t>分析任务(Study)：STUDY-20261023-110034</w:t>
      </w:r>
    </w:p>
    <w:p>
      <w:r>
        <w:rPr>
          <w:sz w:val="21"/>
        </w:rPr>
        <w:t>模板：wingbox_v1    生成时间：2026-10-23 11:00:37</w:t>
      </w:r>
    </w:p>
    <w:p>
      <w:pPr>
        <w:pStyle w:val="Heading1"/>
      </w:pPr>
      <w:r>
        <w:t>1  参数与模型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8"/>
              </w:rPr>
              <w:t>参数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c_root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c_tip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n_ribs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n_stringers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sweep_deg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25.0</w:t>
            </w:r>
          </w:p>
        </w:tc>
      </w:tr>
    </w:tbl>
    <w:p>
      <w:pPr>
        <w:pStyle w:val="Heading1"/>
      </w:pPr>
      <w:r>
        <w:t>2  校核依据</w:t>
      </w:r>
    </w:p>
    <w:p>
      <w:r>
        <w:rPr>
          <w:sz w:val="21"/>
        </w:rPr>
        <w:t>失效准则：tsai_wu、hashin</w:t>
      </w:r>
    </w:p>
    <w:p>
      <w:r>
        <w:rPr>
          <w:sz w:val="21"/>
        </w:rPr>
        <w:t>安全系数：1</w:t>
      </w:r>
    </w:p>
    <w:p>
      <w:r>
        <w:rPr>
          <w:sz w:val="21"/>
        </w:rPr>
        <w:t>材料许用值：Xt=1500, Xc=1200, Yt=50, Yc=200, S=70 MPa</w:t>
      </w:r>
    </w:p>
    <w:p>
      <w:pPr>
        <w:pStyle w:val="Heading1"/>
      </w:pPr>
      <w:r>
        <w:t>3  校核结果汇总</w:t>
      </w:r>
    </w:p>
    <w:p>
      <w:r>
        <w:rPr>
          <w:sz w:val="21"/>
        </w:rPr>
        <w:t>单元数：6    明细行数：24</w:t>
      </w:r>
    </w:p>
    <w:p>
      <w:r>
        <w:rPr>
          <w:sz w:val="21"/>
        </w:rPr>
        <w:t>校核自然格数：6    排除的不连续格数：0</w:t>
      </w:r>
    </w:p>
    <w:p>
      <w:r>
        <w:rPr>
          <w:sz w:val="21"/>
        </w:rPr>
        <w:t>最大失效指数 FI：3.6</w:t>
      </w:r>
    </w:p>
    <w:p>
      <w:r>
        <w:rPr>
          <w:sz w:val="21"/>
        </w:rPr>
        <w:t>最小安全裕度 MS：-0.7222</w:t>
      </w:r>
    </w:p>
    <w:p>
      <w:r>
        <w:rPr>
          <w:sz w:val="21"/>
        </w:rPr>
        <w:t>总体判定：不合格</w:t>
      </w:r>
    </w:p>
    <w:p>
      <w:pPr>
        <w:pStyle w:val="Heading1"/>
      </w:pPr>
      <w:r>
        <w:t>4  危险部位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sz w:val="18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单元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铺层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准则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-0.7222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10.36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0.072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12.89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14.62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hashin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0.056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16.86</w:t>
            </w:r>
          </w:p>
        </w:tc>
      </w:tr>
    </w:tbl>
    <w:p>
      <w:pPr>
        <w:pStyle w:val="Heading2"/>
      </w:pPr>
      <w:r>
        <w:t>4.1  不连续格（已排除出自然格级校核）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8"/>
              </w:rPr>
              <w:t>不连续格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说明</w:t>
            </w:r>
          </w:p>
        </w:tc>
      </w:tr>
    </w:tbl>
    <w:p>
      <w:pPr>
        <w:pStyle w:val="Heading1"/>
      </w:pPr>
      <w:r>
        <w:t>5  危险部位图</w:t>
      </w:r>
    </w:p>
    <w:p>
      <w:r>
        <w:drawing>
          <wp:inline xmlns:a="http://schemas.openxmlformats.org/drawingml/2006/main" xmlns:pic="http://schemas.openxmlformats.org/drawingml/2006/picture">
            <wp:extent cx="5580000" cy="355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sp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  结论与建议</w:t>
      </w:r>
    </w:p>
    <w:p>
      <w:r>
        <w:rPr>
          <w:sz w:val="21"/>
        </w:rPr>
        <w:t>经校核，本模型存在不满足强度要求的部位（最大失效指数 FI=3.6）。</w:t>
        <w:br/>
        <w:t>建议对第 4 章所列危险部位进行局部加强（增加铺层/改变铺向/加筋），并重新校核验证。</w:t>
        <w:br/>
        <w:t>（本结论为 AI 辅助草稿 L1，须经强度分析人员审核后签发 L2。）</w:t>
      </w:r>
    </w:p>
    <w:p/>
    <w:p>
      <w:r>
        <w:rPr>
          <w:i/>
        </w:rPr>
        <w:t>说明：本报告结论文字为 AI 辅助草稿（L1），须经人工审核签发（L2）；FI/MS 的计算与判定为确定性算法（L0），不含 AI 参与。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