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40"/>
        <w:jc w:val="center"/>
        <w:shd w:val="clear" w:color="auto" w:fill="0D1B2A"/>
      </w:pPr>
      <w:r>
        <w:rPr>
          <w:b/>
          <w:color w:val="00AEEF"/>
          <w:sz w:val="72"/>
        </w:rPr>
        <w:t>LLM CLUSTER</w:t>
      </w:r>
    </w:p>
    <w:p>
      <w:pPr>
        <w:spacing w:before="80" w:after="40"/>
        <w:jc w:val="center"/>
        <w:shd w:val="clear" w:color="auto" w:fill="0D1B2A"/>
      </w:pPr>
      <w:r>
        <w:rPr>
          <w:b/>
          <w:color w:val="FFFFFF"/>
          <w:sz w:val="44"/>
        </w:rPr>
        <w:t>Technische Dokumentation v2</w:t>
      </w:r>
    </w:p>
    <w:p>
      <w:pPr>
        <w:spacing w:before="80" w:after="40"/>
        <w:jc w:val="center"/>
        <w:shd w:val="clear" w:color="auto" w:fill="0D1B2A"/>
      </w:pPr>
      <w:r>
        <w:rPr>
          <w:b w:val="0"/>
          <w:color w:val="FFFFFF"/>
          <w:sz w:val="20"/>
        </w:rPr>
        <w:t xml:space="preserve"> </w:t>
      </w:r>
    </w:p>
    <w:p>
      <w:pPr>
        <w:spacing w:before="80" w:after="40"/>
        <w:jc w:val="center"/>
        <w:shd w:val="clear" w:color="auto" w:fill="0D1B2A"/>
      </w:pPr>
      <w:r>
        <w:rPr>
          <w:b w:val="0"/>
          <w:color w:val="F2F5F8"/>
          <w:sz w:val="28"/>
        </w:rPr>
        <w:t>Architektur · Technologie · Performance · Skalierung</w:t>
      </w:r>
    </w:p>
    <w:p>
      <w:pPr>
        <w:spacing w:before="80" w:after="40"/>
        <w:jc w:val="center"/>
        <w:shd w:val="clear" w:color="auto" w:fill="0D1B2A"/>
      </w:pPr>
      <w:r>
        <w:rPr>
          <w:b w:val="0"/>
          <w:color w:val="00AEEF"/>
          <w:sz w:val="22"/>
        </w:rPr>
        <w:t>Ubuntu 26.04 LTS · Ray · vLLM · DeepSpeed · On-Premise · 2026</w:t>
      </w:r>
    </w:p>
    <w:p>
      <w:pPr>
        <w:spacing w:before="80" w:after="40"/>
        <w:jc w:val="center"/>
        <w:shd w:val="clear" w:color="auto" w:fill="0D1B2A"/>
      </w:pPr>
      <w:r>
        <w:rPr>
          <w:b w:val="0"/>
          <w:color w:val="FFFFFF"/>
          <w:sz w:val="56"/>
        </w:rPr>
        <w:t xml:space="preserve"> </w:t>
      </w:r>
    </w:p>
    <w:p>
      <w:r>
        <w:br w:type="page"/>
      </w:r>
    </w:p>
    <w:p>
      <w:pPr>
        <w:spacing w:before="400" w:after="120"/>
      </w:pPr>
      <w:r>
        <w:rPr>
          <w:b/>
          <w:color w:val="00AEEF"/>
          <w:sz w:val="34"/>
        </w:rPr>
        <w:t>Inhaltsverzeichnis</w:t>
      </w:r>
    </w:p>
    <w:p>
      <w:pPr>
        <w:spacing w:after="60"/>
      </w:pPr>
      <w:r>
        <w:rPr>
          <w:color w:val="0D1B2A"/>
          <w:sz w:val="22"/>
        </w:rPr>
        <w:t>1.  Projektziele &amp; Design-Prinzipien</w:t>
      </w:r>
    </w:p>
    <w:p>
      <w:pPr>
        <w:spacing w:after="60"/>
      </w:pPr>
      <w:r>
        <w:rPr>
          <w:color w:val="0D1B2A"/>
          <w:sz w:val="22"/>
        </w:rPr>
        <w:t>2.  Gesamtarchitektur</w:t>
      </w:r>
    </w:p>
    <w:p>
      <w:pPr>
        <w:spacing w:after="60"/>
      </w:pPr>
      <w:r>
        <w:rPr>
          <w:color w:val="0D1B2A"/>
          <w:sz w:val="22"/>
        </w:rPr>
        <w:t>3.  Netzwerk-Design (Dual-NIC, NAT, Cluster-Interconnect)</w:t>
      </w:r>
    </w:p>
    <w:p>
      <w:pPr>
        <w:spacing w:after="60"/>
      </w:pPr>
      <w:r>
        <w:rPr>
          <w:color w:val="0D1B2A"/>
          <w:sz w:val="22"/>
        </w:rPr>
        <w:t>4.  Warum Ray statt k3s</w:t>
      </w:r>
    </w:p>
    <w:p>
      <w:pPr>
        <w:spacing w:after="60"/>
      </w:pPr>
      <w:r>
        <w:rPr>
          <w:color w:val="0D1B2A"/>
          <w:sz w:val="22"/>
        </w:rPr>
        <w:t>5.  Tensor Parallelism erklärt</w:t>
      </w:r>
    </w:p>
    <w:p>
      <w:pPr>
        <w:spacing w:after="60"/>
      </w:pPr>
      <w:r>
        <w:rPr>
          <w:color w:val="0D1B2A"/>
          <w:sz w:val="22"/>
        </w:rPr>
        <w:t>6.  DeepSpeed ZeRO-3 erklärt</w:t>
      </w:r>
    </w:p>
    <w:p>
      <w:pPr>
        <w:spacing w:after="60"/>
      </w:pPr>
      <w:r>
        <w:rPr>
          <w:color w:val="0D1B2A"/>
          <w:sz w:val="22"/>
        </w:rPr>
        <w:t>7.  NCCL über 1 GbE — Realität und Grenzen</w:t>
      </w:r>
    </w:p>
    <w:p>
      <w:pPr>
        <w:spacing w:after="60"/>
      </w:pPr>
      <w:r>
        <w:rPr>
          <w:color w:val="0D1B2A"/>
          <w:sz w:val="22"/>
        </w:rPr>
        <w:t>8.  Hardware-Constraints &amp; Performance</w:t>
      </w:r>
    </w:p>
    <w:p>
      <w:pPr>
        <w:spacing w:after="60"/>
      </w:pPr>
      <w:r>
        <w:rPr>
          <w:color w:val="0D1B2A"/>
          <w:sz w:val="22"/>
        </w:rPr>
        <w:t>9.  Modell-Strategie</w:t>
      </w:r>
    </w:p>
    <w:p>
      <w:pPr>
        <w:spacing w:after="60"/>
      </w:pPr>
      <w:r>
        <w:rPr>
          <w:color w:val="0D1B2A"/>
          <w:sz w:val="22"/>
        </w:rPr>
        <w:t>10.  Externe Erreichbarkeit &amp; Sicherheit</w:t>
      </w:r>
    </w:p>
    <w:p>
      <w:pPr>
        <w:spacing w:after="60"/>
      </w:pPr>
      <w:r>
        <w:rPr>
          <w:color w:val="0D1B2A"/>
          <w:sz w:val="22"/>
        </w:rPr>
        <w:t>11.  Monitoring-Architektur</w:t>
      </w:r>
    </w:p>
    <w:p>
      <w:pPr>
        <w:spacing w:after="60"/>
      </w:pPr>
      <w:r>
        <w:rPr>
          <w:color w:val="0D1B2A"/>
          <w:sz w:val="22"/>
        </w:rPr>
        <w:t>12.  Scaling-Strategie</w:t>
      </w:r>
    </w:p>
    <w:p>
      <w:pPr>
        <w:spacing w:after="60"/>
      </w:pPr>
      <w:r>
        <w:rPr>
          <w:color w:val="0D1B2A"/>
          <w:sz w:val="22"/>
        </w:rPr>
        <w:t>13.  Risiken &amp; Mitigationen</w:t>
      </w:r>
    </w:p>
    <w:p>
      <w:pPr>
        <w:spacing w:after="60"/>
      </w:pPr>
      <w:r>
        <w:rPr>
          <w:color w:val="0D1B2A"/>
          <w:sz w:val="22"/>
        </w:rPr>
        <w:t>14.  Anhang: Technische Referenz</w:t>
      </w:r>
    </w:p>
    <w:p>
      <w:r>
        <w:br w:type="page"/>
      </w:r>
    </w:p>
    <w:p>
      <w:pPr>
        <w:spacing w:before="400" w:after="120"/>
      </w:pPr>
      <w:r>
        <w:rPr>
          <w:b/>
          <w:color w:val="00AEEF"/>
          <w:sz w:val="34"/>
        </w:rPr>
        <w:t>1. Projektziele &amp; Design-Prinzipien</w:t>
      </w:r>
    </w:p>
    <w:p>
      <w:pPr>
        <w:spacing w:after="100"/>
      </w:pPr>
      <w:r>
        <w:rPr>
          <w:color w:val="101820"/>
          <w:sz w:val="22"/>
        </w:rPr>
        <w:t>Dieses Cluster ist eine selbst-gehostete, On-Premise LLM-Infrastruktur auf Commodity-Laptop-Hardware. Das primäre Ziel ist es, ein leistungsfähiges Sprachmodell zu betreiben, das Tasks einer Automation-Pipeline verarbeitet und strukturierte Ergebnisse zurückgibt. Das Cluster ist so konzipiert, dass es von 2 auf 10 Nodes skaliert ohne Architekturänderungen.</w:t>
      </w:r>
    </w:p>
    <w:p>
      <w:pPr>
        <w:spacing w:before="240" w:after="80"/>
      </w:pPr>
      <w:r>
        <w:rPr>
          <w:b/>
          <w:color w:val="0D1B2A"/>
          <w:sz w:val="26"/>
        </w:rPr>
        <w:t>Design-Prinzipien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4533"/>
        <w:gridCol w:w="4533"/>
      </w:tblGrid>
      <w:tr>
        <w:tc>
          <w:tcPr>
            <w:tcW w:type="dxa" w:w="316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Prinzip</w:t>
            </w:r>
          </w:p>
        </w:tc>
        <w:tc>
          <w:tcPr>
            <w:tcW w:type="dxa" w:w="720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Umsetzung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On-Premise</w:t>
            </w:r>
          </w:p>
        </w:tc>
        <w:tc>
          <w:tcPr>
            <w:tcW w:type="dxa" w:w="720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Keine Cloud-Abhängigkeit. Alle Daten, Modelle und Compute bleiben lokal.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Model Parallelism</w:t>
            </w:r>
          </w:p>
        </w:tc>
        <w:tc>
          <w:tcPr>
            <w:tcW w:type="dxa" w:w="720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vLLM Tensor Parallelism verteilt ein Modell über alle GPUs des Clusters.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OpenAI-kompatible API</w:t>
            </w:r>
          </w:p>
        </w:tc>
        <w:tc>
          <w:tcPr>
            <w:tcW w:type="dxa" w:w="720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vLLM exponiert /v1/chat/completions — jeder OpenAI-Client funktioniert ohne Änderungen.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Horizontale Skalierung</w:t>
            </w:r>
          </w:p>
        </w:tc>
        <w:tc>
          <w:tcPr>
            <w:tcW w:type="dxa" w:w="720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Node hinzufügen: Ray joinen, --tensor-parallel-size erhöhen. Keine Architekturänderung.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Inference first</w:t>
            </w:r>
          </w:p>
        </w:tc>
        <w:tc>
          <w:tcPr>
            <w:tcW w:type="dxa" w:w="720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Serving ist das primäre Ziel. Training-Infrastruktur wird bei 4+ Nodes aktiviert.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Hardware-genaue Konfiguration</w:t>
            </w:r>
          </w:p>
        </w:tc>
        <w:tc>
          <w:tcPr>
            <w:tcW w:type="dxa" w:w="720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Alle Einstellungen basieren auf echten Hardware-Tests (T1000 4 GB, -ngl 20, ~12 t/s).</w:t>
            </w:r>
          </w:p>
        </w:tc>
      </w:tr>
    </w:tbl>
    <w:p/>
    <w:p>
      <w:pPr>
        <w:spacing w:before="400" w:after="120"/>
      </w:pPr>
      <w:r>
        <w:rPr>
          <w:b/>
          <w:color w:val="00AEEF"/>
          <w:sz w:val="34"/>
        </w:rPr>
        <w:t>2. Gesamtarchitektur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AUTOMATION PIPELINE / REST CLIENT                               │</w:t>
        <w:br/>
        <w:t>│  POST http://192.168.10.10:8000/v1/chat/completions             │</w:t>
        <w:br/>
        <w:t>└──────────────────────────────┬─────────────────────────────────┘</w:t>
        <w:br/>
        <w:t xml:space="preserve">                               │</w:t>
        <w:br/>
        <w:t>┌──────────────────────────────┬─────────────────────────────────┐</w:t>
        <w:br/>
        <w:t>│  vLLM API Server (node-00:8000)  │  Tensor Parallelism          │</w:t>
        <w:br/>
        <w:t>│  --tensor-parallel-size N        │  Modell-Layer auf N GPUs     │</w:t>
        <w:br/>
        <w:t>└──────────────────────────────┴─────────────────────────────────┘</w:t>
        <w:br/>
        <w:t xml:space="preserve">                               │ Ray distributed backend</w:t>
        <w:br/>
        <w:t>┌──────────────────────────────┬─────────────────────────────────┐</w:t>
        <w:br/>
        <w:t>│  Ray Cluster                     │  Head: node-00               │</w:t>
        <w:br/>
        <w:t>│  GPU-Ressourcen-Management       │  Worker: node-01...node-0N   │</w:t>
        <w:br/>
        <w:t>└──────────────────────────────┴─────────────────────────────────┘</w:t>
        <w:br/>
        <w:t xml:space="preserve">                               │ NCCL over TCP (1 GbE)</w:t>
        <w:br/>
        <w:t>┌──────────────────────────────┬─────────────────────────────────┐</w:t>
        <w:br/>
        <w:t>│  CUDA 12.6 + NCCL + PyTorch 2.x  │  GPU-zu-GPU Kommunikation    │</w:t>
        <w:br/>
        <w:t>│  Jeder Node: T1000 4 GB VRAM     │  Tensor Sync via TCP         │</w:t>
        <w:br/>
        <w:t>└──────────────────────────────┴─────────────────────────────────┘</w:t>
        <w:br/>
        <w:t xml:space="preserve">                               │ 1 GbE Ethernet Switch</w:t>
        <w:br/>
        <w:t xml:space="preserve">              node-00          node-01          node-0N</w:t>
        <w:br/>
        <w:t xml:space="preserve">           192.168.10.10    192.168.10.11    192.168.10.1N</w:t>
        <w:br/>
        <w:t xml:space="preserve">           Ray Head         Ray Worker       Ray Worker</w:t>
      </w:r>
    </w:p>
    <w:p>
      <w:pPr>
        <w:spacing w:before="400" w:after="120"/>
      </w:pPr>
      <w:r>
        <w:rPr>
          <w:b/>
          <w:color w:val="00AEEF"/>
          <w:sz w:val="34"/>
        </w:rPr>
        <w:t>3. Netzwerk-Design</w:t>
      </w:r>
    </w:p>
    <w:p>
      <w:pPr>
        <w:spacing w:after="100"/>
      </w:pPr>
      <w:r>
        <w:rPr>
          <w:color w:val="101820"/>
          <w:sz w:val="22"/>
        </w:rPr>
        <w:t>Das Netzwerk-Design ist das komplexeste Element des Setups. node-00 hat zwei Interfaces: WiFi für Internet-Zugang und Ethernet für den Cluster-Interconnect. node-00 fungiert als NAT-Gateway für alle Worker-Nodes.</w:t>
      </w:r>
    </w:p>
    <w:p>
      <w:pPr>
        <w:spacing w:before="240" w:after="80"/>
      </w:pPr>
      <w:r>
        <w:rPr>
          <w:b/>
          <w:color w:val="0D1B2A"/>
          <w:sz w:val="26"/>
        </w:rPr>
        <w:t>Dual-Interface auf node-00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01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Interface</w:t>
            </w:r>
          </w:p>
        </w:tc>
        <w:tc>
          <w:tcPr>
            <w:tcW w:type="dxa" w:w="2304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Typ</w:t>
            </w:r>
          </w:p>
        </w:tc>
        <w:tc>
          <w:tcPr>
            <w:tcW w:type="dxa" w:w="316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IP</w:t>
            </w:r>
          </w:p>
        </w:tc>
        <w:tc>
          <w:tcPr>
            <w:tcW w:type="dxa" w:w="288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Zweck</w:t>
            </w:r>
          </w:p>
        </w:tc>
      </w:tr>
      <w:tr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wlan0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WiFi (DHCP)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192.168.1.x (vom Router)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Internet-Zugang, Updates, Downloads</w:t>
            </w:r>
          </w:p>
        </w:tc>
      </w:tr>
      <w:tr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enp0s31f6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Ethernet (statisch)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192.168.10.10/24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Cluster-Interconnect, NCCL, Ray</w:t>
            </w:r>
          </w:p>
        </w:tc>
      </w:tr>
    </w:tbl>
    <w:p/>
    <w:p>
      <w:pPr>
        <w:spacing w:before="240" w:after="80"/>
      </w:pPr>
      <w:r>
        <w:rPr>
          <w:b/>
          <w:color w:val="0D1B2A"/>
          <w:sz w:val="26"/>
        </w:rPr>
        <w:t>NAT-Konfiguration</w:t>
      </w:r>
    </w:p>
    <w:p>
      <w:pPr>
        <w:spacing w:after="100"/>
      </w:pPr>
      <w:r>
        <w:rPr>
          <w:color w:val="101820"/>
          <w:sz w:val="22"/>
        </w:rPr>
        <w:t>iptables MASQUERADE leitet den Internet-Traffic der Worker-Nodes über node-00's WiFi-Verbindung. Die Regeln werden via iptables-persistent dauerhaft gespeichert und überleben Reboots.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# NAT-Regeln (node-00)</w:t>
        <w:br/>
        <w:t>iptables -t nat -A POSTROUTING -s 192.168.10.0/24 -o wlan0 -j MASQUERADE</w:t>
        <w:br/>
        <w:t>iptables -A FORWARD -i enp0s31f6 -o wlan0 -j ACCEPT</w:t>
        <w:br/>
        <w:t>iptables -A FORWARD -i wlan0 -o enp0s31f6 -m state --state RELATED,ESTABLISHED -j ACCEPT</w:t>
        <w:br/>
        <w:br/>
        <w:t># UFW Forward-Policy (MUSS vor ufw enable gesetzt werden)</w:t>
        <w:br/>
        <w:t>sed -i 's/DEFAULT_FORWARD_POLICY="DROP"/DEFAULT_FORWARD_POLICY="ACCEPT"/' /etc/default/ufw</w:t>
      </w:r>
    </w:p>
    <w:p>
      <w:pPr>
        <w:spacing w:before="240" w:after="80"/>
      </w:pPr>
      <w:r>
        <w:rPr>
          <w:b/>
          <w:color w:val="0D1B2A"/>
          <w:sz w:val="26"/>
        </w:rPr>
        <w:t>Subnetz-Layout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4533"/>
        <w:gridCol w:w="4533"/>
      </w:tblGrid>
      <w:tr>
        <w:tc>
          <w:tcPr>
            <w:tcW w:type="dxa" w:w="316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Adressbereich</w:t>
            </w:r>
          </w:p>
        </w:tc>
        <w:tc>
          <w:tcPr>
            <w:tcW w:type="dxa" w:w="720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Zweck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192.168.10.10</w:t>
            </w:r>
          </w:p>
        </w:tc>
        <w:tc>
          <w:tcPr>
            <w:tcW w:type="dxa" w:w="720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node-00 (Ray Head, vLLM API, NAT-Gateway)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192.168.10.11–19</w:t>
            </w:r>
          </w:p>
        </w:tc>
        <w:tc>
          <w:tcPr>
            <w:tcW w:type="dxa" w:w="720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node-01 bis node-09 (Ray Worker)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192.168.10.200–220</w:t>
            </w:r>
          </w:p>
        </w:tc>
        <w:tc>
          <w:tcPr>
            <w:tcW w:type="dxa" w:w="720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Reserviert (MetalLB, falls k3s später genutzt)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192.168.1.x</w:t>
            </w:r>
          </w:p>
        </w:tc>
        <w:tc>
          <w:tcPr>
            <w:tcW w:type="dxa" w:w="720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WiFi-Netz (Router DHCP an node-00 wlan0)</w:t>
            </w:r>
          </w:p>
        </w:tc>
      </w:tr>
    </w:tbl>
    <w:p/>
    <w:p>
      <w:pPr>
        <w:spacing w:before="400" w:after="120"/>
      </w:pPr>
      <w:r>
        <w:rPr>
          <w:b/>
          <w:color w:val="00AEEF"/>
          <w:sz w:val="34"/>
        </w:rPr>
        <w:t>4. Warum Ray statt k3s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Aspekt</w:t>
            </w:r>
          </w:p>
        </w:tc>
        <w:tc>
          <w:tcPr>
            <w:tcW w:type="dxa" w:w="288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k3s (Kubernetes)</w:t>
            </w:r>
          </w:p>
        </w:tc>
        <w:tc>
          <w:tcPr>
            <w:tcW w:type="dxa" w:w="288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Ray</w:t>
            </w:r>
          </w:p>
        </w:tc>
        <w:tc>
          <w:tcPr>
            <w:tcW w:type="dxa" w:w="201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Entscheidung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Model Parallelism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Nicht nativ unterstützt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Nativ via vLLM Tensor Parallelism</w:t>
            </w:r>
          </w:p>
        </w:tc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Ray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GPU-Kommunikation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Pods unabhängig, kein NCCL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NCCL über alle Nodes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Ray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Training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KubeFlow (komplex)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DeepSpeed ZeRO-3 (einfach)</w:t>
            </w:r>
          </w:p>
        </w:tc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Ray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Setup-Aufwand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Hoch (Manifests, CRDs)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Niedrig (pip install ray)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Ray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RAM-Overhead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~500 MB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~200 MB</w:t>
            </w:r>
          </w:p>
        </w:tc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Ray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Python-Integration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Kubectl + YAML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Direkt in Python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Ray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Inference-Skalierung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DaemonSet (unabhängige Pods)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Tensor Parallelism (ein Modell)</w:t>
            </w:r>
          </w:p>
        </w:tc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Ray</w:t>
            </w:r>
          </w:p>
        </w:tc>
      </w:tr>
    </w:tbl>
    <w:p/>
    <w:p>
      <w:pPr>
        <w:spacing w:after="100"/>
      </w:pPr>
      <w:r>
        <w:rPr>
          <w:color w:val="101820"/>
          <w:sz w:val="22"/>
        </w:rPr>
        <w:t>k3s bleibt eine valide Option für reine Inference-Workloads (jeder Node unabhängig). Für echtes Model Parallelism — ein großes Modell über alle GPUs — ist Ray + vLLM die richtige Wahl.</w:t>
      </w:r>
    </w:p>
    <w:p>
      <w:pPr>
        <w:spacing w:before="400" w:after="120"/>
      </w:pPr>
      <w:r>
        <w:rPr>
          <w:b/>
          <w:color w:val="00AEEF"/>
          <w:sz w:val="34"/>
        </w:rPr>
        <w:t>5. Tensor Parallelism erklärt</w:t>
      </w:r>
    </w:p>
    <w:p>
      <w:pPr>
        <w:spacing w:after="100"/>
      </w:pPr>
      <w:r>
        <w:rPr>
          <w:color w:val="101820"/>
          <w:sz w:val="22"/>
        </w:rPr>
        <w:t>Tensor Parallelism (TP) verteilt die Gewichtsmatrizen eines Modells über mehrere GPUs. Jede GPU hält einen Teil der Attention-Heads und FFN-Schichten. Bei jedem Forward-Pass müssen die GPUs ihre Zwischenergebnisse synchronisieren — das ist die NCCL-Kommunikation.</w:t>
      </w:r>
    </w:p>
    <w:p>
      <w:pPr>
        <w:spacing w:before="240" w:after="80"/>
      </w:pPr>
      <w:r>
        <w:rPr>
          <w:b/>
          <w:color w:val="0D1B2A"/>
          <w:sz w:val="26"/>
        </w:rPr>
        <w:t>Wie vLLM Tensor Parallelism implementiert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022"/>
        <w:gridCol w:w="3022"/>
        <w:gridCol w:w="3022"/>
      </w:tblGrid>
      <w:tr>
        <w:tc>
          <w:tcPr>
            <w:tcW w:type="dxa" w:w="288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Schicht</w:t>
            </w:r>
          </w:p>
        </w:tc>
        <w:tc>
          <w:tcPr>
            <w:tcW w:type="dxa" w:w="316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Ohne TP (1 GPU)</w:t>
            </w:r>
          </w:p>
        </w:tc>
        <w:tc>
          <w:tcPr>
            <w:tcW w:type="dxa" w:w="432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Mit TP=2 (2 GPUs)</w:t>
            </w:r>
          </w:p>
        </w:tc>
      </w:tr>
      <w:tr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Attention Heads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32 Heads auf 1 GPU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16 Heads auf GPU-0, 16 auf GPU-1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FFN (Feed-Forward)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Volle Matrix auf 1 GPU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Spalten aufgeteilt auf 2 GPUs</w:t>
            </w:r>
          </w:p>
        </w:tc>
      </w:tr>
      <w:tr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VRAM pro GPU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~16 GB (FP16 8B)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~8 GB pro GPU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Kommunikation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Keine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AllReduce nach jeder Attention-Schicht</w:t>
            </w:r>
          </w:p>
        </w:tc>
      </w:tr>
    </w:tbl>
    <w:p/>
    <w:p>
      <w:pPr>
        <w:spacing w:before="240" w:after="80"/>
      </w:pPr>
      <w:r>
        <w:rPr>
          <w:b/>
          <w:color w:val="0D1B2A"/>
          <w:sz w:val="26"/>
        </w:rPr>
        <w:t>NCCL-Konfiguration für 1 GbE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# Erforderliche Umgebungsvariablen fuer TCP-Kommunikation</w:t>
        <w:br/>
        <w:t>export NCCL_SOCKET_IFNAME=enp0s31f6  # Cluster-Interface (NICHT WiFi!)</w:t>
        <w:br/>
        <w:t>export NCCL_IB_DISABLE=1              # Kein InfiniBand</w:t>
        <w:br/>
        <w:t>export NCCL_P2P_DISABLE=1             # Kein NVLink (Laptops haben keins)</w:t>
        <w:br/>
        <w:t>export NCCL_DEBUG=WARN                # Logging-Level</w:t>
      </w:r>
    </w:p>
    <w:p>
      <w:pPr>
        <w:spacing w:before="400" w:after="120"/>
      </w:pPr>
      <w:r>
        <w:rPr>
          <w:b/>
          <w:color w:val="00AEEF"/>
          <w:sz w:val="34"/>
        </w:rPr>
        <w:t>6. DeepSpeed ZeRO-3 erklärt</w:t>
      </w:r>
    </w:p>
    <w:p>
      <w:pPr>
        <w:spacing w:after="100"/>
      </w:pPr>
      <w:r>
        <w:rPr>
          <w:color w:val="101820"/>
          <w:sz w:val="22"/>
        </w:rPr>
        <w:t>DeepSpeed ZeRO (Zero Redundancy Optimizer) Stage 3 partitioniert Modell-Gewichte, Gradienten UND Optimizer-Zustände über alle Nodes. Im Gegensatz zu Tensor Parallelism (für Inference) ist ZeRO-3 für Training optimiert.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022"/>
        <w:gridCol w:w="3022"/>
        <w:gridCol w:w="3022"/>
      </w:tblGrid>
      <w:tr>
        <w:tc>
          <w:tcPr>
            <w:tcW w:type="dxa" w:w="2304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ZeRO Stage</w:t>
            </w:r>
          </w:p>
        </w:tc>
        <w:tc>
          <w:tcPr>
            <w:tcW w:type="dxa" w:w="403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Was wird partitioniert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VRAM-Reduktion</w:t>
            </w:r>
          </w:p>
        </w:tc>
      </w:tr>
      <w:tr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Stage 1</w:t>
            </w:r>
          </w:p>
        </w:tc>
        <w:tc>
          <w:tcPr>
            <w:tcW w:type="dxa" w:w="403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Optimizer-Zustände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~4x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Stage 2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Optimizer + Gradienten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~8x</w:t>
            </w:r>
          </w:p>
        </w:tc>
      </w:tr>
      <w:tr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Stage 3 (genutzt)</w:t>
            </w:r>
          </w:p>
        </w:tc>
        <w:tc>
          <w:tcPr>
            <w:tcW w:type="dxa" w:w="403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Optimizer + Gradienten + Modell-Gewichte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~N× (N = Anzahl Nodes)</w:t>
            </w:r>
          </w:p>
        </w:tc>
      </w:tr>
    </w:tbl>
    <w:p/>
    <w:p>
      <w:pPr>
        <w:spacing w:after="100"/>
      </w:pPr>
      <w:r>
        <w:rPr>
          <w:color w:val="101820"/>
          <w:sz w:val="22"/>
        </w:rPr>
        <w:t>Bei 2 Nodes mit ZeRO-3: Jeder Node hält nur 50% der Modell-Gewichte. Effektiver VRAM: 2 × 4 GB = 8 GB. Das ermöglicht das Training von Llama 3.1 8B mit QLoRA auf 2 Nodes.</w:t>
      </w:r>
    </w:p>
    <w:p>
      <w:pPr>
        <w:spacing w:before="400" w:after="120"/>
      </w:pPr>
      <w:r>
        <w:rPr>
          <w:b/>
          <w:color w:val="00AEEF"/>
          <w:sz w:val="34"/>
        </w:rPr>
        <w:t>7. NCCL über 1 GbE — Realität und Grenzen</w:t>
      </w:r>
    </w:p>
    <w:p>
      <w:pPr>
        <w:spacing w:after="100"/>
      </w:pPr>
      <w:r>
        <w:rPr>
          <w:color w:val="101820"/>
          <w:sz w:val="22"/>
        </w:rPr>
        <w:t>1 GbE ist für Tensor Parallelism suboptimal aber funktional. Die Latenz ist höher als bei NVLink oder InfiniBand, aber für Batch-Verarbeitung (Automation Pipeline) akzeptabel.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345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Szenario</w:t>
            </w:r>
          </w:p>
        </w:tc>
        <w:tc>
          <w:tcPr>
            <w:tcW w:type="dxa" w:w="2304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1 GbE</w:t>
            </w:r>
          </w:p>
        </w:tc>
        <w:tc>
          <w:tcPr>
            <w:tcW w:type="dxa" w:w="2304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10 GbE</w:t>
            </w:r>
          </w:p>
        </w:tc>
        <w:tc>
          <w:tcPr>
            <w:tcW w:type="dxa" w:w="2304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NVLink</w:t>
            </w:r>
          </w:p>
        </w:tc>
      </w:tr>
      <w:tr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Inference Latenz (Tensor Parallel)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~50–100ms Overhead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~5–10ms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&lt;1ms</w:t>
            </w:r>
          </w:p>
        </w:tc>
      </w:tr>
      <w:tr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Training Gradient Sync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Langsam (Bottleneck)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Gut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Sehr gut</w:t>
            </w:r>
          </w:p>
        </w:tc>
      </w:tr>
      <w:tr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Batch-Pipeline (nicht Echtzeit)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Akzeptabel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Gut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Sehr gut</w:t>
            </w:r>
          </w:p>
        </w:tc>
      </w:tr>
      <w:tr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Interaktive Nutzung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Spürbare Latenz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Kaum spürbar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Nicht spürbar</w:t>
            </w:r>
          </w:p>
        </w:tc>
      </w:tr>
    </w:tbl>
    <w:p/>
    <w:p>
      <w:pPr>
        <w:spacing w:after="100"/>
      </w:pPr>
      <w:r>
        <w:rPr>
          <w:color w:val="101820"/>
          <w:sz w:val="22"/>
        </w:rPr>
        <w:t>Empfehlung: 1 GbE für MVP und Batch-Pipelines. Upgrade auf 10 GbE wenn Training-Gradient-Sync zum Bottleneck wird (messbar via Ray Dashboard).</w:t>
      </w:r>
    </w:p>
    <w:p>
      <w:pPr>
        <w:spacing w:before="400" w:after="120"/>
      </w:pPr>
      <w:r>
        <w:rPr>
          <w:b/>
          <w:color w:val="00AEEF"/>
          <w:sz w:val="34"/>
        </w:rPr>
        <w:t>8. Hardware-Constraints &amp; Performance</w:t>
      </w:r>
    </w:p>
    <w:p>
      <w:pPr>
        <w:spacing w:before="240" w:after="80"/>
      </w:pPr>
      <w:r>
        <w:rPr>
          <w:b/>
          <w:color w:val="0D1B2A"/>
          <w:sz w:val="26"/>
        </w:rPr>
        <w:t>Bestätigte Hardware-Constraints (aus echten Tests)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022"/>
        <w:gridCol w:w="3022"/>
        <w:gridCol w:w="3022"/>
      </w:tblGrid>
      <w:tr>
        <w:tc>
          <w:tcPr>
            <w:tcW w:type="dxa" w:w="316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Parameter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Wert</w:t>
            </w:r>
          </w:p>
        </w:tc>
        <w:tc>
          <w:tcPr>
            <w:tcW w:type="dxa" w:w="460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Hinweis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GPU VRAM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4 GB</w:t>
            </w:r>
          </w:p>
        </w:tc>
        <w:tc>
          <w:tcPr>
            <w:tcW w:type="dxa" w:w="460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T1000 Max-Q — hartes Limit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Modellgröße (Q4_K_M)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4.7 GB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Größer als VRAM — GPU+CPU Split erforderlich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Funktionierendes -ngl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20</w:t>
            </w:r>
          </w:p>
        </w:tc>
        <w:tc>
          <w:tcPr>
            <w:tcW w:type="dxa" w:w="460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Bei Q4_K_M: 20 Layer auf GPU (~2.7 GB), 15 auf CPU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Kontextfenster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6144 Tokens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Getestet und funktionierend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Geschwindigkeit pro Node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~12 t/s</w:t>
            </w:r>
          </w:p>
        </w:tc>
        <w:tc>
          <w:tcPr>
            <w:tcW w:type="dxa" w:w="460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Bei -ngl 20, Q4_K_M, ctx 6144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Parallele Slots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2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--parallel 2 pro Node</w:t>
            </w:r>
          </w:p>
        </w:tc>
      </w:tr>
    </w:tbl>
    <w:p/>
    <w:p>
      <w:pPr>
        <w:spacing w:before="240" w:after="80"/>
      </w:pPr>
      <w:r>
        <w:rPr>
          <w:b/>
          <w:color w:val="0D1B2A"/>
          <w:sz w:val="26"/>
        </w:rPr>
        <w:t>Cluster-Durchsatz bei Skalierung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144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Nodes</w:t>
            </w:r>
          </w:p>
        </w:tc>
        <w:tc>
          <w:tcPr>
            <w:tcW w:type="dxa" w:w="216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t/s gesamt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Concurrent Slots</w:t>
            </w:r>
          </w:p>
        </w:tc>
        <w:tc>
          <w:tcPr>
            <w:tcW w:type="dxa" w:w="561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Training VRAM (DDP)</w:t>
            </w:r>
          </w:p>
        </w:tc>
      </w:tr>
      <w:tr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2 (MVP)</w:t>
            </w:r>
          </w:p>
        </w:tc>
        <w:tc>
          <w:tcPr>
            <w:tcW w:type="dxa" w:w="216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~24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4</w:t>
            </w:r>
          </w:p>
        </w:tc>
        <w:tc>
          <w:tcPr>
            <w:tcW w:type="dxa" w:w="56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8 GB — 8B QLoRA komfortabel</w:t>
            </w:r>
          </w:p>
        </w:tc>
      </w:tr>
      <w:tr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4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~48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8</w:t>
            </w:r>
          </w:p>
        </w:tc>
        <w:tc>
          <w:tcPr>
            <w:tcW w:type="dxa" w:w="56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16 GB — 13B QLoRA oder 8B Full FT</w:t>
            </w:r>
          </w:p>
        </w:tc>
      </w:tr>
      <w:tr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6</w:t>
            </w:r>
          </w:p>
        </w:tc>
        <w:tc>
          <w:tcPr>
            <w:tcW w:type="dxa" w:w="216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~72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12</w:t>
            </w:r>
          </w:p>
        </w:tc>
        <w:tc>
          <w:tcPr>
            <w:tcW w:type="dxa" w:w="56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24 GB — 13B Full FT</w:t>
            </w:r>
          </w:p>
        </w:tc>
      </w:tr>
      <w:tr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10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~120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20</w:t>
            </w:r>
          </w:p>
        </w:tc>
        <w:tc>
          <w:tcPr>
            <w:tcW w:type="dxa" w:w="56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40 GB — 70B QLoRA komfortabel</w:t>
            </w:r>
          </w:p>
        </w:tc>
      </w:tr>
    </w:tbl>
    <w:p/>
    <w:p>
      <w:pPr>
        <w:spacing w:before="400" w:after="120"/>
      </w:pPr>
      <w:r>
        <w:rPr>
          <w:b/>
          <w:color w:val="00AEEF"/>
          <w:sz w:val="34"/>
        </w:rPr>
        <w:t>9. Modell-Strategie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288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Modell</w:t>
            </w:r>
          </w:p>
        </w:tc>
        <w:tc>
          <w:tcPr>
            <w:tcW w:type="dxa" w:w="172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Format</w:t>
            </w:r>
          </w:p>
        </w:tc>
        <w:tc>
          <w:tcPr>
            <w:tcW w:type="dxa" w:w="172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Größe</w:t>
            </w:r>
          </w:p>
        </w:tc>
        <w:tc>
          <w:tcPr>
            <w:tcW w:type="dxa" w:w="172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TP-Size</w:t>
            </w:r>
          </w:p>
        </w:tc>
        <w:tc>
          <w:tcPr>
            <w:tcW w:type="dxa" w:w="2304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Effektiver VRAM</w:t>
            </w:r>
          </w:p>
        </w:tc>
        <w:tc>
          <w:tcPr>
            <w:tcW w:type="dxa" w:w="288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Empfehlung</w:t>
            </w:r>
          </w:p>
        </w:tc>
      </w:tr>
      <w:tr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Llama 3.1 8B Instruct</w:t>
            </w:r>
          </w:p>
        </w:tc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HF FP16</w:t>
            </w:r>
          </w:p>
        </w:tc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~16 GB</w:t>
            </w:r>
          </w:p>
        </w:tc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2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8 GB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Start-Modell, beste Fine-Tuning-Basis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Llama 3.1 13B Instruct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HF FP16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~26 GB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4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16 GB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Bessere Qualität, 4 Nodes erforderlich</w:t>
            </w:r>
          </w:p>
        </w:tc>
      </w:tr>
      <w:tr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Llama 3.1 70B Instruct</w:t>
            </w:r>
          </w:p>
        </w:tc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HF Q4</w:t>
            </w:r>
          </w:p>
        </w:tc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~40 GB</w:t>
            </w:r>
          </w:p>
        </w:tc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10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40 GB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Höchste Qualität, 10 Nodes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Llama 3.1 8B (GGUF)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Q4_K_M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~4.7 GB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 (Fallback)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4 GB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llama.cpp Fallback, Single-Node</w:t>
            </w:r>
          </w:p>
        </w:tc>
      </w:tr>
    </w:tbl>
    <w:p/>
    <w:p>
      <w:pPr>
        <w:spacing w:before="400" w:after="120"/>
      </w:pPr>
      <w:r>
        <w:rPr>
          <w:b/>
          <w:color w:val="00AEEF"/>
          <w:sz w:val="34"/>
        </w:rPr>
        <w:t>10. Externe Erreichbarkeit &amp; Sicherheit</w:t>
      </w:r>
    </w:p>
    <w:p>
      <w:pPr>
        <w:spacing w:after="100"/>
      </w:pPr>
      <w:r>
        <w:rPr>
          <w:color w:val="101820"/>
          <w:sz w:val="22"/>
        </w:rPr>
        <w:t>Alle Web-UIs werden über Caddy als Reverse Proxy gebündelt. Der Zugang von außen erfolgt über ein VPN (z.B. Tailscale) — kein Port-Forwarding am Router erforderlich.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Dienst</w:t>
            </w:r>
          </w:p>
        </w:tc>
        <w:tc>
          <w:tcPr>
            <w:tcW w:type="dxa" w:w="201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Interner Port</w:t>
            </w:r>
          </w:p>
        </w:tc>
        <w:tc>
          <w:tcPr>
            <w:tcW w:type="dxa" w:w="2304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Caddy-Pfad</w:t>
            </w:r>
          </w:p>
        </w:tc>
        <w:tc>
          <w:tcPr>
            <w:tcW w:type="dxa" w:w="345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Authentifizierung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vLLM API</w:t>
            </w:r>
          </w:p>
        </w:tc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8000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/api/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Keine (LAN-intern)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Ray Dashboard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8265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/ray/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Keine (nur intern)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Cockpit</w:t>
            </w:r>
          </w:p>
        </w:tc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9090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/cockpit/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System-Login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Grafana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3000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/grafana/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Grafana-Login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llama.cpp Fallback</w:t>
            </w:r>
          </w:p>
        </w:tc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8080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/llama/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Keine</w:t>
            </w:r>
          </w:p>
        </w:tc>
      </w:tr>
    </w:tbl>
    <w:p/>
    <w:p>
      <w:pPr>
        <w:spacing w:after="100"/>
      </w:pPr>
      <w:r>
        <w:rPr>
          <w:color w:val="101820"/>
          <w:sz w:val="22"/>
        </w:rPr>
        <w:t>Sicherheitsempfehlung: vLLM API-Key-Authentifizierung aktivieren wenn der Endpunkt über VPN extern erreichbar ist: --api-key &lt;secret&gt; beim vLLM-Start.</w:t>
      </w:r>
    </w:p>
    <w:p>
      <w:pPr>
        <w:spacing w:before="400" w:after="120"/>
      </w:pPr>
      <w:r>
        <w:rPr>
          <w:b/>
          <w:color w:val="00AEEF"/>
          <w:sz w:val="34"/>
        </w:rPr>
        <w:t>11. Monitoring-Architektur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Komponente</w:t>
            </w:r>
          </w:p>
        </w:tc>
        <w:tc>
          <w:tcPr>
            <w:tcW w:type="dxa" w:w="345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Zweck</w:t>
            </w:r>
          </w:p>
        </w:tc>
        <w:tc>
          <w:tcPr>
            <w:tcW w:type="dxa" w:w="115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Port</w:t>
            </w:r>
          </w:p>
        </w:tc>
        <w:tc>
          <w:tcPr>
            <w:tcW w:type="dxa" w:w="316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Zugang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Cockpit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System-Monitoring, Service-Management, Multi-Node</w:t>
            </w:r>
          </w:p>
        </w:tc>
        <w:tc>
          <w:tcPr>
            <w:tcW w:type="dxa" w:w="115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9090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https://&lt;ip&gt;/cockpit/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Ray Dashboard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Cluster-Status, GPU-Ressourcen, Task-Scheduling</w:t>
            </w:r>
          </w:p>
        </w:tc>
        <w:tc>
          <w:tcPr>
            <w:tcW w:type="dxa" w:w="115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8265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https://&lt;ip&gt;/ray/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Prometheus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Metriken-Sammlung (Node, GPU, Cluster)</w:t>
            </w:r>
          </w:p>
        </w:tc>
        <w:tc>
          <w:tcPr>
            <w:tcW w:type="dxa" w:w="115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9090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Intern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Grafana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Dashboards, Alerting, GPU-Metriken</w:t>
            </w:r>
          </w:p>
        </w:tc>
        <w:tc>
          <w:tcPr>
            <w:tcW w:type="dxa" w:w="115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3000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https://&lt;ip&gt;/grafana/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DCGM Exporter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NVIDIA GPU-Metriken (Utilization, VRAM, Temp)</w:t>
            </w:r>
          </w:p>
        </w:tc>
        <w:tc>
          <w:tcPr>
            <w:tcW w:type="dxa" w:w="115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9400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Intern (Prometheus)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Caddy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HTTPS Reverse Proxy, TLS-Terminierung</w:t>
            </w:r>
          </w:p>
        </w:tc>
        <w:tc>
          <w:tcPr>
            <w:tcW w:type="dxa" w:w="115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443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Extern</w:t>
            </w:r>
          </w:p>
        </w:tc>
      </w:tr>
    </w:tbl>
    <w:p/>
    <w:p>
      <w:pPr>
        <w:spacing w:before="400" w:after="120"/>
      </w:pPr>
      <w:r>
        <w:rPr>
          <w:b/>
          <w:color w:val="00AEEF"/>
          <w:sz w:val="34"/>
        </w:rPr>
        <w:t>12. Scaling-Strategie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304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Meilenstein</w:t>
            </w:r>
          </w:p>
        </w:tc>
        <w:tc>
          <w:tcPr>
            <w:tcW w:type="dxa" w:w="115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Nodes</w:t>
            </w:r>
          </w:p>
        </w:tc>
        <w:tc>
          <w:tcPr>
            <w:tcW w:type="dxa" w:w="345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Erforderliche Aktion</w:t>
            </w:r>
          </w:p>
        </w:tc>
        <w:tc>
          <w:tcPr>
            <w:tcW w:type="dxa" w:w="345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Was sich ändert</w:t>
            </w:r>
          </w:p>
        </w:tc>
      </w:tr>
      <w:tr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MVP</w:t>
            </w:r>
          </w:p>
        </w:tc>
        <w:tc>
          <w:tcPr>
            <w:tcW w:type="dxa" w:w="115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2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Diese Anleitung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2-Node Cluster, 24 t/s, 8 GB Training VRAM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Kleines Team</w:t>
            </w:r>
          </w:p>
        </w:tc>
        <w:tc>
          <w:tcPr>
            <w:tcW w:type="dxa" w:w="115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3–5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Nodes hinzufügen (45 min/Node)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Mehr Kapazität, gleiche Architektur</w:t>
            </w:r>
          </w:p>
        </w:tc>
      </w:tr>
      <w:tr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Switch-Upgrade</w:t>
            </w:r>
          </w:p>
        </w:tc>
        <w:tc>
          <w:tcPr>
            <w:tcW w:type="dxa" w:w="115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6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8-Port durch 16-Port ersetzen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Nur physisch, keine Konfiguration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Training-ready</w:t>
            </w:r>
          </w:p>
        </w:tc>
        <w:tc>
          <w:tcPr>
            <w:tcW w:type="dxa" w:w="115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4+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KubeFlow Training Operator deployen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Neuer Namespace, neuer Workload-Typ</w:t>
            </w:r>
          </w:p>
        </w:tc>
      </w:tr>
      <w:tr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Volles Cluster</w:t>
            </w:r>
          </w:p>
        </w:tc>
        <w:tc>
          <w:tcPr>
            <w:tcW w:type="dxa" w:w="115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10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Restliche Nodes hinzufügen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120 t/s, 40 GB Training VRAM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HA Control Plane</w:t>
            </w:r>
          </w:p>
        </w:tc>
        <w:tc>
          <w:tcPr>
            <w:tcW w:type="dxa" w:w="115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10+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2 weitere Ray Head Nodes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Eliminiert node-00 als Single Point of Failure</w:t>
            </w:r>
          </w:p>
        </w:tc>
      </w:tr>
      <w:tr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10 GbE</w:t>
            </w:r>
          </w:p>
        </w:tc>
        <w:tc>
          <w:tcPr>
            <w:tcW w:type="dxa" w:w="115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Bei Bedarf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Switch + USB-C NICs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Nur wenn Training-Sync Bottleneck ist</w:t>
            </w:r>
          </w:p>
        </w:tc>
      </w:tr>
    </w:tbl>
    <w:p/>
    <w:p>
      <w:pPr>
        <w:spacing w:before="400" w:after="120"/>
      </w:pPr>
      <w:r>
        <w:rPr>
          <w:b/>
          <w:color w:val="00AEEF"/>
          <w:sz w:val="34"/>
        </w:rPr>
        <w:t>13. Risiken &amp; Mitigationen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316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Risiko</w:t>
            </w:r>
          </w:p>
        </w:tc>
        <w:tc>
          <w:tcPr>
            <w:tcW w:type="dxa" w:w="201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Wahrscheinlichkeit</w:t>
            </w:r>
          </w:p>
        </w:tc>
        <w:tc>
          <w:tcPr>
            <w:tcW w:type="dxa" w:w="172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Auswirkung</w:t>
            </w:r>
          </w:p>
        </w:tc>
        <w:tc>
          <w:tcPr>
            <w:tcW w:type="dxa" w:w="345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Mitigation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T1000 4 GB VRAM zu klein</w:t>
            </w:r>
          </w:p>
        </w:tc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Niedrig</w:t>
            </w:r>
          </w:p>
        </w:tc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Mittel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Tensor Parallelism über mehr Nodes; Q3_K_M für Single-Node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node-00 Ausfall (Single Point of Failure)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Niedrig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Hoch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HA Ray Head bei 10+ Nodes; regelmäßige Backups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NCCL Timeout über 1 GbE</w:t>
            </w:r>
          </w:p>
        </w:tc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Mittel</w:t>
            </w:r>
          </w:p>
        </w:tc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Mittel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NCCL_SOCKET_IFNAME korrekt setzen; 10 GbE bei Bedarf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NVIDIA Driver Inkompatibilität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Niedrig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Hoch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Driver 560 pinnen; vor Rollout testen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WiFi-Verbindung instabil</w:t>
            </w:r>
          </w:p>
        </w:tc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Mittel</w:t>
            </w:r>
          </w:p>
        </w:tc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Mittel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Ethernet-Backup für node-00 Internet; lokaler Mirror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Fine-Tuning OOM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Niedrig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Mittel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Batch-Size auf 1 reduzieren; Gradient Checkpointing</w:t>
            </w:r>
          </w:p>
        </w:tc>
      </w:tr>
    </w:tbl>
    <w:p/>
    <w:p>
      <w:pPr>
        <w:spacing w:before="400" w:after="120"/>
      </w:pPr>
      <w:r>
        <w:rPr>
          <w:b/>
          <w:color w:val="00AEEF"/>
          <w:sz w:val="34"/>
        </w:rPr>
        <w:t>14. Anhang: Technische Referenz</w:t>
      </w:r>
    </w:p>
    <w:p>
      <w:pPr>
        <w:spacing w:before="240" w:after="80"/>
      </w:pPr>
      <w:r>
        <w:rPr>
          <w:b/>
          <w:color w:val="0D1B2A"/>
          <w:sz w:val="26"/>
        </w:rPr>
        <w:t>Tensor Parallelism vs. Pipeline Parallelism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022"/>
        <w:gridCol w:w="3022"/>
        <w:gridCol w:w="3022"/>
      </w:tblGrid>
      <w:tr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Aspekt</w:t>
            </w:r>
          </w:p>
        </w:tc>
        <w:tc>
          <w:tcPr>
            <w:tcW w:type="dxa" w:w="345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Tensor Parallelism</w:t>
            </w:r>
          </w:p>
        </w:tc>
        <w:tc>
          <w:tcPr>
            <w:tcW w:type="dxa" w:w="345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Pipeline Parallelism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Aufteilung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Gewichtsmatrizen (horizontal)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Schichten (vertikal)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Kommunikation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Nach jeder Attention-Schicht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Zwischen Pipeline-Stufen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Latenz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Höher (viele kleine Syncs)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Niedriger (wenige große Syncs)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Implementierung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vLLM --tensor-parallel-size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vLLM --pipeline-parallel-size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Empfehlung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Für kleine Modelle (8B–13B)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Für sehr große Modelle (70B+)</w:t>
            </w:r>
          </w:p>
        </w:tc>
      </w:tr>
    </w:tbl>
    <w:p/>
    <w:p>
      <w:pPr>
        <w:spacing w:before="240" w:after="80"/>
      </w:pPr>
      <w:r>
        <w:rPr>
          <w:b/>
          <w:color w:val="0D1B2A"/>
          <w:sz w:val="26"/>
        </w:rPr>
        <w:t>GGUF vs. HuggingFace Format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022"/>
        <w:gridCol w:w="3022"/>
        <w:gridCol w:w="3022"/>
      </w:tblGrid>
      <w:tr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Aspekt</w:t>
            </w:r>
          </w:p>
        </w:tc>
        <w:tc>
          <w:tcPr>
            <w:tcW w:type="dxa" w:w="345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GGUF (llama.cpp)</w:t>
            </w:r>
          </w:p>
        </w:tc>
        <w:tc>
          <w:tcPr>
            <w:tcW w:type="dxa" w:w="345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HuggingFace (vLLM)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Größe (8B Q4)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~4.7 GB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~16 GB (FP16)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GPU-Offloading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-ngl Flag (partiell)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Vollständig via CUDA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Tensor Parallelism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Nicht unterstützt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Nativ unterstützt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Inference-Speed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~12 t/s (ngl 20)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~20+ t/s (TP=2)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Einsatz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Fallback, Single-Node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Primär, Multi-Node</w:t>
            </w:r>
          </w:p>
        </w:tc>
      </w:tr>
    </w:tbl>
    <w:p/>
    <w:p>
      <w:pPr>
        <w:spacing w:before="240" w:after="80"/>
      </w:pPr>
      <w:r>
        <w:rPr>
          <w:b/>
          <w:color w:val="0D1B2A"/>
          <w:sz w:val="26"/>
        </w:rPr>
        <w:t>DeepSpeed ZeRO Stages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172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Stage</w:t>
            </w:r>
          </w:p>
        </w:tc>
        <w:tc>
          <w:tcPr>
            <w:tcW w:type="dxa" w:w="316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Partitioniert</w:t>
            </w:r>
          </w:p>
        </w:tc>
        <w:tc>
          <w:tcPr>
            <w:tcW w:type="dxa" w:w="2304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VRAM-Reduktion</w:t>
            </w:r>
          </w:p>
        </w:tc>
        <w:tc>
          <w:tcPr>
            <w:tcW w:type="dxa" w:w="316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Wann nutzen</w:t>
            </w:r>
          </w:p>
        </w:tc>
      </w:tr>
      <w:tr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ZeRO-1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Optimizer States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4x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Große Batch-Sizes</w:t>
            </w:r>
          </w:p>
        </w:tc>
      </w:tr>
      <w:tr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ZeRO-2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Optimizer + Gradienten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8x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Standard Fine-Tuning</w:t>
            </w:r>
          </w:p>
        </w:tc>
      </w:tr>
      <w:tr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ZeRO-3 (empfohlen)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Alles inkl. Gewichte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N× Nodes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Große Modelle auf kleinen GPUs</w:t>
            </w:r>
          </w:p>
        </w:tc>
      </w:tr>
    </w:tbl>
    <w:p/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