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Working</w:t>
      </w:r>
      <w:r>
        <w:t xml:space="preserve"> </w:t>
      </w:r>
      <w:r>
        <w:t xml:space="preserve">Draft</w:t>
      </w:r>
    </w:p>
    <w:bookmarkStart w:id="22" w:name="introduction"/>
    <w:p>
      <w:pPr>
        <w:pStyle w:val="Heading1"/>
      </w:pPr>
      <w:r>
        <w:t xml:space="preserve">Introduction</w:t>
      </w:r>
    </w:p>
    <w:p>
      <w:pPr>
        <w:pStyle w:val="FirstParagraph"/>
      </w:pPr>
      <w:r>
        <w:t xml:space="preserve"> </w:t>
      </w:r>
      <w:r>
        <w:t xml:space="preserve">The Adolescent Brain Cognitive Development (ABCD) Study® 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w:t>
      </w:r>
      <w:r>
        <w:rPr>
          <w:bCs/>
          <w:b/>
        </w:rPr>
        <w:t xml:space="preserve">volkow2018?</w:t>
      </w:r>
      <w:r>
        <w:t xml:space="preserve">)</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w:t>
      </w:r>
    </w:p>
    <w:p>
      <w:pPr>
        <w:pStyle w:val="BodyText"/>
      </w:pPr>
      <w:r>
        <w:t xml:space="preserve">[section still in progress…]</w:t>
      </w:r>
    </w:p>
    <w:bookmarkStart w:id="20" w:name="the-abcd-study-data"/>
    <w:p>
      <w:pPr>
        <w:pStyle w:val="Heading2"/>
      </w:pPr>
      <w:r>
        <w:t xml:space="preserve">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w:t>
      </w:r>
      <w:r>
        <w:rPr>
          <w:bCs/>
          <w:b/>
        </w:rPr>
        <w:t xml:space="preserve">luciana2018a?</w:t>
      </w:r>
      <w:r>
        <w:t xml:space="preserve">;</w:t>
      </w:r>
      <w:r>
        <w:t xml:space="preserve"> </w:t>
      </w:r>
      <w:r>
        <w:rPr>
          <w:bCs/>
          <w:b/>
        </w:rPr>
        <w:t xml:space="preserve">thompson2019?</w:t>
      </w:r>
      <w:r>
        <w:t xml:space="preserve">)</w:t>
      </w:r>
      <w:r>
        <w:t xml:space="preserve">, mental and physical health assessments</w:t>
      </w:r>
      <w:r>
        <w:t xml:space="preserve"> </w:t>
      </w:r>
      <w:r>
        <w:t xml:space="preserve">(</w:t>
      </w:r>
      <w:r>
        <w:rPr>
          <w:bCs/>
          <w:b/>
        </w:rPr>
        <w:t xml:space="preserve">barch2018?</w:t>
      </w:r>
      <w:r>
        <w:t xml:space="preserve">)</w:t>
      </w:r>
      <w:r>
        <w:t xml:space="preserve">, measures of culture and environment</w:t>
      </w:r>
      <w:r>
        <w:t xml:space="preserve"> </w:t>
      </w:r>
      <w:r>
        <w:t xml:space="preserve">(</w:t>
      </w:r>
      <w:r>
        <w:rPr>
          <w:bCs/>
          <w:b/>
        </w:rPr>
        <w:t xml:space="preserve">zucker2018?</w:t>
      </w:r>
      <w:r>
        <w:t xml:space="preserve">)</w:t>
      </w:r>
      <w:r>
        <w:t xml:space="preserve">, substance use</w:t>
      </w:r>
      <w:r>
        <w:t xml:space="preserve"> </w:t>
      </w:r>
      <w:r>
        <w:t xml:space="preserve">(</w:t>
      </w:r>
      <w:r>
        <w:rPr>
          <w:bCs/>
          <w:b/>
        </w:rPr>
        <w:t xml:space="preserve">xxxxx?</w:t>
      </w:r>
      <w:r>
        <w:t xml:space="preserve">)</w:t>
      </w:r>
      <w:r>
        <w:t xml:space="preserve">, biospecimens</w:t>
      </w:r>
      <w:r>
        <w:t xml:space="preserve"> </w:t>
      </w:r>
      <w:r>
        <w:t xml:space="preserve">(</w:t>
      </w:r>
      <w:r>
        <w:rPr>
          <w:bCs/>
          <w:b/>
        </w:rPr>
        <w:t xml:space="preserve">uban2018?</w:t>
      </w:r>
      <w:r>
        <w:t xml:space="preserve">)</w:t>
      </w:r>
      <w:r>
        <w:t xml:space="preserve">, structural and functional brain imaging</w:t>
      </w:r>
      <w:r>
        <w:t xml:space="preserve"> </w:t>
      </w:r>
      <w:r>
        <w:t xml:space="preserve">(</w:t>
      </w:r>
      <w:r>
        <w:rPr>
          <w:bCs/>
          <w:b/>
        </w:rPr>
        <w:t xml:space="preserve">casey2018?</w:t>
      </w:r>
      <w:r>
        <w:t xml:space="preserve">;</w:t>
      </w:r>
      <w:r>
        <w:t xml:space="preserve"> </w:t>
      </w:r>
      <w:r>
        <w:rPr>
          <w:bCs/>
          <w:b/>
        </w:rPr>
        <w:t xml:space="preserve">hagler2019?</w:t>
      </w:r>
      <w:r>
        <w:t xml:space="preserve">)</w:t>
      </w:r>
      <w:r>
        <w:t xml:space="preserve">, geolocation-based environmental exposure data, wearables, and mobile technology</w:t>
      </w:r>
      <w:r>
        <w:t xml:space="preserve"> </w:t>
      </w:r>
      <w:r>
        <w:t xml:space="preserve">(</w:t>
      </w:r>
      <w:r>
        <w:rPr>
          <w:bCs/>
          <w:b/>
        </w:rPr>
        <w:t xml:space="preserve">bagot2018?</w:t>
      </w:r>
      <w:r>
        <w:t xml:space="preserve">)</w:t>
      </w:r>
      <w:r>
        <w:t xml:space="preserve">, and whole genome genotyping</w:t>
      </w:r>
      <w:r>
        <w:t xml:space="preserve"> </w:t>
      </w:r>
      <w:r>
        <w:t xml:space="preserve">(</w:t>
      </w:r>
      <w:r>
        <w:rPr>
          <w:bCs/>
          <w:b/>
        </w:rPr>
        <w:t xml:space="preserve">loughnan2020?</w:t>
      </w:r>
      <w:r>
        <w:t xml:space="preserve">)</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0"/>
    <w:bookmarkStart w:id="21" w:name="organization-of-current-manuscript"/>
    <w:p>
      <w:pPr>
        <w:pStyle w:val="Heading2"/>
      </w:pPr>
      <w:r>
        <w:t xml:space="preserve">Organization of current manuscript</w:t>
      </w:r>
    </w:p>
    <w:p>
      <w:pPr>
        <w:pStyle w:val="FirstParagraph"/>
      </w:pPr>
      <w:r>
        <w:t xml:space="preserve">The rich longitudinal nature of the ABCD Study dataset will allow researchers to perform analyses of both methodological and substantive interest. This report describes methods for longitudinal analyses of ABCD Study data that can address its fundamental scientific aims, as well as challenges inherent in a large population-based long-term study of adolescents. The manuscript is organized as follows: xxxxxxxxx.</w:t>
      </w:r>
    </w:p>
    <w:bookmarkEnd w:id="21"/>
    <w:bookmarkEnd w:id="22"/>
    <w:bookmarkStart w:id="23" w:name="Xd7b32b2ee1949c0f31928377f17607eb4d8915a"/>
    <w:p>
      <w:pPr>
        <w:pStyle w:val="Heading1"/>
      </w:pPr>
      <w:r>
        <w:t xml:space="preserve">Part I: Longitudinal Research: Basic Concepts and Considerations</w:t>
      </w:r>
    </w:p>
    <w:p>
      <w:pPr>
        <w:pStyle w:val="FirstParagraph"/>
      </w:pPr>
      <w:r>
        <w:t xml:space="preserve"> </w:t>
      </w: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w:t>
      </w:r>
      <w:r>
        <w:rPr>
          <w:bCs/>
          <w:b/>
        </w:rPr>
        <w:t xml:space="preserve">xxxx?</w:t>
      </w:r>
      <w:r>
        <w:t xml:space="preserve">)</w:t>
      </w:r>
      <w:r>
        <w:t xml:space="preserve">; or, similarly, experimental research on rodents that shows rodent brains to be especially sensitive to the neurotoxic effects of alcohol on brain structure and learning early in development (corresponding to early adolescence in humans)</w:t>
      </w:r>
      <w:r>
        <w:t xml:space="preserve">(</w:t>
      </w:r>
      <w:r>
        <w:rPr>
          <w:bCs/>
          <w:b/>
        </w:rPr>
        <w:t xml:space="preserve">xxxx?</w:t>
      </w:r>
      <w:r>
        <w:t xml:space="preserve">)</w:t>
      </w:r>
      <w:r>
        <w:t xml:space="preserve">.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w:t>
      </w:r>
      <w:r>
        <w:rPr>
          <w:bCs/>
          <w:b/>
        </w:rPr>
        <w:t xml:space="preserve">salthouse2014?</w:t>
      </w:r>
      <w:r>
        <w:t xml:space="preserve">)</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w:t>
      </w:r>
      <w:r>
        <w:rPr>
          <w:bCs/>
          <w:b/>
        </w:rPr>
        <w:t xml:space="preserve">sullivan2017?</w:t>
      </w:r>
      <w:r>
        <w:t xml:space="preserve">)</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w:t>
      </w:r>
      <w:r>
        <w:rPr>
          <w:bCs/>
          <w:b/>
        </w:rPr>
        <w:t xml:space="preserve">salthouse2014?</w:t>
      </w:r>
      <w:r>
        <w:t xml:space="preserve">)</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w:t>
      </w:r>
      <w:r>
        <w:t xml:space="preserve"> </w:t>
      </w:r>
      <w:r>
        <w:rPr>
          <w:bCs/>
          <w:b/>
        </w:rPr>
        <w:t xml:space="preserve">beck1961?</w:t>
      </w:r>
      <w:r>
        <w:t xml:space="preserve">; see</w:t>
      </w:r>
      <w:r>
        <w:t xml:space="preserve"> </w:t>
      </w:r>
      <w:r>
        <w:rPr>
          <w:bCs/>
          <w:b/>
        </w:rPr>
        <w:t xml:space="preserve">french2010a?</w:t>
      </w:r>
      <w:r>
        <w:t xml:space="preserve">)</w:t>
      </w:r>
      <w:r>
        <w:t xml:space="preserve"> </w:t>
      </w:r>
      <w:r>
        <w:t xml:space="preserve">and this phenomenon has been well documented in research on structured diagnostic interviews</w:t>
      </w:r>
      <w:r>
        <w:t xml:space="preserve"> </w:t>
      </w:r>
      <w:r>
        <w:t xml:space="preserve">(</w:t>
      </w:r>
      <w:r>
        <w:rPr>
          <w:bCs/>
          <w:b/>
        </w:rPr>
        <w:t xml:space="preserve">robins1985?</w:t>
      </w:r>
      <w:r>
        <w:t xml:space="preserve">)</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w:t>
      </w:r>
      <w:r>
        <w:t xml:space="preserve"> </w:t>
      </w:r>
      <w:r>
        <w:rPr>
          <w:bCs/>
          <w:b/>
        </w:rPr>
        <w:t xml:space="preserve">shrout2018a?</w:t>
      </w:r>
      <w:r>
        <w:t xml:space="preserve">)</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3"/>
    <w:bookmarkStart w:id="32" w:name="X1a42e8e53cc5114da6dc945fde5c8cbb7839f63"/>
    <w:p>
      <w:pPr>
        <w:pStyle w:val="Heading1"/>
      </w:pPr>
      <w:r>
        <w:t xml:space="preserve">Part II Longitudinal Data: Interpretation / Issues / Pitfalls &amp; Assumption</w:t>
      </w:r>
    </w:p>
    <w:p>
      <w:pPr>
        <w:pStyle w:val="FirstParagraph"/>
      </w:pPr>
      <w:r>
        <w:t xml:space="preserve"> </w:t>
      </w: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w:t>
      </w:r>
      <w:r>
        <w:t xml:space="preserve"> </w:t>
      </w:r>
      <w:r>
        <w:t xml:space="preserve">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bookmarkStart w:id="24" w:name="X4e5fdb7d6f0c54f0066dacd6e4a6184b54d0994"/>
    <w:p>
      <w:pPr>
        <w:pStyle w:val="Heading2"/>
      </w:pPr>
      <w:r>
        <w:t xml:space="preserve">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w:t>
      </w:r>
      <w:r>
        <w:rPr>
          <w:bCs/>
          <w:b/>
        </w:rPr>
        <w:t xml:space="preserve">rogosa1982?</w:t>
      </w:r>
      <w:r>
        <w:t xml:space="preserve">)</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w:t>
      </w:r>
      <w:r>
        <w:rPr>
          <w:bCs/>
          <w:b/>
        </w:rPr>
        <w:t xml:space="preserve">duncan2009?</w:t>
      </w:r>
      <w:r>
        <w:t xml:space="preserve">)</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w:t>
      </w:r>
      <w:r>
        <w:rPr>
          <w:bCs/>
          <w:b/>
        </w:rPr>
        <w:t xml:space="preserve">king2018?</w:t>
      </w:r>
      <w:r>
        <w:t xml:space="preserve">)</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w:t>
      </w:r>
      <w:r>
        <w:rPr>
          <w:bCs/>
          <w:b/>
        </w:rPr>
        <w:t xml:space="preserve">littlefield2021?</w:t>
      </w:r>
      <w:r>
        <w:t xml:space="preserve">)</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w:t>
      </w:r>
      <w:r>
        <w:rPr>
          <w:bCs/>
          <w:b/>
        </w:rPr>
        <w:t xml:space="preserve">curran2014a?</w:t>
      </w:r>
      <w:r>
        <w:t xml:space="preserve">)</w:t>
      </w:r>
      <w:r>
        <w:t xml:space="preserve">] require at least four assessments to parameterize fully and, more generally, increasingly accurate parameter estimates are obtained as more assessment occasions are used</w:t>
      </w:r>
      <w:r>
        <w:t xml:space="preserve"> </w:t>
      </w:r>
      <w:r>
        <w:t xml:space="preserve">(</w:t>
      </w:r>
      <w:r>
        <w:rPr>
          <w:bCs/>
          <w:b/>
        </w:rPr>
        <w:t xml:space="preserve">duncan2009?</w:t>
      </w:r>
      <w:r>
        <w:t xml:space="preserve">)</w:t>
      </w:r>
      <w:r>
        <w:t xml:space="preserve">.</w:t>
      </w:r>
    </w:p>
    <w:bookmarkEnd w:id="24"/>
    <w:bookmarkStart w:id="25" w:name="types-of-stability-and-change"/>
    <w:p>
      <w:pPr>
        <w:pStyle w:val="Heading2"/>
      </w:pPr>
      <w:r>
        <w:t xml:space="preserve">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xxxxx et al. (xxxx).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w:t>
      </w:r>
      <w:r>
        <w:t xml:space="preserve"> </w:t>
      </w:r>
      <w:r>
        <w:rPr>
          <w:bCs/>
          <w:b/>
        </w:rPr>
        <w:t xml:space="preserve">curran2011?</w:t>
      </w:r>
      <w:r>
        <w:t xml:space="preserve">)</w:t>
      </w:r>
      <w:r>
        <w:t xml:space="preserve">. Despite this, methods generally unsuited for disaggregating between- and within-person effects (e.g., cross-lagged panel models [CLPM]) remain common within various extant literatures. As a result, experts increasingly caution about the need to xxxxxxxx</w:t>
      </w:r>
      <w:r>
        <w:t xml:space="preserve"> </w:t>
      </w:r>
      <w:r>
        <w:t xml:space="preserve">(</w:t>
      </w:r>
      <w:r>
        <w:rPr>
          <w:bCs/>
          <w:b/>
        </w:rPr>
        <w:t xml:space="preserve">xxxxx?</w:t>
      </w:r>
      <w:r>
        <w:t xml:space="preserve">)</w:t>
      </w:r>
      <w:r>
        <w:t xml:space="preserve">. Fortunately, there exists a range of models that have been proposed to tease apart between- and within-person sources of variance across time</w:t>
      </w:r>
      <w:r>
        <w:t xml:space="preserve"> </w:t>
      </w:r>
      <w:r>
        <w:t xml:space="preserve">(see</w:t>
      </w:r>
      <w:r>
        <w:t xml:space="preserve"> </w:t>
      </w:r>
      <w:r>
        <w:rPr>
          <w:bCs/>
          <w:b/>
        </w:rPr>
        <w:t xml:space="preserve">littlefield2021?</w:t>
      </w:r>
      <w:r>
        <w:t xml:space="preserve">;</w:t>
      </w:r>
      <w:r>
        <w:t xml:space="preserve"> </w:t>
      </w:r>
      <w:r>
        <w:rPr>
          <w:bCs/>
          <w:b/>
        </w:rPr>
        <w:t xml:space="preserve">orth2021?</w:t>
      </w:r>
      <w:r>
        <w:t xml:space="preserve">)</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w:t>
      </w:r>
      <w:r>
        <w:t xml:space="preserve"> </w:t>
      </w:r>
      <w:r>
        <w:rPr>
          <w:bCs/>
          <w:b/>
        </w:rPr>
        <w:t xml:space="preserve">hamaker2015?</w:t>
      </w:r>
      <w:r>
        <w:t xml:space="preserve">; LCM-SR,</w:t>
      </w:r>
      <w:r>
        <w:t xml:space="preserve"> </w:t>
      </w:r>
      <w:r>
        <w:rPr>
          <w:bCs/>
          <w:b/>
        </w:rPr>
        <w:t xml:space="preserve">curran2014a?</w:t>
      </w:r>
      <w:r>
        <w:t xml:space="preserve">)</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w:t>
      </w:r>
      <w:r>
        <w:t xml:space="preserve"> </w:t>
      </w:r>
      <w:r>
        <w:rPr>
          <w:bCs/>
          <w:b/>
        </w:rPr>
        <w:t xml:space="preserve">littlefield2021?</w:t>
      </w:r>
      <w:r>
        <w:t xml:space="preserve">, for further discussion)</w:t>
      </w:r>
      <w:r>
        <w:t xml:space="preserve">.</w:t>
      </w:r>
    </w:p>
    <w:bookmarkEnd w:id="25"/>
    <w:bookmarkStart w:id="26" w:name="model-assumptions"/>
    <w:p>
      <w:pPr>
        <w:pStyle w:val="Heading2"/>
      </w:pPr>
      <w:r>
        <w:t xml:space="preserve">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 Durbin &amp; Watson, 1950), more commonly independence is assumed to be violated in study designs with repeated assessments. Therefore, an initial question to be addressed by a researcher analyzing prospective data is how to best model the covariance structure of said data.</w:t>
      </w:r>
    </w:p>
    <w:bookmarkEnd w:id="26"/>
    <w:bookmarkStart w:id="27" w:name="covariance-structures"/>
    <w:p>
      <w:pPr>
        <w:pStyle w:val="Heading2"/>
      </w:pPr>
      <w:r>
        <w:t xml:space="preserve">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w:t>
      </w:r>
      <w:r>
        <w:t xml:space="preserve"> </w:t>
      </w:r>
      <w:r>
        <w:rPr>
          <w:bCs/>
          <w:b/>
        </w:rPr>
        <w:t xml:space="preserve">kincaid2005?</w:t>
      </w:r>
      <w:r>
        <w:t xml:space="preserve">)</w:t>
      </w:r>
      <w:r>
        <w:t xml:space="preserve">.</w:t>
      </w:r>
    </w:p>
    <w:bookmarkEnd w:id="27"/>
    <w:bookmarkStart w:id="28" w:name="accounting-for-correlated-data"/>
    <w:p>
      <w:pPr>
        <w:pStyle w:val="Heading2"/>
      </w:pPr>
      <w:r>
        <w:t xml:space="preserve">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w:t>
      </w:r>
      <w:r>
        <w:rPr>
          <w:bCs/>
          <w:b/>
        </w:rPr>
        <w:t xml:space="preserve">hamaker2015?</w:t>
      </w:r>
      <w:r>
        <w:t xml:space="preserve">)</w:t>
      </w:r>
      <w:r>
        <w:t xml:space="preserve">.</w:t>
      </w:r>
    </w:p>
    <w:bookmarkEnd w:id="28"/>
    <w:bookmarkStart w:id="29" w:name="linear-vs-non-linear-models"/>
    <w:p>
      <w:pPr>
        <w:pStyle w:val="Heading2"/>
      </w:pPr>
      <w:r>
        <w:t xml:space="preserve">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w:t>
      </w:r>
      <w:r>
        <w:t xml:space="preserve"> </w:t>
      </w:r>
      <w:r>
        <w:rPr>
          <w:bCs/>
          <w:b/>
        </w:rPr>
        <w:t xml:space="preserve">lenz2016a?</w:t>
      </w:r>
      <w:r>
        <w:t xml:space="preserve">)</w:t>
      </w:r>
      <w:r>
        <w:t xml:space="preserve">. For example, the Mplus manual</w:t>
      </w:r>
      <w:r>
        <w:t xml:space="preserve"> </w:t>
      </w:r>
      <w:r>
        <w:t xml:space="preserve">(</w:t>
      </w:r>
      <w:r>
        <w:rPr>
          <w:bCs/>
          <w:b/>
        </w:rPr>
        <w:t xml:space="preserve">muthen2017?</w:t>
      </w:r>
      <w:r>
        <w:t xml:space="preserve">)</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w:t>
      </w:r>
      <w:r>
        <w:rPr>
          <w:bCs/>
          <w:b/>
        </w:rPr>
        <w:t xml:space="preserve">lenz2016?</w:t>
      </w:r>
      <w:r>
        <w:t xml:space="preserve">)</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w:t>
      </w:r>
      <w:r>
        <w:rPr>
          <w:bCs/>
          <w:b/>
        </w:rPr>
        <w:t xml:space="preserve">farewell2017?</w:t>
      </w:r>
      <w:r>
        <w:t xml:space="preserve">)</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w:t>
      </w:r>
      <w:r>
        <w:rPr>
          <w:bCs/>
          <w:b/>
        </w:rPr>
        <w:t xml:space="preserve">curran2014?</w:t>
      </w:r>
      <w:r>
        <w:t xml:space="preserve">)</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w:t>
      </w:r>
      <w:r>
        <w:t xml:space="preserve"> </w:t>
      </w:r>
      <w:r>
        <w:rPr>
          <w:bCs/>
          <w:b/>
        </w:rPr>
        <w:t xml:space="preserve">little2013?</w:t>
      </w:r>
      <w:r>
        <w:t xml:space="preserve">)</w:t>
      </w:r>
      <w:r>
        <w:t xml:space="preserve">. However, some textbooks on categorical data analysis provide more detailed coverage of the myriad issues and modeling choices to consider when working with discrete outcomes [e.g.,</w:t>
      </w:r>
      <w:r>
        <w:t xml:space="preserve"> </w:t>
      </w:r>
      <w:r>
        <w:t xml:space="preserve">(</w:t>
      </w:r>
      <w:r>
        <w:rPr>
          <w:bCs/>
          <w:b/>
        </w:rPr>
        <w:t xml:space="preserve">lenz2016?</w:t>
      </w:r>
      <w:r>
        <w:t xml:space="preserve">)</w:t>
      </w:r>
      <w:r>
        <w:t xml:space="preserve">, Chapter 11 for matched pair/two-assessment designs; Chapter 12 for marginal and transitional models for repeated designs, such as generalized estimating equations, and Chapter 13 for random effects models for discrete outcomes].</w:t>
      </w:r>
    </w:p>
    <w:bookmarkEnd w:id="29"/>
    <w:bookmarkStart w:id="30" w:name="missing-dataattrition"/>
    <w:p>
      <w:pPr>
        <w:pStyle w:val="Heading2"/>
      </w:pPr>
      <w:r>
        <w:t xml:space="preserve">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w:t>
      </w:r>
      <w:r>
        <w:t xml:space="preserve"> </w:t>
      </w:r>
      <w:r>
        <w:rPr>
          <w:bCs/>
          <w:b/>
        </w:rPr>
        <w:t xml:space="preserve">little1989?</w:t>
      </w:r>
      <w:r>
        <w:t xml:space="preserve">)</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w:t>
      </w:r>
      <w:r>
        <w:t xml:space="preserve"> </w:t>
      </w:r>
      <w:r>
        <w:rPr>
          <w:bCs/>
          <w:b/>
        </w:rPr>
        <w:t xml:space="preserve">graham2009?</w:t>
      </w:r>
      <w:r>
        <w:t xml:space="preserve">)</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w:t>
      </w:r>
      <w:r>
        <w:rPr>
          <w:bCs/>
          <w:b/>
        </w:rPr>
        <w:t xml:space="preserve">graham2009?</w:t>
      </w:r>
      <w:r>
        <w:t xml:space="preserve">)</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w:t>
      </w:r>
      <w:r>
        <w:t xml:space="preserve"> </w:t>
      </w:r>
      <w:r>
        <w:rPr>
          <w:bCs/>
          <w:b/>
        </w:rPr>
        <w:t xml:space="preserve">graham2009?</w:t>
      </w:r>
      <w:r>
        <w:t xml:space="preserve">)</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w:t>
      </w:r>
      <w:r>
        <w:rPr>
          <w:bCs/>
          <w:b/>
        </w:rPr>
        <w:t xml:space="preserve">molnar2008?</w:t>
      </w:r>
      <w:r>
        <w:t xml:space="preserve">)</w:t>
      </w:r>
      <w:r>
        <w:t xml:space="preserve">. This approach assumes stability (i.e., a given participant’s score is not anticipated to increase or decline after study dropout) and that the data are MCA R. However, as described by</w:t>
      </w:r>
      <w:r>
        <w:t xml:space="preserve"> </w:t>
      </w:r>
      <w:r>
        <w:t xml:space="preserve">(</w:t>
      </w:r>
      <w:r>
        <w:rPr>
          <w:bCs/>
          <w:b/>
        </w:rPr>
        <w:t xml:space="preserve">molnar2008?</w:t>
      </w:r>
      <w:r>
        <w:t xml:space="preserve">)</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w:t>
      </w:r>
      <w:r>
        <w:t xml:space="preserve"> </w:t>
      </w:r>
      <w:r>
        <w:rPr>
          <w:bCs/>
          <w:b/>
        </w:rPr>
        <w:t xml:space="preserve">molnar2008?</w:t>
      </w:r>
      <w:r>
        <w:t xml:space="preserve">,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w:t>
      </w:r>
      <w:r>
        <w:t xml:space="preserve"> </w:t>
      </w:r>
      <w:r>
        <w:rPr>
          <w:bCs/>
          <w:b/>
        </w:rPr>
        <w:t xml:space="preserve">enders2010?</w:t>
      </w:r>
      <w:r>
        <w:t xml:space="preserve">;</w:t>
      </w:r>
      <w:r>
        <w:t xml:space="preserve"> </w:t>
      </w:r>
      <w:r>
        <w:rPr>
          <w:bCs/>
          <w:b/>
        </w:rPr>
        <w:t xml:space="preserve">graham2009?</w:t>
      </w:r>
      <w:r>
        <w:t xml:space="preserve">)</w:t>
      </w:r>
      <w:r>
        <w:t xml:space="preserve">.</w:t>
      </w:r>
      <w:r>
        <w:t xml:space="preserve"> </w:t>
      </w:r>
      <w:r>
        <w:t xml:space="preserve">(</w:t>
      </w:r>
      <w:r>
        <w:rPr>
          <w:bCs/>
          <w:b/>
        </w:rPr>
        <w:t xml:space="preserve">graham2009?</w:t>
      </w:r>
      <w:r>
        <w:t xml:space="preserve">)</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w:t>
      </w:r>
      <w:r>
        <w:rPr>
          <w:bCs/>
          <w:b/>
        </w:rPr>
        <w:t xml:space="preserve">graham2009?</w:t>
      </w:r>
      <w:r>
        <w:t xml:space="preserve">)</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w:t>
      </w:r>
      <w:r>
        <w:rPr>
          <w:bCs/>
          <w:b/>
        </w:rPr>
        <w:t xml:space="preserve">cotter2005?</w:t>
      </w:r>
      <w:r>
        <w:t xml:space="preserve">;</w:t>
      </w:r>
      <w:r>
        <w:t xml:space="preserve"> </w:t>
      </w:r>
      <w:r>
        <w:rPr>
          <w:bCs/>
          <w:b/>
        </w:rPr>
        <w:t xml:space="preserve">hill2016?</w:t>
      </w:r>
      <w:r>
        <w:t xml:space="preserve">;</w:t>
      </w:r>
      <w:r>
        <w:t xml:space="preserve"> </w:t>
      </w:r>
      <w:r>
        <w:rPr>
          <w:bCs/>
          <w:b/>
        </w:rPr>
        <w:t xml:space="preserve">watson2018?</w:t>
      </w:r>
      <w:r>
        <w:t xml:space="preserve">)</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0"/>
    <w:bookmarkStart w:id="31" w:name="quantifying-effect-sizes-longitudinally"/>
    <w:p>
      <w:pPr>
        <w:pStyle w:val="Heading2"/>
      </w:pPr>
      <w:r>
        <w:t xml:space="preserve">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w:t>
      </w:r>
      <w:r>
        <w:rPr>
          <w:bCs/>
          <w:b/>
        </w:rPr>
        <w:t xml:space="preserve">kraemer2014?</w:t>
      </w:r>
      <w:r>
        <w:t xml:space="preserve">)</w:t>
      </w:r>
      <w:r>
        <w:t xml:space="preserve">. Common effect size metrics include r (i.e., the standardized covariance, or correlation, between two variables) and Cohen’s d</w:t>
      </w:r>
      <w:r>
        <w:t xml:space="preserve"> </w:t>
      </w:r>
      <w:r>
        <w:t xml:space="preserve">(</w:t>
      </w:r>
      <w:r>
        <w:rPr>
          <w:bCs/>
          <w:b/>
        </w:rPr>
        <w:t xml:space="preserve">cohen1988?</w:t>
      </w:r>
      <w:r>
        <w:t xml:space="preserve">)</w:t>
      </w:r>
      <w:r>
        <w:t xml:space="preserve">. Adjustments to common effect size calculations, such as Cohen’s d, are required even when only two time points are considered</w:t>
      </w:r>
      <w:r>
        <w:t xml:space="preserve"> </w:t>
      </w:r>
      <w:r>
        <w:t xml:space="preserve">(e.g., see</w:t>
      </w:r>
      <w:r>
        <w:t xml:space="preserve"> </w:t>
      </w:r>
      <w:r>
        <w:rPr>
          <w:bCs/>
          <w:b/>
        </w:rPr>
        <w:t xml:space="preserve">morris2002?</w:t>
      </w:r>
      <w:r>
        <w:t xml:space="preserve">)</w:t>
      </w:r>
      <w:r>
        <w:t xml:space="preserve">.</w:t>
      </w:r>
      <w:r>
        <w:t xml:space="preserve"> </w:t>
      </w:r>
      <w:r>
        <w:t xml:space="preserve">(</w:t>
      </w:r>
      <w:r>
        <w:rPr>
          <w:bCs/>
          <w:b/>
        </w:rPr>
        <w:t xml:space="preserve">wang2019a?</w:t>
      </w:r>
      <w:r>
        <w:t xml:space="preserve">)</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w:t>
      </w:r>
      <w:r>
        <w:t xml:space="preserve"> </w:t>
      </w:r>
      <w:r>
        <w:rPr>
          <w:bCs/>
          <w:b/>
        </w:rPr>
        <w:t xml:space="preserve">wang2019a?</w:t>
      </w:r>
      <w:r>
        <w:t xml:space="preserve">,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w:t>
      </w:r>
      <w:r>
        <w:rPr>
          <w:bCs/>
          <w:b/>
        </w:rPr>
        <w:t xml:space="preserve">feingold2009?</w:t>
      </w:r>
      <w:r>
        <w:t xml:space="preserve">)</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w:t>
      </w:r>
      <w:r>
        <w:t xml:space="preserve"> </w:t>
      </w:r>
      <w:r>
        <w:rPr>
          <w:bCs/>
          <w:b/>
        </w:rPr>
        <w:t xml:space="preserve">feingold2009?</w:t>
      </w:r>
      <w:r>
        <w:t xml:space="preserve">, for more details)</w:t>
      </w:r>
      <w:r>
        <w:t xml:space="preserve">. Given this issue, there have been various proposals for adjusting effect size measures in repeated assessments.</w:t>
      </w:r>
      <w:r>
        <w:t xml:space="preserve"> </w:t>
      </w:r>
      <w:r>
        <w:t xml:space="preserve">(</w:t>
      </w:r>
      <w:r>
        <w:rPr>
          <w:bCs/>
          <w:b/>
        </w:rPr>
        <w:t xml:space="preserve">feingold2019?</w:t>
      </w:r>
      <w:r>
        <w:t xml:space="preserve">)</w:t>
      </w:r>
      <w:r>
        <w:t xml:space="preserve"> </w:t>
      </w:r>
      <w:r>
        <w:t xml:space="preserve">reviews the approach for effect size metrics for analyses based on growth modeling, including when considering linear and non-linear (i.e., quadratic) growth factors.</w:t>
      </w:r>
      <w:r>
        <w:t xml:space="preserve"> </w:t>
      </w:r>
      <w:r>
        <w:t xml:space="preserve">(</w:t>
      </w:r>
      <w:r>
        <w:rPr>
          <w:bCs/>
          <w:b/>
        </w:rPr>
        <w:t xml:space="preserve">morris2002?</w:t>
      </w:r>
      <w:r>
        <w:t xml:space="preserve">)</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Working Draft</dc:title>
  <dc:creator/>
  <cp:keywords/>
  <dcterms:created xsi:type="dcterms:W3CDTF">2023-04-20T02:30:15Z</dcterms:created>
  <dcterms:modified xsi:type="dcterms:W3CDTF">2023-04-20T02:30:15Z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mment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