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before="0" w:after="80"/>
            </w:pPr>
            <w:r>
              <w:rPr>
                <w:rFonts w:ascii="Arial" w:cs="Arial" w:eastAsia="Arial" w:hAnsi="Arial"/>
                <w:b/>
                <w:bCs/>
                <w:color w:val="FFFFFF"/>
                <w:sz w:val="48"/>
                <w:szCs w:val="48"/>
              </w:rPr>
              <w:t xml:space="preserve">MULTI-AGENT
SYSTEM ARCHITECTURE</w:t>
            </w:r>
          </w:p>
          <w:p>
            <w:pPr>
              <w:spacing w:before="0" w:after="200"/>
            </w:pPr>
            <w:r>
              <w:rPr>
                <w:rFonts w:ascii="Arial" w:cs="Arial" w:eastAsia="Arial" w:hAnsi="Arial"/>
                <w:color w:val="A0C4FF"/>
                <w:sz w:val="28"/>
                <w:szCs w:val="28"/>
              </w:rPr>
              <w:t xml:space="preserve">Technical Specification — v2.0</w:t>
            </w:r>
          </w:p>
          <w:p>
            <w:pPr>
              <w:spacing w:before="0" w:after="0"/>
            </w:pPr>
            <w:r>
              <w:rPr>
                <w:rFonts w:ascii="Arial" w:cs="Arial" w:eastAsia="Arial" w:hAnsi="Arial"/>
                <w:color w:val="7FB3FF"/>
                <w:sz w:val="20"/>
                <w:szCs w:val="20"/>
              </w:rPr>
              <w:t xml:space="preserve">Multi-Agent Investment Portfolio Advisor  |  Updated March 2026</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before="0" w:after="60"/>
            </w:pPr>
            <w:r>
              <w:rPr>
                <w:rFonts w:ascii="Arial" w:cs="Arial" w:eastAsia="Arial" w:hAnsi="Arial"/>
                <w:b/>
                <w:bCs/>
                <w:color w:val="1E3A5F"/>
                <w:sz w:val="20"/>
                <w:szCs w:val="20"/>
              </w:rPr>
              <w:t xml:space="preserve">What Changed in v2.0</w:t>
            </w:r>
          </w:p>
          <w:p>
            <w:pPr>
              <w:spacing w:before="0" w:after="0"/>
            </w:pPr>
            <w:r>
              <w:rPr>
                <w:rFonts w:ascii="Arial" w:cs="Arial" w:eastAsia="Arial" w:hAnsi="Arial"/>
                <w:color w:val="374151"/>
                <w:sz w:val="20"/>
                <w:szCs w:val="20"/>
              </w:rPr>
              <w:t xml:space="preserve">This document has been updated to reflect the introduction of the LLM Synthesis Agent — a new reasoning layer that sits between the four mathematical scoring agents and the final portfolio recommendations. The core data collection and scoring agents remain unchanged. The aggregation and decision layers have been fundamentally redesigned.</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1. Purpose of the Multi-Agent System</w:t>
      </w:r>
    </w:p>
    <w:p>
      <w:pPr>
        <w:spacing w:before="80" w:after="80"/>
      </w:pPr>
      <w:r>
        <w:rPr>
          <w:rFonts w:ascii="Arial" w:cs="Arial" w:eastAsia="Arial" w:hAnsi="Arial"/>
          <w:color w:val="374151"/>
          <w:sz w:val="22"/>
          <w:szCs w:val="22"/>
        </w:rPr>
        <w:t xml:space="preserve">The Portfolio Advisor platform analyzes financial markets using a structured multi-agent system. Each agent specializes in a different type of market intelligence and independently evaluates every asset in the investment universe.</w:t>
      </w:r>
    </w:p>
    <w:p>
      <w:pPr>
        <w:spacing w:before="80" w:after="80"/>
      </w:pPr>
      <w:r>
        <w:rPr>
          <w:rFonts w:ascii="Arial" w:cs="Arial" w:eastAsia="Arial" w:hAnsi="Arial"/>
          <w:color w:val="374151"/>
          <w:sz w:val="22"/>
          <w:szCs w:val="22"/>
        </w:rPr>
        <w:t xml:space="preserve">The system then combines these independent evaluations — not through static formula weights, but through an AI reasoning layer that synthesizes evidence the way a senior analyst would — to determine:</w:t>
      </w:r>
    </w:p>
    <w:p>
      <w:pPr>
        <w:pStyle w:val="ListParagraph"/>
        <w:numPr>
          <w:ilvl w:val="0"/>
          <w:numId w:val="2"/>
        </w:numPr>
        <w:spacing w:before="60" w:after="60"/>
      </w:pPr>
      <w:r>
        <w:rPr>
          <w:rFonts w:ascii="Arial" w:cs="Arial" w:eastAsia="Arial" w:hAnsi="Arial"/>
          <w:color w:val="374151"/>
          <w:sz w:val="22"/>
          <w:szCs w:val="22"/>
        </w:rPr>
        <w:t xml:space="preserve">which assets are currently attractive investments</w:t>
      </w:r>
    </w:p>
    <w:p>
      <w:pPr>
        <w:pStyle w:val="ListParagraph"/>
        <w:numPr>
          <w:ilvl w:val="0"/>
          <w:numId w:val="2"/>
        </w:numPr>
        <w:spacing w:before="60" w:after="60"/>
      </w:pPr>
      <w:r>
        <w:rPr>
          <w:rFonts w:ascii="Arial" w:cs="Arial" w:eastAsia="Arial" w:hAnsi="Arial"/>
          <w:color w:val="374151"/>
          <w:sz w:val="22"/>
          <w:szCs w:val="22"/>
        </w:rPr>
        <w:t xml:space="preserve">which assets may be becoming risky</w:t>
      </w:r>
    </w:p>
    <w:p>
      <w:pPr>
        <w:pStyle w:val="ListParagraph"/>
        <w:numPr>
          <w:ilvl w:val="0"/>
          <w:numId w:val="2"/>
        </w:numPr>
        <w:spacing w:before="60" w:after="60"/>
      </w:pPr>
      <w:r>
        <w:rPr>
          <w:rFonts w:ascii="Arial" w:cs="Arial" w:eastAsia="Arial" w:hAnsi="Arial"/>
          <w:color w:val="374151"/>
          <w:sz w:val="22"/>
          <w:szCs w:val="22"/>
        </w:rPr>
        <w:t xml:space="preserve">how a portfolio should adjust to stay aligned with the user's personal goal</w:t>
      </w:r>
    </w:p>
    <w:p>
      <w:pPr>
        <w:spacing w:before="0" w:after="160"/>
      </w:pPr>
      <w:r>
        <w:t xml:space="preserve"/>
      </w:r>
    </w:p>
    <w:p>
      <w:pPr>
        <w:spacing w:before="80" w:after="80"/>
      </w:pPr>
      <w:r>
        <w:rPr>
          <w:rFonts w:ascii="Arial" w:cs="Arial" w:eastAsia="Arial" w:hAnsi="Arial"/>
          <w:color w:val="374151"/>
          <w:sz w:val="22"/>
          <w:szCs w:val="22"/>
        </w:rPr>
        <w:t xml:space="preserve">The architecture is intentionally modular. Each agent can be developed, tested, and improved independently. The overall objective is not to predict short-term price movements, but to continuously reason about the portfolio as a whole — considering market signals, user context, goal trajectory, and macro events together.</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60"/>
            </w:pPr>
            <w:r>
              <w:rPr>
                <w:rFonts w:ascii="Arial" w:cs="Arial" w:eastAsia="Arial" w:hAnsi="Arial"/>
                <w:b/>
                <w:bCs/>
                <w:color w:val="4C1D95"/>
                <w:sz w:val="20"/>
                <w:szCs w:val="20"/>
              </w:rPr>
              <w:t xml:space="preserve">The Core Moat</w:t>
            </w:r>
          </w:p>
          <w:p>
            <w:pPr>
              <w:spacing w:before="0" w:after="0"/>
            </w:pPr>
            <w:r>
              <w:rPr>
                <w:rFonts w:ascii="Arial" w:cs="Arial" w:eastAsia="Arial" w:hAnsi="Arial"/>
                <w:color w:val="374151"/>
                <w:sz w:val="20"/>
                <w:szCs w:val="20"/>
              </w:rPr>
              <w:t xml:space="preserve">The platform's competitive advantage is not the mathematical indicators — those are widely available. The moat is the AI reasoning layer that synthesizes all available evidence into coherent, explainable, context-aware portfolio guidance. This is what a financial advisor actually does. The math agents are inputs. The LLM Synthesis Agent is the product.</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2. Core Design Principles</w:t>
      </w:r>
    </w:p>
    <w:p>
      <w:pPr>
        <w:pStyle w:val="Heading3"/>
        <w:spacing w:before="240" w:after="80"/>
      </w:pPr>
      <w:r>
        <w:rPr>
          <w:rFonts w:ascii="Arial" w:cs="Arial" w:eastAsia="Arial" w:hAnsi="Arial"/>
          <w:b/>
          <w:bCs/>
          <w:color w:val="2E6BE6"/>
          <w:sz w:val="22"/>
          <w:szCs w:val="22"/>
        </w:rPr>
        <w:t xml:space="preserve">Independent analysis agents</w:t>
      </w:r>
    </w:p>
    <w:p>
      <w:pPr>
        <w:spacing w:before="80" w:after="80"/>
      </w:pPr>
      <w:r>
        <w:rPr>
          <w:rFonts w:ascii="Arial" w:cs="Arial" w:eastAsia="Arial" w:hAnsi="Arial"/>
          <w:color w:val="374151"/>
          <w:sz w:val="22"/>
          <w:szCs w:val="22"/>
        </w:rPr>
        <w:t xml:space="preserve">Each math agent analyzes the market independently and produces its own score. Agents do not communicate with each other directly. Their outputs flow into the LLM Synthesis Agent which reasons across all of them.</w:t>
      </w:r>
    </w:p>
    <w:p>
      <w:pPr>
        <w:pStyle w:val="Heading3"/>
        <w:spacing w:before="240" w:after="80"/>
      </w:pPr>
      <w:r>
        <w:rPr>
          <w:rFonts w:ascii="Arial" w:cs="Arial" w:eastAsia="Arial" w:hAnsi="Arial"/>
          <w:b/>
          <w:bCs/>
          <w:color w:val="2E6BE6"/>
          <w:sz w:val="22"/>
          <w:szCs w:val="22"/>
        </w:rPr>
        <w:t xml:space="preserve">AI-first reasoning, math-grounded evidence</w:t>
      </w:r>
    </w:p>
    <w:p>
      <w:pPr>
        <w:spacing w:before="80" w:after="80"/>
      </w:pPr>
      <w:r>
        <w:rPr>
          <w:rFonts w:ascii="Arial" w:cs="Arial" w:eastAsia="Arial" w:hAnsi="Arial"/>
          <w:color w:val="374151"/>
          <w:sz w:val="22"/>
          <w:szCs w:val="22"/>
        </w:rPr>
        <w:t xml:space="preserve">Mathematical indicators (RSI, MACD, P/E ratios, etc.) are deterministic, transparent, and auditable — they form the evidence base. The LLM Synthesis Agent then reasons about what that evidence means in context. Neither layer is sufficient alone.</w:t>
      </w:r>
    </w:p>
    <w:p>
      <w:pPr>
        <w:pStyle w:val="Heading3"/>
        <w:spacing w:before="240" w:after="80"/>
      </w:pPr>
      <w:r>
        <w:rPr>
          <w:rFonts w:ascii="Arial" w:cs="Arial" w:eastAsia="Arial" w:hAnsi="Arial"/>
          <w:b/>
          <w:bCs/>
          <w:color w:val="2E6BE6"/>
          <w:sz w:val="22"/>
          <w:szCs w:val="22"/>
        </w:rPr>
        <w:t xml:space="preserve">Daily snapshot analysis</w:t>
      </w:r>
    </w:p>
    <w:p>
      <w:pPr>
        <w:spacing w:before="80" w:after="80"/>
      </w:pPr>
      <w:r>
        <w:rPr>
          <w:rFonts w:ascii="Arial" w:cs="Arial" w:eastAsia="Arial" w:hAnsi="Arial"/>
          <w:color w:val="374151"/>
          <w:sz w:val="22"/>
          <w:szCs w:val="22"/>
        </w:rPr>
        <w:t xml:space="preserve">All market data is captured once per day. Agents operate on daily snapshots rather than continuous real-time data. This keeps the system consistent and cost-efficient.</w:t>
      </w:r>
    </w:p>
    <w:p>
      <w:pPr>
        <w:pStyle w:val="Heading3"/>
        <w:spacing w:before="240" w:after="80"/>
      </w:pPr>
      <w:r>
        <w:rPr>
          <w:rFonts w:ascii="Arial" w:cs="Arial" w:eastAsia="Arial" w:hAnsi="Arial"/>
          <w:b/>
          <w:bCs/>
          <w:color w:val="2E6BE6"/>
          <w:sz w:val="22"/>
          <w:szCs w:val="22"/>
        </w:rPr>
        <w:t xml:space="preserve">Fully traceable decisions</w:t>
      </w:r>
    </w:p>
    <w:p>
      <w:pPr>
        <w:spacing w:before="80" w:after="80"/>
      </w:pPr>
      <w:r>
        <w:rPr>
          <w:rFonts w:ascii="Arial" w:cs="Arial" w:eastAsia="Arial" w:hAnsi="Arial"/>
          <w:color w:val="374151"/>
          <w:sz w:val="22"/>
          <w:szCs w:val="22"/>
        </w:rPr>
        <w:t xml:space="preserve">Every score, every LLM reasoning output, every rules-engine override, and every final recommendation is stored with a timestamp. At any future point, the system can explain why it recommended buying or selling a specific position.</w:t>
      </w:r>
    </w:p>
    <w:p>
      <w:pPr>
        <w:pStyle w:val="Heading3"/>
        <w:spacing w:before="240" w:after="80"/>
      </w:pPr>
      <w:r>
        <w:rPr>
          <w:rFonts w:ascii="Arial" w:cs="Arial" w:eastAsia="Arial" w:hAnsi="Arial"/>
          <w:b/>
          <w:bCs/>
          <w:color w:val="2E6BE6"/>
          <w:sz w:val="22"/>
          <w:szCs w:val="22"/>
        </w:rPr>
        <w:t xml:space="preserve">Hard risk controls</w:t>
      </w:r>
    </w:p>
    <w:p>
      <w:pPr>
        <w:spacing w:before="80" w:after="80"/>
      </w:pPr>
      <w:r>
        <w:rPr>
          <w:rFonts w:ascii="Arial" w:cs="Arial" w:eastAsia="Arial" w:hAnsi="Arial"/>
          <w:color w:val="374151"/>
          <w:sz w:val="22"/>
          <w:szCs w:val="22"/>
        </w:rPr>
        <w:t xml:space="preserve">A rules engine operates after the LLM synthesis layer to enforce hard limits — drawdown stops, position size caps, asset type constraints. The LLM reasons within the space defined by the user's risk preferences; the rules engine enforces the boundaries.</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3. Investment Universe</w:t>
      </w:r>
    </w:p>
    <w:p>
      <w:pPr>
        <w:spacing w:before="80" w:after="80"/>
      </w:pPr>
      <w:r>
        <w:rPr>
          <w:rFonts w:ascii="Arial" w:cs="Arial" w:eastAsia="Arial" w:hAnsi="Arial"/>
          <w:color w:val="374151"/>
          <w:sz w:val="22"/>
          <w:szCs w:val="22"/>
        </w:rPr>
        <w:t xml:space="preserve">The system operates on a predefined investment universe of 100 assets for the MVP:</w:t>
      </w:r>
    </w:p>
    <w:p>
      <w:pPr>
        <w:pStyle w:val="ListParagraph"/>
        <w:numPr>
          <w:ilvl w:val="0"/>
          <w:numId w:val="2"/>
        </w:numPr>
        <w:spacing w:before="60" w:after="60"/>
      </w:pPr>
      <w:r>
        <w:rPr>
          <w:rFonts w:ascii="Arial" w:cs="Arial" w:eastAsia="Arial" w:hAnsi="Arial"/>
          <w:color w:val="374151"/>
          <w:sz w:val="22"/>
          <w:szCs w:val="22"/>
        </w:rPr>
        <w:t xml:space="preserve">60 US stocks — diversified across sectors</w:t>
      </w:r>
    </w:p>
    <w:p>
      <w:pPr>
        <w:pStyle w:val="ListParagraph"/>
        <w:numPr>
          <w:ilvl w:val="0"/>
          <w:numId w:val="2"/>
        </w:numPr>
        <w:spacing w:before="60" w:after="60"/>
      </w:pPr>
      <w:r>
        <w:rPr>
          <w:rFonts w:ascii="Arial" w:cs="Arial" w:eastAsia="Arial" w:hAnsi="Arial"/>
          <w:color w:val="374151"/>
          <w:sz w:val="22"/>
          <w:szCs w:val="22"/>
        </w:rPr>
        <w:t xml:space="preserve">20 ETFs — broad market, sector, and bond funds</w:t>
      </w:r>
    </w:p>
    <w:p>
      <w:pPr>
        <w:pStyle w:val="ListParagraph"/>
        <w:numPr>
          <w:ilvl w:val="0"/>
          <w:numId w:val="2"/>
        </w:numPr>
        <w:spacing w:before="60" w:after="60"/>
      </w:pPr>
      <w:r>
        <w:rPr>
          <w:rFonts w:ascii="Arial" w:cs="Arial" w:eastAsia="Arial" w:hAnsi="Arial"/>
          <w:color w:val="374151"/>
          <w:sz w:val="22"/>
          <w:szCs w:val="22"/>
        </w:rPr>
        <w:t xml:space="preserve">20 cryptocurrencies — major and mid-cap assets</w:t>
      </w:r>
    </w:p>
    <w:p>
      <w:pPr>
        <w:spacing w:before="80" w:after="80"/>
      </w:pPr>
      <w:r>
        <w:rPr>
          <w:rFonts w:ascii="Arial" w:cs="Arial" w:eastAsia="Arial" w:hAnsi="Arial"/>
          <w:color w:val="374151"/>
          <w:sz w:val="22"/>
          <w:szCs w:val="22"/>
        </w:rPr>
        <w:t xml:space="preserve">Each asset is analyzed daily by the math agents. The universe can expand without changing the architecture.</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4. System Layers</w:t>
      </w:r>
    </w:p>
    <w:p>
      <w:pPr>
        <w:spacing w:before="80" w:after="80"/>
      </w:pPr>
      <w:r>
        <w:rPr>
          <w:rFonts w:ascii="Arial" w:cs="Arial" w:eastAsia="Arial" w:hAnsi="Arial"/>
          <w:color w:val="374151"/>
          <w:sz w:val="22"/>
          <w:szCs w:val="22"/>
        </w:rPr>
        <w:t xml:space="preserve">The multi-agent system now consists of five major layers, each with a clear responsibility: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Market Data Layer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Collects and stores all external financial data</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Analysis Agents (×4)</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Independent mathematical scoring of each asset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LLM Synthesis Agent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Reasons across all scores + context to form recommendations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Rules Engine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Validates and caps recommendations against hard limits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Portfolio Decision Engine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Delivers final recommendations + narrative to user</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Market Data Layer</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Analysis Agents  (Technical · Sentiment · Fundamental · Regime)</w:t>
            </w:r>
          </w:p>
          <w:p>
            <w:pPr>
              <w:spacing w:before="20" w:after="20"/>
            </w:pPr>
            <w:r>
              <w:rPr>
                <w:rFonts w:ascii="Courier New" w:cs="Courier New" w:eastAsia="Courier New" w:hAnsi="Courier New"/>
                <w:color w:val="E2E8F0"/>
                <w:sz w:val="18"/>
                <w:szCs w:val="18"/>
              </w:rPr>
              <w:t xml:space="preserve">       ↓  [scores + confidence]</w:t>
            </w:r>
          </w:p>
          <w:p>
            <w:pPr>
              <w:spacing w:before="20" w:after="20"/>
            </w:pPr>
            <w:r>
              <w:rPr>
                <w:rFonts w:ascii="Courier New" w:cs="Courier New" w:eastAsia="Courier New" w:hAnsi="Courier New"/>
                <w:color w:val="E2E8F0"/>
                <w:sz w:val="18"/>
                <w:szCs w:val="18"/>
              </w:rPr>
              <w:t xml:space="preserve">LLM Synthesis Agent  ←  User Portfolio State + Goal Progress + Macro Events</w:t>
            </w:r>
          </w:p>
          <w:p>
            <w:pPr>
              <w:spacing w:before="20" w:after="20"/>
            </w:pPr>
            <w:r>
              <w:rPr>
                <w:rFonts w:ascii="Courier New" w:cs="Courier New" w:eastAsia="Courier New" w:hAnsi="Courier New"/>
                <w:color w:val="E2E8F0"/>
                <w:sz w:val="18"/>
                <w:szCs w:val="18"/>
              </w:rPr>
              <w:t xml:space="preserve">       ↓  [structured JSON: recommendations + weight rationale + narrative]</w:t>
            </w:r>
          </w:p>
          <w:p>
            <w:pPr>
              <w:spacing w:before="20" w:after="20"/>
            </w:pPr>
            <w:r>
              <w:rPr>
                <w:rFonts w:ascii="Courier New" w:cs="Courier New" w:eastAsia="Courier New" w:hAnsi="Courier New"/>
                <w:color w:val="E2E8F0"/>
                <w:sz w:val="18"/>
                <w:szCs w:val="18"/>
              </w:rPr>
              <w:t xml:space="preserve">Rules Engine  [hard limits: drawdown stops, position caps, asset constraints]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Portfolio Decision Engine  →  User Dashboard</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5. Market Data Layer</w:t>
      </w:r>
    </w:p>
    <w:p>
      <w:pPr>
        <w:spacing w:before="80" w:after="80"/>
      </w:pPr>
      <w:r>
        <w:rPr>
          <w:rFonts w:ascii="Arial" w:cs="Arial" w:eastAsia="Arial" w:hAnsi="Arial"/>
          <w:color w:val="374151"/>
          <w:sz w:val="22"/>
          <w:szCs w:val="22"/>
        </w:rPr>
        <w:t xml:space="preserve">The market data layer collects all external financial data required by the system. Data is retrieved from two providers (Twelve Data and Finnhub) for reliability and stored internally so that all analysis agents read from the internal store — never from external APIs directly.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Used By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OHLCV price history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Twelve Data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Technical Agent</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Daily close prices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Twelve Data / Finnhub</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Portfolio valuation, all agents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News headlines + summaries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Finnhub</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Sentiment Agent, LLM Synthesis Agent</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Fundamental metrics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Finnhub</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Fundamental Agent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Macro events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Finnhub news + LLM extraction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LLM Synthesis Agent</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6. Analysis Agents — Overview</w:t>
      </w:r>
    </w:p>
    <w:p>
      <w:pPr>
        <w:spacing w:before="80" w:after="80"/>
      </w:pPr>
      <w:r>
        <w:rPr>
          <w:rFonts w:ascii="Arial" w:cs="Arial" w:eastAsia="Arial" w:hAnsi="Arial"/>
          <w:color w:val="374151"/>
          <w:sz w:val="22"/>
          <w:szCs w:val="22"/>
        </w:rPr>
        <w:t xml:space="preserve">Four independent agents evaluate each asset in the universe daily. Each agent specializes in a distinct signal dimension and produces a score normalized to the range -1.0 (extremely bearish) to +1.0 (extremely bullish), along with a confidence value.</w:t>
      </w:r>
    </w:p>
    <w:p>
      <w:pPr>
        <w:spacing w:before="80" w:after="80"/>
      </w:pPr>
      <w:r>
        <w:rPr>
          <w:rFonts w:ascii="Arial" w:cs="Arial" w:eastAsia="Arial" w:hAnsi="Arial"/>
          <w:color w:val="374151"/>
          <w:sz w:val="22"/>
          <w:szCs w:val="22"/>
        </w:rPr>
        <w:t xml:space="preserve">These scores are the evidence base for the LLM Synthesis Agent. They are not combined through a formula — the LLM reasons about their relative weight given current market conditions.</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7. Technical Analysis Agent</w:t>
      </w:r>
    </w:p>
    <w:p>
      <w:pPr>
        <w:spacing w:before="80" w:after="80"/>
      </w:pPr>
      <w:r>
        <w:rPr>
          <w:rFonts w:ascii="Arial" w:cs="Arial" w:eastAsia="Arial" w:hAnsi="Arial"/>
          <w:color w:val="374151"/>
          <w:sz w:val="22"/>
          <w:szCs w:val="22"/>
        </w:rPr>
        <w:t xml:space="preserve">The Technical Agent analyzes price patterns and market momentum using deterministic mathematical indicators. It runs on OHLCV price history from the internal data store.</w:t>
      </w:r>
    </w:p>
    <w:p>
      <w:pPr>
        <w:pStyle w:val="Heading3"/>
        <w:spacing w:before="240" w:after="80"/>
      </w:pPr>
      <w:r>
        <w:rPr>
          <w:rFonts w:ascii="Arial" w:cs="Arial" w:eastAsia="Arial" w:hAnsi="Arial"/>
          <w:b/>
          <w:bCs/>
          <w:color w:val="2E6BE6"/>
          <w:sz w:val="22"/>
          <w:szCs w:val="22"/>
        </w:rPr>
        <w:t xml:space="preserve">Indicators</w:t>
      </w:r>
    </w:p>
    <w:p>
      <w:pPr>
        <w:pStyle w:val="ListParagraph"/>
        <w:numPr>
          <w:ilvl w:val="0"/>
          <w:numId w:val="2"/>
        </w:numPr>
        <w:spacing w:before="60" w:after="60"/>
      </w:pPr>
      <w:r>
        <w:rPr>
          <w:rFonts w:ascii="Arial" w:cs="Arial" w:eastAsia="Arial" w:hAnsi="Arial"/>
          <w:color w:val="374151"/>
          <w:sz w:val="22"/>
          <w:szCs w:val="22"/>
        </w:rPr>
        <w:t xml:space="preserve">RSI (Relative Strength Index) — momentum and overbought/oversold conditions</w:t>
      </w:r>
    </w:p>
    <w:p>
      <w:pPr>
        <w:pStyle w:val="ListParagraph"/>
        <w:numPr>
          <w:ilvl w:val="0"/>
          <w:numId w:val="2"/>
        </w:numPr>
        <w:spacing w:before="60" w:after="60"/>
      </w:pPr>
      <w:r>
        <w:rPr>
          <w:rFonts w:ascii="Arial" w:cs="Arial" w:eastAsia="Arial" w:hAnsi="Arial"/>
          <w:color w:val="374151"/>
          <w:sz w:val="22"/>
          <w:szCs w:val="22"/>
        </w:rPr>
        <w:t xml:space="preserve">MACD — trend direction and momentum crossovers</w:t>
      </w:r>
    </w:p>
    <w:p>
      <w:pPr>
        <w:pStyle w:val="ListParagraph"/>
        <w:numPr>
          <w:ilvl w:val="0"/>
          <w:numId w:val="2"/>
        </w:numPr>
        <w:spacing w:before="60" w:after="60"/>
      </w:pPr>
      <w:r>
        <w:rPr>
          <w:rFonts w:ascii="Arial" w:cs="Arial" w:eastAsia="Arial" w:hAnsi="Arial"/>
          <w:color w:val="374151"/>
          <w:sz w:val="22"/>
          <w:szCs w:val="22"/>
        </w:rPr>
        <w:t xml:space="preserve">EMA trends (20 / 50 / 200 day) — short, medium, long-term trend</w:t>
      </w:r>
    </w:p>
    <w:p>
      <w:pPr>
        <w:pStyle w:val="ListParagraph"/>
        <w:numPr>
          <w:ilvl w:val="0"/>
          <w:numId w:val="2"/>
        </w:numPr>
        <w:spacing w:before="60" w:after="60"/>
      </w:pPr>
      <w:r>
        <w:rPr>
          <w:rFonts w:ascii="Arial" w:cs="Arial" w:eastAsia="Arial" w:hAnsi="Arial"/>
          <w:color w:val="374151"/>
          <w:sz w:val="22"/>
          <w:szCs w:val="22"/>
        </w:rPr>
        <w:t xml:space="preserve">Bollinger Bands — volatility and price position within range</w:t>
      </w:r>
    </w:p>
    <w:p>
      <w:pPr>
        <w:pStyle w:val="ListParagraph"/>
        <w:numPr>
          <w:ilvl w:val="0"/>
          <w:numId w:val="2"/>
        </w:numPr>
        <w:spacing w:before="60" w:after="60"/>
      </w:pPr>
      <w:r>
        <w:rPr>
          <w:rFonts w:ascii="Arial" w:cs="Arial" w:eastAsia="Arial" w:hAnsi="Arial"/>
          <w:color w:val="374151"/>
          <w:sz w:val="22"/>
          <w:szCs w:val="22"/>
        </w:rPr>
        <w:t xml:space="preserve">Volume trend — confirmation of price movements</w:t>
      </w:r>
    </w:p>
    <w:p>
      <w:pPr>
        <w:pStyle w:val="Heading3"/>
        <w:spacing w:before="240" w:after="80"/>
      </w:pPr>
      <w:r>
        <w:rPr>
          <w:rFonts w:ascii="Arial" w:cs="Arial" w:eastAsia="Arial" w:hAnsi="Arial"/>
          <w:b/>
          <w:bCs/>
          <w:color w:val="2E6BE6"/>
          <w:sz w:val="22"/>
          <w:szCs w:val="22"/>
        </w:rPr>
        <w:t xml:space="preserve">Scoring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technical_score =</w:t>
            </w:r>
          </w:p>
          <w:p>
            <w:pPr>
              <w:spacing w:before="20" w:after="20"/>
            </w:pPr>
            <w:r>
              <w:rPr>
                <w:rFonts w:ascii="Courier New" w:cs="Courier New" w:eastAsia="Courier New" w:hAnsi="Courier New"/>
                <w:color w:val="E2E8F0"/>
                <w:sz w:val="18"/>
                <w:szCs w:val="18"/>
              </w:rPr>
              <w:t xml:space="preserve">  (macd_score   × 0.30) +</w:t>
            </w:r>
          </w:p>
          <w:p>
            <w:pPr>
              <w:spacing w:before="20" w:after="20"/>
            </w:pPr>
            <w:r>
              <w:rPr>
                <w:rFonts w:ascii="Courier New" w:cs="Courier New" w:eastAsia="Courier New" w:hAnsi="Courier New"/>
                <w:color w:val="E2E8F0"/>
                <w:sz w:val="18"/>
                <w:szCs w:val="18"/>
              </w:rPr>
              <w:t xml:space="preserve">  (ema_score    × 0.25) +</w:t>
            </w:r>
          </w:p>
          <w:p>
            <w:pPr>
              <w:spacing w:before="20" w:after="20"/>
            </w:pPr>
            <w:r>
              <w:rPr>
                <w:rFonts w:ascii="Courier New" w:cs="Courier New" w:eastAsia="Courier New" w:hAnsi="Courier New"/>
                <w:color w:val="E2E8F0"/>
                <w:sz w:val="18"/>
                <w:szCs w:val="18"/>
              </w:rPr>
              <w:t xml:space="preserve">  (rsi_score    × 0.20) +</w:t>
            </w:r>
          </w:p>
          <w:p>
            <w:pPr>
              <w:spacing w:before="20" w:after="20"/>
            </w:pPr>
            <w:r>
              <w:rPr>
                <w:rFonts w:ascii="Courier New" w:cs="Courier New" w:eastAsia="Courier New" w:hAnsi="Courier New"/>
                <w:color w:val="E2E8F0"/>
                <w:sz w:val="18"/>
                <w:szCs w:val="18"/>
              </w:rPr>
              <w:t xml:space="preserve">  (bollinger    × 0.15) +</w:t>
            </w:r>
          </w:p>
          <w:p>
            <w:pPr>
              <w:spacing w:before="20" w:after="20"/>
            </w:pPr>
            <w:r>
              <w:rPr>
                <w:rFonts w:ascii="Courier New" w:cs="Courier New" w:eastAsia="Courier New" w:hAnsi="Courier New"/>
                <w:color w:val="E2E8F0"/>
                <w:sz w:val="18"/>
                <w:szCs w:val="18"/>
              </w:rPr>
              <w:t xml:space="preserve">  (volume_score × 0.10)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Normalized to: -1.0 to +1.0</w:t>
            </w:r>
          </w:p>
        </w:tc>
      </w:tr>
    </w:tbl>
    <w:p>
      <w:pPr>
        <w:spacing w:before="80" w:after="80"/>
      </w:pPr>
      <w:r>
        <w:rPr>
          <w:rFonts w:ascii="Arial" w:cs="Arial" w:eastAsia="Arial" w:hAnsi="Arial"/>
          <w:color w:val="374151"/>
          <w:sz w:val="22"/>
          <w:szCs w:val="22"/>
        </w:rPr>
        <w:t xml:space="preserve">Note: These internal weights are fixed within the Technical Agent. The LLM Synthesis Agent controls how much overall weight the technical score receives relative to other agents.</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8. Sentiment Analysis Agent</w:t>
      </w:r>
    </w:p>
    <w:p>
      <w:pPr>
        <w:spacing w:before="80" w:after="80"/>
      </w:pPr>
      <w:r>
        <w:rPr>
          <w:rFonts w:ascii="Arial" w:cs="Arial" w:eastAsia="Arial" w:hAnsi="Arial"/>
          <w:color w:val="374151"/>
          <w:sz w:val="22"/>
          <w:szCs w:val="22"/>
        </w:rPr>
        <w:t xml:space="preserve">The Sentiment Agent evaluates the narrative momentum around an asset by analyzing recent news headlines and article summaries using an LLM. This is the only math-agent-layer LLM call — it operates at the asset level, not the portfolio level.</w:t>
      </w:r>
    </w:p>
    <w:p>
      <w:pPr>
        <w:pStyle w:val="Heading3"/>
        <w:spacing w:before="240" w:after="80"/>
      </w:pPr>
      <w:r>
        <w:rPr>
          <w:rFonts w:ascii="Arial" w:cs="Arial" w:eastAsia="Arial" w:hAnsi="Arial"/>
          <w:b/>
          <w:bCs/>
          <w:color w:val="2E6BE6"/>
          <w:sz w:val="22"/>
          <w:szCs w:val="22"/>
        </w:rPr>
        <w:t xml:space="preserve">Inputs</w:t>
      </w:r>
    </w:p>
    <w:p>
      <w:pPr>
        <w:pStyle w:val="ListParagraph"/>
        <w:numPr>
          <w:ilvl w:val="0"/>
          <w:numId w:val="2"/>
        </w:numPr>
        <w:spacing w:before="60" w:after="60"/>
      </w:pPr>
      <w:r>
        <w:rPr>
          <w:rFonts w:ascii="Arial" w:cs="Arial" w:eastAsia="Arial" w:hAnsi="Arial"/>
          <w:color w:val="374151"/>
          <w:sz w:val="22"/>
          <w:szCs w:val="22"/>
        </w:rPr>
        <w:t xml:space="preserve">News headlines and summaries for the asset over a 1–10 day window</w:t>
      </w:r>
    </w:p>
    <w:p>
      <w:pPr>
        <w:pStyle w:val="ListParagraph"/>
        <w:numPr>
          <w:ilvl w:val="0"/>
          <w:numId w:val="2"/>
        </w:numPr>
        <w:spacing w:before="60" w:after="60"/>
      </w:pPr>
      <w:r>
        <w:rPr>
          <w:rFonts w:ascii="Arial" w:cs="Arial" w:eastAsia="Arial" w:hAnsi="Arial"/>
          <w:color w:val="374151"/>
          <w:sz w:val="22"/>
          <w:szCs w:val="22"/>
        </w:rPr>
        <w:t xml:space="preserve">Source metadata (publication, recency)</w:t>
      </w:r>
    </w:p>
    <w:p>
      <w:pPr>
        <w:pStyle w:val="Heading3"/>
        <w:spacing w:before="240" w:after="80"/>
      </w:pPr>
      <w:r>
        <w:rPr>
          <w:rFonts w:ascii="Arial" w:cs="Arial" w:eastAsia="Arial" w:hAnsi="Arial"/>
          <w:b/>
          <w:bCs/>
          <w:color w:val="2E6BE6"/>
          <w:sz w:val="22"/>
          <w:szCs w:val="22"/>
        </w:rPr>
        <w:t xml:space="preserve">LLM Output per Asset</w:t>
      </w:r>
    </w:p>
    <w:p>
      <w:pPr>
        <w:pStyle w:val="ListParagraph"/>
        <w:numPr>
          <w:ilvl w:val="0"/>
          <w:numId w:val="2"/>
        </w:numPr>
        <w:spacing w:before="60" w:after="60"/>
      </w:pPr>
      <w:r>
        <w:rPr>
          <w:rFonts w:ascii="Arial" w:cs="Arial" w:eastAsia="Arial" w:hAnsi="Arial"/>
          <w:color w:val="374151"/>
          <w:sz w:val="22"/>
          <w:szCs w:val="22"/>
        </w:rPr>
        <w:t xml:space="preserve">sentiment_score — normalized -1.0 to +1.0</w:t>
      </w:r>
    </w:p>
    <w:p>
      <w:pPr>
        <w:pStyle w:val="ListParagraph"/>
        <w:numPr>
          <w:ilvl w:val="0"/>
          <w:numId w:val="2"/>
        </w:numPr>
        <w:spacing w:before="60" w:after="60"/>
      </w:pPr>
      <w:r>
        <w:rPr>
          <w:rFonts w:ascii="Arial" w:cs="Arial" w:eastAsia="Arial" w:hAnsi="Arial"/>
          <w:color w:val="374151"/>
          <w:sz w:val="22"/>
          <w:szCs w:val="22"/>
        </w:rPr>
        <w:t xml:space="preserve">key_themes — list of narrative themes detected</w:t>
      </w:r>
    </w:p>
    <w:p>
      <w:pPr>
        <w:pStyle w:val="ListParagraph"/>
        <w:numPr>
          <w:ilvl w:val="0"/>
          <w:numId w:val="2"/>
        </w:numPr>
        <w:spacing w:before="60" w:after="60"/>
      </w:pPr>
      <w:r>
        <w:rPr>
          <w:rFonts w:ascii="Arial" w:cs="Arial" w:eastAsia="Arial" w:hAnsi="Arial"/>
          <w:color w:val="374151"/>
          <w:sz w:val="22"/>
          <w:szCs w:val="22"/>
        </w:rPr>
        <w:t xml:space="preserve">confidence — based on number and recency of sources</w:t>
      </w:r>
    </w:p>
    <w:p>
      <w:pPr>
        <w:pStyle w:val="Heading3"/>
        <w:spacing w:before="240" w:after="80"/>
      </w:pPr>
      <w:r>
        <w:rPr>
          <w:rFonts w:ascii="Arial" w:cs="Arial" w:eastAsia="Arial" w:hAnsi="Arial"/>
          <w:b/>
          <w:bCs/>
          <w:color w:val="2E6BE6"/>
          <w:sz w:val="22"/>
          <w:szCs w:val="22"/>
        </w:rPr>
        <w:t xml:space="preserve">Sentiment Decay</w:t>
      </w:r>
    </w:p>
    <w:p>
      <w:pPr>
        <w:spacing w:before="80" w:after="80"/>
      </w:pPr>
      <w:r>
        <w:rPr>
          <w:rFonts w:ascii="Arial" w:cs="Arial" w:eastAsia="Arial" w:hAnsi="Arial"/>
          <w:color w:val="374151"/>
          <w:sz w:val="22"/>
          <w:szCs w:val="22"/>
        </w:rPr>
        <w:t xml:space="preserve">If no new relevant news appears, the sentiment score decays toward zero each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new_score = previous_score × 0.9</w:t>
            </w:r>
          </w:p>
        </w:tc>
      </w:tr>
    </w:tbl>
    <w:p>
      <w:pPr>
        <w:spacing w:before="80" w:after="80"/>
      </w:pPr>
      <w:r>
        <w:rPr>
          <w:rFonts w:ascii="Arial" w:cs="Arial" w:eastAsia="Arial" w:hAnsi="Arial"/>
          <w:color w:val="374151"/>
          <w:sz w:val="22"/>
          <w:szCs w:val="22"/>
        </w:rPr>
        <w:t xml:space="preserve">This prevents stale news from influencing analysis indefinitely.</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9. Fundamental Analysis Agent</w:t>
      </w:r>
    </w:p>
    <w:p>
      <w:pPr>
        <w:spacing w:before="80" w:after="80"/>
      </w:pPr>
      <w:r>
        <w:rPr>
          <w:rFonts w:ascii="Arial" w:cs="Arial" w:eastAsia="Arial" w:hAnsi="Arial"/>
          <w:color w:val="374151"/>
          <w:sz w:val="22"/>
          <w:szCs w:val="22"/>
        </w:rPr>
        <w:t xml:space="preserve">The Fundamental Agent evaluates the financial health and valuation of companies using quarterly financial metrics. Fundamental scores change slowly because the underlying data updates quarterly.</w:t>
      </w:r>
    </w:p>
    <w:p>
      <w:pPr>
        <w:pStyle w:val="Heading3"/>
        <w:spacing w:before="240" w:after="80"/>
      </w:pPr>
      <w:r>
        <w:rPr>
          <w:rFonts w:ascii="Arial" w:cs="Arial" w:eastAsia="Arial" w:hAnsi="Arial"/>
          <w:b/>
          <w:bCs/>
          <w:color w:val="2E6BE6"/>
          <w:sz w:val="22"/>
          <w:szCs w:val="22"/>
        </w:rPr>
        <w:t xml:space="preserve">Metrics analyzed</w:t>
      </w:r>
    </w:p>
    <w:p>
      <w:pPr>
        <w:pStyle w:val="ListParagraph"/>
        <w:numPr>
          <w:ilvl w:val="0"/>
          <w:numId w:val="2"/>
        </w:numPr>
        <w:spacing w:before="60" w:after="60"/>
      </w:pPr>
      <w:r>
        <w:rPr>
          <w:rFonts w:ascii="Arial" w:cs="Arial" w:eastAsia="Arial" w:hAnsi="Arial"/>
          <w:color w:val="374151"/>
          <w:sz w:val="22"/>
          <w:szCs w:val="22"/>
        </w:rPr>
        <w:t xml:space="preserve">Price-to-earnings ratio (vs. sector median)</w:t>
      </w:r>
    </w:p>
    <w:p>
      <w:pPr>
        <w:pStyle w:val="ListParagraph"/>
        <w:numPr>
          <w:ilvl w:val="0"/>
          <w:numId w:val="2"/>
        </w:numPr>
        <w:spacing w:before="60" w:after="60"/>
      </w:pPr>
      <w:r>
        <w:rPr>
          <w:rFonts w:ascii="Arial" w:cs="Arial" w:eastAsia="Arial" w:hAnsi="Arial"/>
          <w:color w:val="374151"/>
          <w:sz w:val="22"/>
          <w:szCs w:val="22"/>
        </w:rPr>
        <w:t xml:space="preserve">Price-to-sales ratio</w:t>
      </w:r>
    </w:p>
    <w:p>
      <w:pPr>
        <w:pStyle w:val="ListParagraph"/>
        <w:numPr>
          <w:ilvl w:val="0"/>
          <w:numId w:val="2"/>
        </w:numPr>
        <w:spacing w:before="60" w:after="60"/>
      </w:pPr>
      <w:r>
        <w:rPr>
          <w:rFonts w:ascii="Arial" w:cs="Arial" w:eastAsia="Arial" w:hAnsi="Arial"/>
          <w:color w:val="374151"/>
          <w:sz w:val="22"/>
          <w:szCs w:val="22"/>
        </w:rPr>
        <w:t xml:space="preserve">Revenue growth (YoY and sequential)</w:t>
      </w:r>
    </w:p>
    <w:p>
      <w:pPr>
        <w:pStyle w:val="ListParagraph"/>
        <w:numPr>
          <w:ilvl w:val="0"/>
          <w:numId w:val="2"/>
        </w:numPr>
        <w:spacing w:before="60" w:after="60"/>
      </w:pPr>
      <w:r>
        <w:rPr>
          <w:rFonts w:ascii="Arial" w:cs="Arial" w:eastAsia="Arial" w:hAnsi="Arial"/>
          <w:color w:val="374151"/>
          <w:sz w:val="22"/>
          <w:szCs w:val="22"/>
        </w:rPr>
        <w:t xml:space="preserve">Profit margins and margin trend</w:t>
      </w:r>
    </w:p>
    <w:p>
      <w:pPr>
        <w:pStyle w:val="ListParagraph"/>
        <w:numPr>
          <w:ilvl w:val="0"/>
          <w:numId w:val="2"/>
        </w:numPr>
        <w:spacing w:before="60" w:after="60"/>
      </w:pPr>
      <w:r>
        <w:rPr>
          <w:rFonts w:ascii="Arial" w:cs="Arial" w:eastAsia="Arial" w:hAnsi="Arial"/>
          <w:color w:val="374151"/>
          <w:sz w:val="22"/>
          <w:szCs w:val="22"/>
        </w:rPr>
        <w:t xml:space="preserve">Return on equity</w:t>
      </w:r>
    </w:p>
    <w:p>
      <w:pPr>
        <w:pStyle w:val="ListParagraph"/>
        <w:numPr>
          <w:ilvl w:val="0"/>
          <w:numId w:val="2"/>
        </w:numPr>
        <w:spacing w:before="60" w:after="60"/>
      </w:pPr>
      <w:r>
        <w:rPr>
          <w:rFonts w:ascii="Arial" w:cs="Arial" w:eastAsia="Arial" w:hAnsi="Arial"/>
          <w:color w:val="374151"/>
          <w:sz w:val="22"/>
          <w:szCs w:val="22"/>
        </w:rPr>
        <w:t xml:space="preserve">Debt levels and interest coverage</w:t>
      </w:r>
    </w:p>
    <w:p>
      <w:pPr>
        <w:pStyle w:val="Heading3"/>
        <w:spacing w:before="240" w:after="80"/>
      </w:pPr>
      <w:r>
        <w:rPr>
          <w:rFonts w:ascii="Arial" w:cs="Arial" w:eastAsia="Arial" w:hAnsi="Arial"/>
          <w:b/>
          <w:bCs/>
          <w:color w:val="2E6BE6"/>
          <w:sz w:val="22"/>
          <w:szCs w:val="22"/>
        </w:rPr>
        <w:t xml:space="preserve">Note on ETFs and Crypto</w:t>
      </w:r>
    </w:p>
    <w:p>
      <w:pPr>
        <w:spacing w:before="80" w:after="80"/>
      </w:pPr>
      <w:r>
        <w:rPr>
          <w:rFonts w:ascii="Arial" w:cs="Arial" w:eastAsia="Arial" w:hAnsi="Arial"/>
          <w:color w:val="374151"/>
          <w:sz w:val="22"/>
          <w:szCs w:val="22"/>
        </w:rPr>
        <w:t xml:space="preserve">For ETFs, the agent uses expense ratio, tracking performance, and holdings quality. For crypto assets, fundamental metrics are limited — the Fundamental Agent contributes lower confidence scores for crypto, and the LLM Synthesis Agent is informed of this when weighting signals.</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10. Market Regime Agent</w:t>
      </w:r>
    </w:p>
    <w:p>
      <w:pPr>
        <w:spacing w:before="80" w:after="80"/>
      </w:pPr>
      <w:r>
        <w:rPr>
          <w:rFonts w:ascii="Arial" w:cs="Arial" w:eastAsia="Arial" w:hAnsi="Arial"/>
          <w:color w:val="374151"/>
          <w:sz w:val="22"/>
          <w:szCs w:val="22"/>
        </w:rPr>
        <w:t xml:space="preserve">The Market Regime Agent evaluates the overall market environment. Its output is shared across all users — it is computed once per day, not per user.</w:t>
      </w:r>
    </w:p>
    <w:p>
      <w:pPr>
        <w:pStyle w:val="Heading3"/>
        <w:spacing w:before="240" w:after="80"/>
      </w:pPr>
      <w:r>
        <w:rPr>
          <w:rFonts w:ascii="Arial" w:cs="Arial" w:eastAsia="Arial" w:hAnsi="Arial"/>
          <w:b/>
          <w:bCs/>
          <w:color w:val="2E6BE6"/>
          <w:sz w:val="22"/>
          <w:szCs w:val="22"/>
        </w:rPr>
        <w:t xml:space="preserve">Indicators</w:t>
      </w:r>
    </w:p>
    <w:p>
      <w:pPr>
        <w:pStyle w:val="ListParagraph"/>
        <w:numPr>
          <w:ilvl w:val="0"/>
          <w:numId w:val="2"/>
        </w:numPr>
        <w:spacing w:before="60" w:after="60"/>
      </w:pPr>
      <w:r>
        <w:rPr>
          <w:rFonts w:ascii="Arial" w:cs="Arial" w:eastAsia="Arial" w:hAnsi="Arial"/>
          <w:color w:val="374151"/>
          <w:sz w:val="22"/>
          <w:szCs w:val="22"/>
        </w:rPr>
        <w:t xml:space="preserve">Broad market trend (S&amp;P 500 EMA direction)</w:t>
      </w:r>
    </w:p>
    <w:p>
      <w:pPr>
        <w:pStyle w:val="ListParagraph"/>
        <w:numPr>
          <w:ilvl w:val="0"/>
          <w:numId w:val="2"/>
        </w:numPr>
        <w:spacing w:before="60" w:after="60"/>
      </w:pPr>
      <w:r>
        <w:rPr>
          <w:rFonts w:ascii="Arial" w:cs="Arial" w:eastAsia="Arial" w:hAnsi="Arial"/>
          <w:color w:val="374151"/>
          <w:sz w:val="22"/>
          <w:szCs w:val="22"/>
        </w:rPr>
        <w:t xml:space="preserve">Market volatility (VIX proxy from price variance)</w:t>
      </w:r>
    </w:p>
    <w:p>
      <w:pPr>
        <w:pStyle w:val="ListParagraph"/>
        <w:numPr>
          <w:ilvl w:val="0"/>
          <w:numId w:val="2"/>
        </w:numPr>
        <w:spacing w:before="60" w:after="60"/>
      </w:pPr>
      <w:r>
        <w:rPr>
          <w:rFonts w:ascii="Arial" w:cs="Arial" w:eastAsia="Arial" w:hAnsi="Arial"/>
          <w:color w:val="374151"/>
          <w:sz w:val="22"/>
          <w:szCs w:val="22"/>
        </w:rPr>
        <w:t xml:space="preserve">Sector rotation signal (growth vs. defensive leadership)</w:t>
      </w:r>
    </w:p>
    <w:p>
      <w:pPr>
        <w:pStyle w:val="ListParagraph"/>
        <w:numPr>
          <w:ilvl w:val="0"/>
          <w:numId w:val="2"/>
        </w:numPr>
        <w:spacing w:before="60" w:after="60"/>
      </w:pPr>
      <w:r>
        <w:rPr>
          <w:rFonts w:ascii="Arial" w:cs="Arial" w:eastAsia="Arial" w:hAnsi="Arial"/>
          <w:color w:val="374151"/>
          <w:sz w:val="22"/>
          <w:szCs w:val="22"/>
        </w:rPr>
        <w:t xml:space="preserve">Trend strength and momentum</w:t>
      </w:r>
    </w:p>
    <w:p>
      <w:pPr>
        <w:pStyle w:val="Heading3"/>
        <w:spacing w:before="240" w:after="80"/>
      </w:pPr>
      <w:r>
        <w:rPr>
          <w:rFonts w:ascii="Arial" w:cs="Arial" w:eastAsia="Arial" w:hAnsi="Arial"/>
          <w:b/>
          <w:bCs/>
          <w:color w:val="2E6BE6"/>
          <w:sz w:val="22"/>
          <w:szCs w:val="22"/>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Regime Label</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Bullish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+0.5 to +1.0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Strong conditions — momentum signals carry more weight</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Neutral</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 to +0.4</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Mixed conditions — balanced weighting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Cautious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-0.5 to -0.2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Elevated uncertainty — fundamentals carry more weight</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Bearish</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-1.0 to -0.5</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Deteriorating conditions — defensive posture recommended</w:t>
            </w:r>
          </w:p>
        </w:tc>
      </w:tr>
    </w:tbl>
    <w:p>
      <w:pPr>
        <w:spacing w:before="80" w:after="80"/>
      </w:pPr>
      <w:r>
        <w:rPr>
          <w:rFonts w:ascii="Arial" w:cs="Arial" w:eastAsia="Arial" w:hAnsi="Arial"/>
          <w:color w:val="374151"/>
          <w:sz w:val="22"/>
          <w:szCs w:val="22"/>
        </w:rPr>
        <w:t xml:space="preserve">The regime score is a key input to the LLM Synthesis Agent's dynamic weight adjustment logic — it directly affects how much the LLM trusts technical signals vs. fundamental signals.</w:t>
      </w:r>
    </w:p>
    <w:p>
      <w:pPr>
        <w:spacing w:before="0" w:after="160"/>
      </w:pPr>
      <w:r>
        <w:t xml:space="preserve"/>
      </w:r>
    </w:p>
    <w:p>
      <w:r>
        <w:br w:type="page"/>
      </w:r>
    </w:p>
    <w:p>
      <w:pPr>
        <w:pStyle w:val="Heading1"/>
        <w:spacing w:before="400" w:after="160"/>
      </w:pPr>
      <w:r>
        <w:rPr>
          <w:rFonts w:ascii="Arial" w:cs="Arial" w:eastAsia="Arial" w:hAnsi="Arial"/>
          <w:b/>
          <w:bCs/>
          <w:color w:val="1E3A5F"/>
          <w:sz w:val="32"/>
          <w:szCs w:val="32"/>
        </w:rPr>
        <w:t xml:space="preserve">11. LLM Synthesis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60"/>
            </w:pPr>
            <w:r>
              <w:rPr>
                <w:rFonts w:ascii="Arial" w:cs="Arial" w:eastAsia="Arial" w:hAnsi="Arial"/>
                <w:b/>
                <w:bCs/>
                <w:color w:val="4C1D95"/>
                <w:sz w:val="20"/>
                <w:szCs w:val="20"/>
              </w:rPr>
              <w:t xml:space="preserve">New in v2.0</w:t>
            </w:r>
          </w:p>
          <w:p>
            <w:pPr>
              <w:spacing w:before="0" w:after="0"/>
            </w:pPr>
            <w:r>
              <w:rPr>
                <w:rFonts w:ascii="Arial" w:cs="Arial" w:eastAsia="Arial" w:hAnsi="Arial"/>
                <w:color w:val="374151"/>
                <w:sz w:val="20"/>
                <w:szCs w:val="20"/>
              </w:rPr>
              <w:t xml:space="preserve">This is the most significant architectural addition. The LLM Synthesis Agent replaces the static formula-based aggregation layer with an AI reasoning layer that participates in forming recommendations — not just explaining them.</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Role</w:t>
      </w:r>
    </w:p>
    <w:p>
      <w:pPr>
        <w:spacing w:before="80" w:after="80"/>
      </w:pPr>
      <w:r>
        <w:rPr>
          <w:rFonts w:ascii="Arial" w:cs="Arial" w:eastAsia="Arial" w:hAnsi="Arial"/>
          <w:color w:val="374151"/>
          <w:sz w:val="22"/>
          <w:szCs w:val="22"/>
        </w:rPr>
        <w:t xml:space="preserve">The LLM Synthesis Agent acts as a senior analyst. It receives structured evidence from all four math agents and reasons across it alongside portfolio state, goal progress, and macro context. It produces structured, machine-readable recommendations — not prose — which then flow through the rules engine.</w:t>
      </w:r>
    </w:p>
    <w:p>
      <w:pPr>
        <w:pStyle w:val="Heading3"/>
        <w:spacing w:before="240" w:after="80"/>
      </w:pPr>
      <w:r>
        <w:rPr>
          <w:rFonts w:ascii="Arial" w:cs="Arial" w:eastAsia="Arial" w:hAnsi="Arial"/>
          <w:b/>
          <w:bCs/>
          <w:color w:val="2E6BE6"/>
          <w:sz w:val="22"/>
          <w:szCs w:val="22"/>
        </w:rPr>
        <w:t xml:space="preserve">What it reasons about</w:t>
      </w:r>
    </w:p>
    <w:p>
      <w:pPr>
        <w:pStyle w:val="ListParagraph"/>
        <w:numPr>
          <w:ilvl w:val="0"/>
          <w:numId w:val="2"/>
        </w:numPr>
        <w:spacing w:before="60" w:after="60"/>
      </w:pPr>
      <w:r>
        <w:rPr>
          <w:rFonts w:ascii="Arial" w:cs="Arial" w:eastAsia="Arial" w:hAnsi="Arial"/>
          <w:color w:val="374151"/>
          <w:sz w:val="22"/>
          <w:szCs w:val="22"/>
        </w:rPr>
        <w:t xml:space="preserve">Goal trajectory — is the portfolio on track? What is the trend?</w:t>
      </w:r>
    </w:p>
    <w:p>
      <w:pPr>
        <w:pStyle w:val="ListParagraph"/>
        <w:numPr>
          <w:ilvl w:val="0"/>
          <w:numId w:val="2"/>
        </w:numPr>
        <w:spacing w:before="60" w:after="60"/>
      </w:pPr>
      <w:r>
        <w:rPr>
          <w:rFonts w:ascii="Arial" w:cs="Arial" w:eastAsia="Arial" w:hAnsi="Arial"/>
          <w:color w:val="374151"/>
          <w:sz w:val="22"/>
          <w:szCs w:val="22"/>
        </w:rPr>
        <w:t xml:space="preserve">Concentration and correlation risk — are multiple positions telling the same story?</w:t>
      </w:r>
    </w:p>
    <w:p>
      <w:pPr>
        <w:pStyle w:val="ListParagraph"/>
        <w:numPr>
          <w:ilvl w:val="0"/>
          <w:numId w:val="2"/>
        </w:numPr>
        <w:spacing w:before="60" w:after="60"/>
      </w:pPr>
      <w:r>
        <w:rPr>
          <w:rFonts w:ascii="Arial" w:cs="Arial" w:eastAsia="Arial" w:hAnsi="Arial"/>
          <w:color w:val="374151"/>
          <w:sz w:val="22"/>
          <w:szCs w:val="22"/>
        </w:rPr>
        <w:t xml:space="preserve">Macro context — are recent events directly relevant to any positions?</w:t>
      </w:r>
    </w:p>
    <w:p>
      <w:pPr>
        <w:pStyle w:val="ListParagraph"/>
        <w:numPr>
          <w:ilvl w:val="0"/>
          <w:numId w:val="2"/>
        </w:numPr>
        <w:spacing w:before="60" w:after="60"/>
      </w:pPr>
      <w:r>
        <w:rPr>
          <w:rFonts w:ascii="Arial" w:cs="Arial" w:eastAsia="Arial" w:hAnsi="Arial"/>
          <w:color w:val="374151"/>
          <w:sz w:val="22"/>
          <w:szCs w:val="22"/>
        </w:rPr>
        <w:t xml:space="preserve">Regime-adjusted signal reliability — how much to trust each agent's output today</w:t>
      </w:r>
    </w:p>
    <w:p>
      <w:pPr>
        <w:pStyle w:val="ListParagraph"/>
        <w:numPr>
          <w:ilvl w:val="0"/>
          <w:numId w:val="2"/>
        </w:numPr>
        <w:spacing w:before="60" w:after="60"/>
      </w:pPr>
      <w:r>
        <w:rPr>
          <w:rFonts w:ascii="Arial" w:cs="Arial" w:eastAsia="Arial" w:hAnsi="Arial"/>
          <w:color w:val="374151"/>
          <w:sz w:val="22"/>
          <w:szCs w:val="22"/>
        </w:rPr>
        <w:t xml:space="preserve">New position candidates — which unowned assets would improve diversification and probability</w:t>
      </w:r>
    </w:p>
    <w:p>
      <w:pPr>
        <w:pStyle w:val="Heading3"/>
        <w:spacing w:before="240" w:after="80"/>
      </w:pPr>
      <w:r>
        <w:rPr>
          <w:rFonts w:ascii="Arial" w:cs="Arial" w:eastAsia="Arial" w:hAnsi="Arial"/>
          <w:b/>
          <w:bCs/>
          <w:color w:val="2E6BE6"/>
          <w:sz w:val="22"/>
          <w:szCs w:val="22"/>
        </w:rPr>
        <w:t xml:space="preserve">Dynamic Weight Adjustment</w:t>
      </w:r>
    </w:p>
    <w:p>
      <w:pPr>
        <w:spacing w:before="80" w:after="80"/>
      </w:pPr>
      <w:r>
        <w:rPr>
          <w:rFonts w:ascii="Arial" w:cs="Arial" w:eastAsia="Arial" w:hAnsi="Arial"/>
          <w:color w:val="374151"/>
          <w:sz w:val="22"/>
          <w:szCs w:val="22"/>
        </w:rPr>
        <w:t xml:space="preserve">Instead of hardcoded aggregation weights, the LLM reasons about which agents to trust more given current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Market Condition</w:t>
            </w:r>
          </w:p>
        </w:tc>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Technical</w:t>
            </w:r>
          </w:p>
        </w:tc>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Sentiment</w:t>
            </w:r>
          </w:p>
        </w:tc>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Fundamental</w:t>
            </w:r>
          </w:p>
        </w:tc>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Regime</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Bull market, trending</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0.55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0.25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0.15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0.05</w:t>
            </w:r>
          </w:p>
        </w:tc>
      </w:tr>
      <w:tr>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Default / balanced</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0.50</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0.25</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0.05</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Cautious / elevated volatility</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0.05</w:t>
            </w:r>
          </w:p>
        </w:tc>
      </w:tr>
      <w:tr>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Bear market / crisis</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0.25</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0.45</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0.10</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 macro event activity</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0.45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0.05</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Structured Output</w:t>
      </w:r>
    </w:p>
    <w:p>
      <w:pPr>
        <w:spacing w:before="80" w:after="80"/>
      </w:pPr>
      <w:r>
        <w:rPr>
          <w:rFonts w:ascii="Arial" w:cs="Arial" w:eastAsia="Arial" w:hAnsi="Arial"/>
          <w:color w:val="374151"/>
          <w:sz w:val="22"/>
          <w:szCs w:val="22"/>
        </w:rPr>
        <w:t xml:space="preserve">The agent outputs JSON — not prose. This makes it a proper data-producing component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weight_rationale: { technical: 0.35, sentiment: 0.30, ... reasoning: '...' },</w:t>
            </w:r>
          </w:p>
          <w:p>
            <w:pPr>
              <w:spacing w:before="20" w:after="20"/>
            </w:pPr>
            <w:r>
              <w:rPr>
                <w:rFonts w:ascii="Courier New" w:cs="Courier New" w:eastAsia="Courier New" w:hAnsi="Courier New"/>
                <w:color w:val="E2E8F0"/>
                <w:sz w:val="18"/>
                <w:szCs w:val="18"/>
              </w:rPr>
              <w:t xml:space="preserve">  portfolio_assessment: { goal_status, primary_risk, assessment },</w:t>
            </w:r>
          </w:p>
          <w:p>
            <w:pPr>
              <w:spacing w:before="20" w:after="20"/>
            </w:pPr>
            <w:r>
              <w:rPr>
                <w:rFonts w:ascii="Courier New" w:cs="Courier New" w:eastAsia="Courier New" w:hAnsi="Courier New"/>
                <w:color w:val="E2E8F0"/>
                <w:sz w:val="18"/>
                <w:szCs w:val="18"/>
              </w:rPr>
              <w:t xml:space="preserve">  recommendations: [</w:t>
            </w:r>
          </w:p>
          <w:p>
            <w:pPr>
              <w:spacing w:before="20" w:after="20"/>
            </w:pPr>
            <w:r>
              <w:rPr>
                <w:rFonts w:ascii="Courier New" w:cs="Courier New" w:eastAsia="Courier New" w:hAnsi="Courier New"/>
                <w:color w:val="E2E8F0"/>
                <w:sz w:val="18"/>
                <w:szCs w:val="18"/>
              </w:rPr>
              <w:t xml:space="preserve">    { ticker, action, urgency, allocation_change_pct, reasoning, confidence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portfolio_narrative: '...',   // plain-language daily briefing for user</w:t>
            </w:r>
          </w:p>
          <w:p>
            <w:pPr>
              <w:spacing w:before="20" w:after="20"/>
            </w:pPr>
            <w:r>
              <w:rPr>
                <w:rFonts w:ascii="Courier New" w:cs="Courier New" w:eastAsia="Courier New" w:hAnsi="Courier New"/>
                <w:color w:val="E2E8F0"/>
                <w:sz w:val="18"/>
                <w:szCs w:val="18"/>
              </w:rPr>
              <w:t xml:space="preserve">  overall_confidence: 0.76,</w:t>
            </w:r>
          </w:p>
          <w:p>
            <w:pPr>
              <w:spacing w:before="20" w:after="20"/>
            </w:pPr>
            <w:r>
              <w:rPr>
                <w:rFonts w:ascii="Courier New" w:cs="Courier New" w:eastAsia="Courier New" w:hAnsi="Courier New"/>
                <w:color w:val="E2E8F0"/>
                <w:sz w:val="18"/>
                <w:szCs w:val="18"/>
              </w:rPr>
              <w:t xml:space="preserve">  low_confidence_reasons: [...]</w:t>
            </w:r>
          </w:p>
          <w:p>
            <w:pPr>
              <w:spacing w:before="20" w:after="20"/>
            </w:pPr>
            <w:r>
              <w:rPr>
                <w:rFonts w:ascii="Courier New" w:cs="Courier New" w:eastAsia="Courier New" w:hAnsi="Courier New"/>
                <w:color w:val="E2E8F0"/>
                <w:sz w:val="18"/>
                <w:szCs w:val="18"/>
              </w:rPr>
              <w:t xml:space="preserve">}</w:t>
            </w:r>
          </w:p>
        </w:tc>
      </w:tr>
    </w:tbl>
    <w:p>
      <w:pPr>
        <w:pStyle w:val="Heading3"/>
        <w:spacing w:before="240" w:after="80"/>
      </w:pPr>
      <w:r>
        <w:rPr>
          <w:rFonts w:ascii="Arial" w:cs="Arial" w:eastAsia="Arial" w:hAnsi="Arial"/>
          <w:b/>
          <w:bCs/>
          <w:color w:val="2E6BE6"/>
          <w:sz w:val="22"/>
          <w:szCs w:val="22"/>
        </w:rPr>
        <w:t xml:space="preserve">Confidence System</w:t>
      </w:r>
    </w:p>
    <w:p>
      <w:pPr>
        <w:spacing w:before="80" w:after="80"/>
      </w:pPr>
      <w:r>
        <w:rPr>
          <w:rFonts w:ascii="Arial" w:cs="Arial" w:eastAsia="Arial" w:hAnsi="Arial"/>
          <w:color w:val="374151"/>
          <w:sz w:val="22"/>
          <w:szCs w:val="22"/>
        </w:rPr>
        <w:t xml:space="preserve">Every recommendation includes a confidence score. When overall confidence drops below 0.4, the system falls back to a math-based rules output and flags it as 'low conviction day' to the user. This means the system is honest about uncertainty rather than fabricating confidence.</w:t>
      </w:r>
    </w:p>
    <w:p>
      <w:pPr>
        <w:pStyle w:val="Heading3"/>
        <w:spacing w:before="240" w:after="80"/>
      </w:pPr>
      <w:r>
        <w:rPr>
          <w:rFonts w:ascii="Arial" w:cs="Arial" w:eastAsia="Arial" w:hAnsi="Arial"/>
          <w:b/>
          <w:bCs/>
          <w:color w:val="2E6BE6"/>
          <w:sz w:val="22"/>
          <w:szCs w:val="22"/>
        </w:rPr>
        <w:t xml:space="preserve">Cost Optimization</w:t>
      </w:r>
    </w:p>
    <w:p>
      <w:pPr>
        <w:spacing w:before="80" w:after="80"/>
      </w:pPr>
      <w:r>
        <w:rPr>
          <w:rFonts w:ascii="Arial" w:cs="Arial" w:eastAsia="Arial" w:hAnsi="Arial"/>
          <w:color w:val="374151"/>
          <w:sz w:val="22"/>
          <w:szCs w:val="22"/>
        </w:rPr>
        <w:t xml:space="preserve">The LLM Synthesis Agent runs per-user, not per-asset. It receives pre-computed scores for ~15 relevant assets (current positions + top candidates), not all 100. Estimated cost: ~2,700 tokens per user per day.</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12. Rules Engine</w:t>
      </w:r>
    </w:p>
    <w:p>
      <w:pPr>
        <w:spacing w:before="80" w:after="80"/>
      </w:pPr>
      <w:r>
        <w:rPr>
          <w:rFonts w:ascii="Arial" w:cs="Arial" w:eastAsia="Arial" w:hAnsi="Arial"/>
          <w:color w:val="374151"/>
          <w:sz w:val="22"/>
          <w:szCs w:val="22"/>
        </w:rPr>
        <w:t xml:space="preserve">The Rules Engine runs after the LLM Synthesis Agent. Its role has changed from decision-maker (v1.0) to compliance and safety layer. It validates and caps LLM output against non-negotiable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Max single position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&gt; 30% allocation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Cap at 30%, log override</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Drawdown hard stop</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At or past user's limit</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Force SELL regardless of LLM output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Max daily changes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&gt; 4 position changes recommended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Keep top 3 by urgency + confidence</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Asset type constraint</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Asset type excluded by user</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Remove recommendation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Cash floor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Portfolio cash &lt; 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Block additional BUY recommendations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Crypto allocation cap</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Crypto &gt; user's set maximum</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Cap and adjust recommendation</w:t>
            </w:r>
          </w:p>
        </w:tc>
      </w:tr>
    </w:tbl>
    <w:p>
      <w:pPr>
        <w:spacing w:before="80" w:after="80"/>
      </w:pPr>
      <w:r>
        <w:rPr>
          <w:rFonts w:ascii="Arial" w:cs="Arial" w:eastAsia="Arial" w:hAnsi="Arial"/>
          <w:color w:val="374151"/>
          <w:sz w:val="22"/>
          <w:szCs w:val="22"/>
        </w:rPr>
        <w:t xml:space="preserve">Every rules-engine override is logged with the reason. This log is accessible for auditing and informs future prompt improvements.</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13. Score Interpretation</w:t>
      </w:r>
    </w:p>
    <w:p>
      <w:pPr>
        <w:spacing w:before="80" w:after="80"/>
      </w:pPr>
      <w:r>
        <w:rPr>
          <w:rFonts w:ascii="Arial" w:cs="Arial" w:eastAsia="Arial" w:hAnsi="Arial"/>
          <w:color w:val="374151"/>
          <w:sz w:val="22"/>
          <w:szCs w:val="22"/>
        </w:rPr>
        <w:t xml:space="preserve">Combined asset scores (produced by the LLM weighting logic) still map to standardized qualitative signals for display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Typical Action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+0.60 to +1.00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Strong Buy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New position or add to existing</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+0.20 to +0.59</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Buy</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Consider adding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-0.19 to +0.19</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Hold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 change needed</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-0.59 to -0.20</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Sell / Reduce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Reduce or close position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-1.00 to -0.60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Strong Sell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Exit position</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14. Portfolio Decision Engine</w:t>
      </w:r>
    </w:p>
    <w:p>
      <w:pPr>
        <w:spacing w:before="80" w:after="80"/>
      </w:pPr>
      <w:r>
        <w:rPr>
          <w:rFonts w:ascii="Arial" w:cs="Arial" w:eastAsia="Arial" w:hAnsi="Arial"/>
          <w:color w:val="374151"/>
          <w:sz w:val="22"/>
          <w:szCs w:val="22"/>
        </w:rPr>
        <w:t xml:space="preserve">The Portfolio Decision Engine receives the validated output from the rules engine and structures it for delivery to the user. It is responsible for:</w:t>
      </w:r>
    </w:p>
    <w:p>
      <w:pPr>
        <w:pStyle w:val="ListParagraph"/>
        <w:numPr>
          <w:ilvl w:val="0"/>
          <w:numId w:val="2"/>
        </w:numPr>
        <w:spacing w:before="60" w:after="60"/>
      </w:pPr>
      <w:r>
        <w:rPr>
          <w:rFonts w:ascii="Arial" w:cs="Arial" w:eastAsia="Arial" w:hAnsi="Arial"/>
          <w:color w:val="374151"/>
          <w:sz w:val="22"/>
          <w:szCs w:val="22"/>
        </w:rPr>
        <w:t xml:space="preserve">Formatting recommendations for the dashboard (cards, narrative, urgency indicators)</w:t>
      </w:r>
    </w:p>
    <w:p>
      <w:pPr>
        <w:pStyle w:val="ListParagraph"/>
        <w:numPr>
          <w:ilvl w:val="0"/>
          <w:numId w:val="2"/>
        </w:numPr>
        <w:spacing w:before="60" w:after="60"/>
      </w:pPr>
      <w:r>
        <w:rPr>
          <w:rFonts w:ascii="Arial" w:cs="Arial" w:eastAsia="Arial" w:hAnsi="Arial"/>
          <w:color w:val="374151"/>
          <w:sz w:val="22"/>
          <w:szCs w:val="22"/>
        </w:rPr>
        <w:t xml:space="preserve">Calculating goal probability impact of recommended changes</w:t>
      </w:r>
    </w:p>
    <w:p>
      <w:pPr>
        <w:pStyle w:val="ListParagraph"/>
        <w:numPr>
          <w:ilvl w:val="0"/>
          <w:numId w:val="2"/>
        </w:numPr>
        <w:spacing w:before="60" w:after="60"/>
      </w:pPr>
      <w:r>
        <w:rPr>
          <w:rFonts w:ascii="Arial" w:cs="Arial" w:eastAsia="Arial" w:hAnsi="Arial"/>
          <w:color w:val="374151"/>
          <w:sz w:val="22"/>
          <w:szCs w:val="22"/>
        </w:rPr>
        <w:t xml:space="preserve">Generating the daily briefing narrative from the LLM synthesis output</w:t>
      </w:r>
    </w:p>
    <w:p>
      <w:pPr>
        <w:pStyle w:val="ListParagraph"/>
        <w:numPr>
          <w:ilvl w:val="0"/>
          <w:numId w:val="2"/>
        </w:numPr>
        <w:spacing w:before="60" w:after="60"/>
      </w:pPr>
      <w:r>
        <w:rPr>
          <w:rFonts w:ascii="Arial" w:cs="Arial" w:eastAsia="Arial" w:hAnsi="Arial"/>
          <w:color w:val="374151"/>
          <w:sz w:val="22"/>
          <w:szCs w:val="22"/>
        </w:rPr>
        <w:t xml:space="preserve">Tracking which recommendations the user approved or dismissed</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15. Daily Analysis Cycle</w:t>
      </w:r>
    </w:p>
    <w:p>
      <w:pPr>
        <w:spacing w:before="80" w:after="80"/>
      </w:pPr>
      <w:r>
        <w:rPr>
          <w:rFonts w:ascii="Arial" w:cs="Arial" w:eastAsia="Arial" w:hAnsi="Arial"/>
          <w:color w:val="374151"/>
          <w:sz w:val="22"/>
          <w:szCs w:val="22"/>
        </w:rPr>
        <w:t xml:space="preserve">The full daily cycle runs once per day, typically after market close: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Retrieve OHLCV, quotes, news, fundamentals from providers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Market Data</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Store all raw data in internal database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Market Data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Run Technical Agent on all 100 assets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Analysis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Run Sentiment Agent on all 100 assets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Analysis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Run Fundamental Agent on all 100 assets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Analysis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Run Market Regime Agent (shared, once)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Analysis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Extract and classify macro events (shared, once)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Analysis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8</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For each active user: assemble context package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Synthesis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9</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Run LLM Synthesis Agent per user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Synthesis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10</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Run Rules Engine on LLM output per user</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Rules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Write final recommendations + narrative to database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Decision</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12</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User dashboard updates on next load</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Frontend</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16. Transparency and Explainability</w:t>
      </w:r>
    </w:p>
    <w:p>
      <w:pPr>
        <w:spacing w:before="80" w:after="80"/>
      </w:pPr>
      <w:r>
        <w:rPr>
          <w:rFonts w:ascii="Arial" w:cs="Arial" w:eastAsia="Arial" w:hAnsi="Arial"/>
          <w:color w:val="374151"/>
          <w:sz w:val="22"/>
          <w:szCs w:val="22"/>
        </w:rPr>
        <w:t xml:space="preserve">Every recommendation includes a layered explanation — not a template. The LLM Synthesis Agent generates the reasoning as part of its structured output. This means explanations reflect actual context, not boilerplate.</w:t>
      </w:r>
    </w:p>
    <w:p>
      <w:pPr>
        <w:pStyle w:val="Heading3"/>
        <w:spacing w:before="240" w:after="80"/>
      </w:pPr>
      <w:r>
        <w:rPr>
          <w:rFonts w:ascii="Arial" w:cs="Arial" w:eastAsia="Arial" w:hAnsi="Arial"/>
          <w:b/>
          <w:bCs/>
          <w:color w:val="2E6BE6"/>
          <w:sz w:val="22"/>
          <w:szCs w:val="22"/>
        </w:rPr>
        <w:t xml:space="preserve">Example recommendation with full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Reduce BTC allocation by 50%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The system reasoned:</w:t>
            </w:r>
          </w:p>
          <w:p>
            <w:pPr>
              <w:spacing w:before="20" w:after="20"/>
            </w:pPr>
            <w:r>
              <w:rPr>
                <w:rFonts w:ascii="Courier New" w:cs="Courier New" w:eastAsia="Courier New" w:hAnsi="Courier New"/>
                <w:color w:val="E2E8F0"/>
                <w:sz w:val="18"/>
                <w:szCs w:val="18"/>
              </w:rPr>
              <w:t xml:space="preserve">Your BTC position is down 21% and within 4 points of your personal drawdown</w:t>
            </w:r>
          </w:p>
          <w:p>
            <w:pPr>
              <w:spacing w:before="20" w:after="20"/>
            </w:pPr>
            <w:r>
              <w:rPr>
                <w:rFonts w:ascii="Courier New" w:cs="Courier New" w:eastAsia="Courier New" w:hAnsi="Courier New"/>
                <w:color w:val="E2E8F0"/>
                <w:sz w:val="18"/>
                <w:szCs w:val="18"/>
              </w:rPr>
              <w:t xml:space="preserve">limit. Sentiment has been negative for 5 consecutive days following Fed signals.</w:t>
            </w:r>
          </w:p>
          <w:p>
            <w:pPr>
              <w:spacing w:before="20" w:after="20"/>
            </w:pPr>
            <w:r>
              <w:rPr>
                <w:rFonts w:ascii="Courier New" w:cs="Courier New" w:eastAsia="Courier New" w:hAnsi="Courier New"/>
                <w:color w:val="E2E8F0"/>
                <w:sz w:val="18"/>
                <w:szCs w:val="18"/>
              </w:rPr>
              <w:t xml:space="preserve">The current cautious market regime reduces the reliability of technical recovery</w:t>
            </w:r>
          </w:p>
          <w:p>
            <w:pPr>
              <w:spacing w:before="20" w:after="20"/>
            </w:pPr>
            <w:r>
              <w:rPr>
                <w:rFonts w:ascii="Courier New" w:cs="Courier New" w:eastAsia="Courier New" w:hAnsi="Courier New"/>
                <w:color w:val="E2E8F0"/>
                <w:sz w:val="18"/>
                <w:szCs w:val="18"/>
              </w:rPr>
              <w:t xml:space="preserve">signals. Reducing by half preserves upside optionality while eliminating the</w:t>
            </w:r>
          </w:p>
          <w:p>
            <w:pPr>
              <w:spacing w:before="20" w:after="20"/>
            </w:pPr>
            <w:r>
              <w:rPr>
                <w:rFonts w:ascii="Courier New" w:cs="Courier New" w:eastAsia="Courier New" w:hAnsi="Courier New"/>
                <w:color w:val="E2E8F0"/>
                <w:sz w:val="18"/>
                <w:szCs w:val="18"/>
              </w:rPr>
              <w:t xml:space="preserve">risk of hitting your hard stop at the worst moment.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Confidence: 0.82  |  Urgency: High</w:t>
            </w:r>
          </w:p>
          <w:p>
            <w:pPr>
              <w:spacing w:before="20" w:after="20"/>
            </w:pPr>
            <w:r>
              <w:rPr>
                <w:rFonts w:ascii="Courier New" w:cs="Courier New" w:eastAsia="Courier New" w:hAnsi="Courier New"/>
                <w:color w:val="E2E8F0"/>
                <w:sz w:val="18"/>
                <w:szCs w:val="18"/>
              </w:rPr>
              <w:t xml:space="preserve">Regime weight adjustment applied: technical reduced, sentiment elevated</w:t>
            </w:r>
          </w:p>
        </w:tc>
      </w:tr>
    </w:tbl>
    <w:p>
      <w:pPr>
        <w:spacing w:before="80" w:after="80"/>
      </w:pPr>
      <w:r>
        <w:rPr>
          <w:rFonts w:ascii="Arial" w:cs="Arial" w:eastAsia="Arial" w:hAnsi="Arial"/>
          <w:color w:val="374151"/>
          <w:sz w:val="22"/>
          <w:szCs w:val="22"/>
        </w:rPr>
        <w:t xml:space="preserve">The audit trail stores the full LLM reasoning, the weight adjustment made, any rules-engine overrides applied, and the final recommendation delivered. Every decision in the system's history is answerable.</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17. Extensibility</w:t>
      </w:r>
    </w:p>
    <w:p>
      <w:pPr>
        <w:spacing w:before="80" w:after="80"/>
      </w:pPr>
      <w:r>
        <w:rPr>
          <w:rFonts w:ascii="Arial" w:cs="Arial" w:eastAsia="Arial" w:hAnsi="Arial"/>
          <w:color w:val="374151"/>
          <w:sz w:val="22"/>
          <w:szCs w:val="22"/>
        </w:rPr>
        <w:t xml:space="preserve">The architecture is designed to grow without restructuring. Adding new agents or enhancing existing ones only requires plugging into the existing data flow.</w:t>
      </w:r>
    </w:p>
    <w:p>
      <w:pPr>
        <w:pStyle w:val="Heading3"/>
        <w:spacing w:before="240" w:after="80"/>
      </w:pPr>
      <w:r>
        <w:rPr>
          <w:rFonts w:ascii="Arial" w:cs="Arial" w:eastAsia="Arial" w:hAnsi="Arial"/>
          <w:b/>
          <w:bCs/>
          <w:color w:val="2E6BE6"/>
          <w:sz w:val="22"/>
          <w:szCs w:val="22"/>
        </w:rPr>
        <w:t xml:space="preserve">Planned future agents</w:t>
      </w:r>
    </w:p>
    <w:p>
      <w:pPr>
        <w:pStyle w:val="ListParagraph"/>
        <w:numPr>
          <w:ilvl w:val="0"/>
          <w:numId w:val="2"/>
        </w:numPr>
        <w:spacing w:before="60" w:after="60"/>
      </w:pPr>
      <w:r>
        <w:rPr>
          <w:rFonts w:ascii="Arial" w:cs="Arial" w:eastAsia="Arial" w:hAnsi="Arial"/>
          <w:color w:val="374151"/>
          <w:sz w:val="22"/>
          <w:szCs w:val="22"/>
        </w:rPr>
        <w:t xml:space="preserve">Earnings Intelligence Agent — LLM reads earnings call transcripts to extract narrative shifts, not just ratio changes</w:t>
      </w:r>
    </w:p>
    <w:p>
      <w:pPr>
        <w:pStyle w:val="ListParagraph"/>
        <w:numPr>
          <w:ilvl w:val="0"/>
          <w:numId w:val="2"/>
        </w:numPr>
        <w:spacing w:before="60" w:after="60"/>
      </w:pPr>
      <w:r>
        <w:rPr>
          <w:rFonts w:ascii="Arial" w:cs="Arial" w:eastAsia="Arial" w:hAnsi="Arial"/>
          <w:color w:val="374151"/>
          <w:sz w:val="22"/>
          <w:szCs w:val="22"/>
        </w:rPr>
        <w:t xml:space="preserve">Macro Reasoning Agent — dedicated second-order impact analysis of macro events on user portfolios</w:t>
      </w:r>
    </w:p>
    <w:p>
      <w:pPr>
        <w:pStyle w:val="ListParagraph"/>
        <w:numPr>
          <w:ilvl w:val="0"/>
          <w:numId w:val="2"/>
        </w:numPr>
        <w:spacing w:before="60" w:after="60"/>
      </w:pPr>
      <w:r>
        <w:rPr>
          <w:rFonts w:ascii="Arial" w:cs="Arial" w:eastAsia="Arial" w:hAnsi="Arial"/>
          <w:color w:val="374151"/>
          <w:sz w:val="22"/>
          <w:szCs w:val="22"/>
        </w:rPr>
        <w:t xml:space="preserve">Sector Rotation Agent — identifies capital flows between sectors</w:t>
      </w:r>
    </w:p>
    <w:p>
      <w:pPr>
        <w:pStyle w:val="Heading3"/>
        <w:spacing w:before="240" w:after="80"/>
      </w:pPr>
      <w:r>
        <w:rPr>
          <w:rFonts w:ascii="Arial" w:cs="Arial" w:eastAsia="Arial" w:hAnsi="Arial"/>
          <w:b/>
          <w:bCs/>
          <w:color w:val="2E6BE6"/>
          <w:sz w:val="22"/>
          <w:szCs w:val="22"/>
        </w:rPr>
        <w:t xml:space="preserve">Planned LLM enhancements</w:t>
      </w:r>
    </w:p>
    <w:p>
      <w:pPr>
        <w:pStyle w:val="ListParagraph"/>
        <w:numPr>
          <w:ilvl w:val="0"/>
          <w:numId w:val="2"/>
        </w:numPr>
        <w:spacing w:before="60" w:after="60"/>
      </w:pPr>
      <w:r>
        <w:rPr>
          <w:rFonts w:ascii="Arial" w:cs="Arial" w:eastAsia="Arial" w:hAnsi="Arial"/>
          <w:color w:val="374151"/>
          <w:sz w:val="22"/>
          <w:szCs w:val="22"/>
        </w:rPr>
        <w:t xml:space="preserve">User feedback loop — dismissed recommendations feed back into future synthesis context</w:t>
      </w:r>
    </w:p>
    <w:p>
      <w:pPr>
        <w:pStyle w:val="ListParagraph"/>
        <w:numPr>
          <w:ilvl w:val="0"/>
          <w:numId w:val="2"/>
        </w:numPr>
        <w:spacing w:before="60" w:after="60"/>
      </w:pPr>
      <w:r>
        <w:rPr>
          <w:rFonts w:ascii="Arial" w:cs="Arial" w:eastAsia="Arial" w:hAnsi="Arial"/>
          <w:color w:val="374151"/>
          <w:sz w:val="22"/>
          <w:szCs w:val="22"/>
        </w:rPr>
        <w:t xml:space="preserve">Multi-turn reasoning — for high-stakes positions, the synthesis agent can flag for deeper analysis before recommending</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18. Bridge to the Database Layer</w:t>
      </w:r>
    </w:p>
    <w:p>
      <w:pPr>
        <w:spacing w:before="80" w:after="80"/>
      </w:pPr>
      <w:r>
        <w:rPr>
          <w:rFonts w:ascii="Arial" w:cs="Arial" w:eastAsia="Arial" w:hAnsi="Arial"/>
          <w:color w:val="374151"/>
          <w:sz w:val="22"/>
          <w:szCs w:val="22"/>
        </w:rPr>
        <w:t xml:space="preserve">All market data, agent scores, LLM synthesis outputs, rules-engine logs, and final recommendations are stored as immutable historical records. The database layer is designed to support full auditability of every decision the system has ever made.</w:t>
      </w:r>
    </w:p>
    <w:p>
      <w:pPr>
        <w:spacing w:before="80" w:after="80"/>
      </w:pPr>
      <w:r>
        <w:rPr>
          <w:rFonts w:ascii="Arial" w:cs="Arial" w:eastAsia="Arial" w:hAnsi="Arial"/>
          <w:color w:val="374151"/>
          <w:sz w:val="22"/>
          <w:szCs w:val="22"/>
        </w:rPr>
        <w:t xml:space="preserve">The detailed database architecture and data model are described in the companion document: Data &amp; Database Architecture.</w:t>
      </w:r>
    </w:p>
    <w:p>
      <w:pPr>
        <w:spacing w:before="0" w:after="160"/>
      </w:pPr>
      <w:r>
        <w:t xml:space="preserve"/>
      </w:r>
    </w:p>
    <w:p>
      <w:pPr>
        <w:pBdr>
          <w:bottom w:val="single" w:color="E2E8F0" w:sz="4" w:space="1"/>
        </w:pBdr>
        <w:spacing w:before="160" w:after="160"/>
      </w:pPr>
      <w:r>
        <w:t xml:space="preserve"/>
      </w:r>
    </w:p>
    <w:p>
      <w:pPr>
        <w:spacing w:before="160" w:after="0"/>
        <w:jc w:val="center"/>
      </w:pPr>
      <w:r>
        <w:rPr>
          <w:rFonts w:ascii="Arial" w:cs="Arial" w:eastAsia="Arial" w:hAnsi="Arial"/>
          <w:i/>
          <w:iCs/>
          <w:color w:val="6B7280"/>
          <w:sz w:val="20"/>
          <w:szCs w:val="20"/>
        </w:rPr>
        <w:t xml:space="preserve">End of Document —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80" w:after="0"/>
    </w:pPr>
    <w:r>
      <w:rPr>
        <w:rFonts w:ascii="Arial" w:cs="Arial" w:eastAsia="Arial" w:hAnsi="Arial"/>
        <w:color w:val="6B7280"/>
        <w:sz w:val="18"/>
        <w:szCs w:val="18"/>
      </w:rPr>
      <w:t xml:space="preserve">Confidential — Internal Spec</w:t>
    </w:r>
    <w:r>
      <w:rPr>
        <w:rFonts w:ascii="Arial" w:cs="Arial" w:eastAsia="Arial" w:hAnsi="Arial"/>
        <w:sz w:val="18"/>
        <w:szCs w:val="18"/>
      </w:rPr>
      <w:t xml:space="preserve">	</w:t>
    </w:r>
    <w:r>
      <w:rPr>
        <w:rFonts w:ascii="Arial" w:cs="Arial" w:eastAsia="Arial" w:hAnsi="Arial"/>
        <w:color w:val="6B7280"/>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6B7280"/>
              <w:sz w:val="18"/>
              <w:szCs w:val="18"/>
            </w:rPr>
            <w:t xml:space="preserve">Multi-Agent Investment Portfolio Advisor</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Arial" w:cs="Arial" w:eastAsia="Arial" w:hAnsi="Arial"/>
              <w:b/>
              <w:bCs/>
              <w:color w:val="2E6BE6"/>
              <w:sz w:val="18"/>
              <w:szCs w:val="18"/>
            </w:rPr>
            <w:t xml:space="preserve">Multi-Agent System Architecture</w:t>
          </w:r>
        </w:p>
      </w:tc>
    </w:tr>
  </w:tbl>
  <w:p>
    <w:pPr>
      <w:pBdr>
        <w:bottom w:val="single" w:color="2E6BE6" w:sz="4" w:space="1"/>
      </w:pBdr>
      <w:spacing w:before="6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6BE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2026-03-05T10:02:18.505Z</dcterms:created>
  <dcterms:modified xsi:type="dcterms:W3CDTF">2026-03-05T10:02:18.505Z</dcterms:modified>
</cp:coreProperties>
</file>

<file path=docProps/custom.xml><?xml version="1.0" encoding="utf-8"?>
<Properties xmlns="http://schemas.openxmlformats.org/officeDocument/2006/custom-properties" xmlns:vt="http://schemas.openxmlformats.org/officeDocument/2006/docPropsVTypes"/>
</file>