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240"/>
        <w:jc w:val="center"/>
      </w:pPr>
      <w:r>
        <w:rPr>
          <w:rFonts w:ascii="Times New Roman" w:hAnsi="Times New Roman"/>
          <w:b/>
          <w:i w:val="0"/>
          <w:sz w:val="28"/>
        </w:rPr>
        <w:t>WNIOSEK O SKIEROWANIE PYTAŃ PREJUDYCJALNYCH DO TRYBUNAŁU SPRAWIEDLIWOŚCI UNII EUROPEJSKIEJ</w:t>
      </w:r>
    </w:p>
    <w:p>
      <w:pPr>
        <w:spacing w:line="360" w:lineRule="auto"/>
        <w:jc w:val="right"/>
      </w:pPr>
      <w:r>
        <w:rPr>
          <w:rFonts w:ascii="Times New Roman" w:hAnsi="Times New Roman"/>
          <w:b w:val="0"/>
          <w:i w:val="0"/>
          <w:sz w:val="24"/>
        </w:rPr>
        <w:t>Ruda Śląska, dnia 30 czerwca 2026 r.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Wojewódzki Sąd Administracyjny w Gliwicach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ul. Prymasa Stefana Wyszyńskiego 2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44-100 Gliwice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Sygn. akt:</w:t>
      </w:r>
      <w:r>
        <w:rPr>
          <w:rFonts w:ascii="Times New Roman" w:hAnsi="Times New Roman"/>
          <w:b w:val="0"/>
          <w:i w:val="0"/>
          <w:sz w:val="24"/>
        </w:rPr>
        <w:t xml:space="preserve"> [do uzupełnienia]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Wnioskodawca:</w:t>
      </w:r>
      <w:r>
        <w:rPr>
          <w:rFonts w:ascii="Times New Roman" w:hAnsi="Times New Roman"/>
          <w:b w:val="0"/>
          <w:i w:val="0"/>
          <w:sz w:val="24"/>
        </w:rPr>
        <w:t xml:space="preserve"> Tomasz Świestowski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ul. Czarnoleśna 43C/3, 41-709 Ruda Śląska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/>
          <w:b/>
          <w:i w:val="0"/>
          <w:sz w:val="28"/>
        </w:rPr>
        <w:t>WNIOSEK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o skierowanie pytań prejudycjalnych do Trybunału Sprawiedliwości Unii Europejskiej na podstawie art. 267 Traktatu o funkcjonowaniu Unii Europejskiej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Na podstawie art. 267 akapit 2 Traktatu o funkcjonowaniu Unii Europejskiej (wersja skonsolidowana Dz.U. C 202 z 7 czerwca 2016 r., s. 47 i nast. — dalej: TFUE) wnoszę o skierowanie do Trybunału Sprawiedliwości Unii Europejskiej pytań prejudycjalnych dotyczących wykładni przepisów prawa unijnego, których rozstrzygnięcie jest niezbędne do wydania wyroku w niniejszej sprawie.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I. PYTANIA PREJUDYCJALNE</w:t>
      </w:r>
    </w:p>
    <w:p>
      <w:pPr>
        <w:spacing w:line="360" w:lineRule="auto" w:before="200" w:after="80"/>
      </w:pPr>
      <w:r>
        <w:rPr>
          <w:rFonts w:ascii="Times New Roman" w:hAnsi="Times New Roman"/>
          <w:b/>
          <w:i w:val="0"/>
          <w:sz w:val="24"/>
        </w:rPr>
        <w:t>Pytanie pierwsze — automatyzm decyzji administracyjnej a skuteczna ochrona sądowa w sprawach objętych zakresem prawa Unii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Czy art. 2 ust. 1 i art. 7 ust. 1 dyrektywy Parlamentu Europejskiego i Rady 2006/126/WE z dnia 20 grudnia 2006 r. w sprawie praw jazdy (Dz.U. UE L 403 z 30.12.2006, s. 18 ze zm.), w związku z: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– art. 47 Karty Praw Podstawowych Unii Europejskiej (prawo do skutecznego środka prawnego i do sprawiedliwego sądu),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– art. 41 ust. 2 lit. a) Karty Praw Podstawowych (prawo do bycia wysłuchanym przed podjęciem działania mogącego negatywnie wpłynąć na sytuację jednostki),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– art. 19 ust. 1 akapit drugi TUE (obowiązek zapewnienia skutecznej ochrony sądowej w dziedzinach objętych prawem Unii),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– art. 21 ust. 1 TFUE (prawo obywateli Unii do swobodnego przemieszczania się),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należy interpretować w ten sposób, że stoją one na przeszkodzie ustawodawstwu krajowemu, które:</w:t>
      </w:r>
    </w:p>
    <w:p>
      <w:pPr>
        <w:spacing w:line="360" w:lineRule="auto"/>
        <w:ind w:left="850" w:hanging="283"/>
      </w:pPr>
      <w:r>
        <w:rPr>
          <w:rFonts w:ascii="Times New Roman" w:hAnsi="Times New Roman"/>
          <w:b w:val="0"/>
          <w:i w:val="0"/>
          <w:sz w:val="24"/>
        </w:rPr>
        <w:t>(a) nakłada na organ administracji publicznej obowiązek wydania decyzji o skierowaniu kierowcy na badania lekarskie — prowadzącej potencjalnie do cofnięcia prawa jazdy — wyłącznie na podstawie wniosku prokuratury, bez przeprowadzenia własnego postępowania dowodowego i bez obowiązku weryfikacji, czy zastrzeżenia co do stanu zdrowia są rzeczywiście „uzasadnione i udokumentowane" w rozumieniu krajowego przepisu materialnego,</w:t>
      </w:r>
    </w:p>
    <w:p>
      <w:pPr>
        <w:spacing w:line="360" w:lineRule="auto"/>
        <w:ind w:left="850" w:hanging="283"/>
      </w:pPr>
      <w:r>
        <w:rPr>
          <w:rFonts w:ascii="Times New Roman" w:hAnsi="Times New Roman"/>
          <w:b w:val="0"/>
          <w:i w:val="0"/>
          <w:sz w:val="24"/>
        </w:rPr>
        <w:t>(b) traktuje wniosek prokuratury jako dowód wiążący organ administracji w sposób bezwzględny, pozbawiając adresata decyzji jakiejkolwiek możliwości podważenia podstaw faktycznych wniosku na etapie postępowania administracyjnego,</w:t>
      </w:r>
    </w:p>
    <w:p>
      <w:pPr>
        <w:spacing w:line="360" w:lineRule="auto"/>
        <w:ind w:left="850" w:hanging="283"/>
      </w:pPr>
      <w:r>
        <w:rPr>
          <w:rFonts w:ascii="Times New Roman" w:hAnsi="Times New Roman"/>
          <w:b w:val="0"/>
          <w:i w:val="0"/>
          <w:sz w:val="24"/>
        </w:rPr>
        <w:t>(c) nie przewiduje mechanizmu proporcjonalności ani gradualizmu ingerencji — w tym systemu wczesnego ostrzegania, okresowej weryfikacji czy możliwości zastosowania łagodniejszego środka — w sytuacji gdy konsekwencją takiej decyzji jest faktyczne pozbawienie jednostki prawa jazdy na czas nieokreślony, a tym samym ograniczenie swobody przemieszczania się na rynku wewnętrznym (art. 21 TFUE) oraz wolności prowadzenia działalności gospodarczej (art. 16 KPP)?</w:t>
      </w:r>
    </w:p>
    <w:p>
      <w:pPr>
        <w:spacing w:line="360" w:lineRule="auto" w:before="200" w:after="80"/>
      </w:pPr>
      <w:r>
        <w:rPr>
          <w:rFonts w:ascii="Times New Roman" w:hAnsi="Times New Roman"/>
          <w:b/>
          <w:i w:val="0"/>
          <w:sz w:val="24"/>
        </w:rPr>
        <w:t>Pytanie drugie — podpis elektroniczny (rozporządzenie eIDAS) a forma środka odwoławczego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Czy art. 25 ust. 1 rozporządzenia Parlamentu Europejskiego i Rady (UE) nr 910/2014 z dnia 23 lipca 2014 r. w sprawie identyfikacji elektronicznej i usług zaufania w odniesieniu do transakcji elektronicznych na rynku wewnętrznym (rozporządzenie eIDAS — Dz.U. UE L 257 z 28.8.2014, s. 73), zgodnie z którym:</w:t>
      </w:r>
    </w:p>
    <w:p>
      <w:pPr>
        <w:spacing w:line="360" w:lineRule="auto"/>
        <w:ind w:left="850"/>
      </w:pPr>
      <w:r>
        <w:rPr>
          <w:rFonts w:ascii="Times New Roman" w:hAnsi="Times New Roman"/>
          <w:b w:val="0"/>
          <w:i/>
          <w:sz w:val="24"/>
        </w:rPr>
        <w:t>„Podpisowi elektronicznemu nie można odmówić skutku prawnego ani dopuszczalności jako dowodu w postępowaniu sądowym wyłącznie z tego powodu, że podpis ten ma postać elektroniczną lub że nie spełnia wymogów dla kwalifikowanych podpisów elektronicznych”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— w związku z art. 47 Karty Praw Podstawowych UE (prawo do skutecznego środka prawnego) oraz zasadą skuteczności prawa UE (effet utile) —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należy interpretować w ten sposób, że stoi on na przeszkodzie krajowej praktyce administracyjnej, w ramach której:</w:t>
      </w:r>
    </w:p>
    <w:p>
      <w:pPr>
        <w:spacing w:line="360" w:lineRule="auto"/>
        <w:ind w:left="850" w:hanging="283"/>
      </w:pPr>
      <w:r>
        <w:rPr>
          <w:rFonts w:ascii="Times New Roman" w:hAnsi="Times New Roman"/>
          <w:b w:val="0"/>
          <w:i w:val="0"/>
          <w:sz w:val="24"/>
        </w:rPr>
        <w:t>(a) organ odwoławczy odmawia rozpatrzenia środka zaskarżenia (odwołania) opatrzonego kwalifikowanym podpisem elektronicznym lub podpisem zaufanym wyłącznie z tego powodu, że zostało ono przesłane pocztą elektroniczną (email), a nie za pośrednictwem wyznaczonej elektronicznej skrzynki podawczej organu,</w:t>
      </w:r>
    </w:p>
    <w:p>
      <w:pPr>
        <w:spacing w:line="360" w:lineRule="auto"/>
        <w:ind w:left="850" w:hanging="283"/>
      </w:pPr>
      <w:r>
        <w:rPr>
          <w:rFonts w:ascii="Times New Roman" w:hAnsi="Times New Roman"/>
          <w:b w:val="0"/>
          <w:i w:val="0"/>
          <w:sz w:val="24"/>
        </w:rPr>
        <w:t>(b) organ nie wzywa strony do usunięcia braków formalnych podania w trybie przewidzianym prawem krajowym (art. 64 § 2 k.p.a.) przed odmową jego rozpoznania,</w:t>
      </w:r>
    </w:p>
    <w:p>
      <w:pPr>
        <w:spacing w:line="360" w:lineRule="auto"/>
        <w:ind w:left="850" w:hanging="283"/>
      </w:pPr>
      <w:r>
        <w:rPr>
          <w:rFonts w:ascii="Times New Roman" w:hAnsi="Times New Roman"/>
          <w:b w:val="0"/>
          <w:i w:val="0"/>
          <w:sz w:val="24"/>
        </w:rPr>
        <w:t>(c) skutkiem takiej odmowy jest faktyczne pozbawienie strony prawa do zaskarżenia decyzji ograniczającej prawa wynikające z prawa Unii (prawo jazdy jako dokument objęty harmonizacją na podstawie dyrektywy 2006/126/WE, swoboda przemieszczania się)?</w:t>
      </w:r>
    </w:p>
    <w:p>
      <w:pPr>
        <w:spacing w:line="360" w:lineRule="auto" w:before="200" w:after="80"/>
      </w:pPr>
      <w:r>
        <w:rPr>
          <w:rFonts w:ascii="Times New Roman" w:hAnsi="Times New Roman"/>
          <w:b/>
          <w:i w:val="0"/>
          <w:sz w:val="24"/>
        </w:rPr>
        <w:t>Pytanie trzecie — niezależność organu decyzyjnego od prokuratury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Czy art. 47 akapit drugi Karty Praw Podstawowych Unii Europejskiej w związku z art. 19 ust. 1 akapit drugi TUE — w zakresie, w jakim przepisy te gwarantują prawo do rozpatrzenia sprawy przez niezawisły i bezstronny organ — należy interpretować w ten sposób, że wymóg niezależności organu decyzyjnego jest naruszony w sytuacji, gdy:</w:t>
      </w:r>
    </w:p>
    <w:p>
      <w:pPr>
        <w:spacing w:line="360" w:lineRule="auto"/>
        <w:ind w:left="850" w:hanging="283"/>
      </w:pPr>
      <w:r>
        <w:rPr>
          <w:rFonts w:ascii="Times New Roman" w:hAnsi="Times New Roman"/>
          <w:b w:val="0"/>
          <w:i w:val="0"/>
          <w:sz w:val="24"/>
        </w:rPr>
        <w:t>(a) organ administracji publicznej wydaje decyzję ograniczającą prawa jednostki wyłącznie na podstawie jednostronnego wniosku prokuratury, odmawiając przeprowadzenia kontradyktoryjnego postępowania dowodowego i powołując się na „związanie" tym wnioskiem,</w:t>
      </w:r>
    </w:p>
    <w:p>
      <w:pPr>
        <w:spacing w:line="360" w:lineRule="auto"/>
        <w:ind w:left="850" w:hanging="283"/>
      </w:pPr>
      <w:r>
        <w:rPr>
          <w:rFonts w:ascii="Times New Roman" w:hAnsi="Times New Roman"/>
          <w:b w:val="0"/>
          <w:i w:val="0"/>
          <w:sz w:val="24"/>
        </w:rPr>
        <w:t>(b) ten sam prokurator, którego wniosek stanowi jedyną podstawę decyzji administracyjnej, prowadzi jednocześnie postępowanie karne wobec adresata decyzji, co tworzy obiektywne ryzyko instrumentalnego wykorzystania procedury administracyjnej dla celów postępowania karnego,</w:t>
      </w:r>
    </w:p>
    <w:p>
      <w:pPr>
        <w:spacing w:line="360" w:lineRule="auto"/>
        <w:ind w:left="850" w:hanging="283"/>
      </w:pPr>
      <w:r>
        <w:rPr>
          <w:rFonts w:ascii="Times New Roman" w:hAnsi="Times New Roman"/>
          <w:b w:val="0"/>
          <w:i w:val="0"/>
          <w:sz w:val="24"/>
        </w:rPr>
        <w:t>(c) ustawodawstwo krajowe nie przewiduje żadnego mechanizmu kontroli zasadności wniosku prokuratury przez organ administracyjny ani przez stronę postępowania przed wydaniem decyzji,</w:t>
      </w:r>
    </w:p>
    <w:p>
      <w:pPr>
        <w:spacing w:line="360" w:lineRule="auto"/>
        <w:ind w:left="850" w:hanging="283"/>
      </w:pPr>
      <w:r>
        <w:rPr>
          <w:rFonts w:ascii="Times New Roman" w:hAnsi="Times New Roman"/>
          <w:b w:val="0"/>
          <w:i w:val="0"/>
          <w:sz w:val="24"/>
        </w:rPr>
        <w:t>(d) adresat decyzji jest jednocześnie pozbawiony skutecznego środka odwoławczego z uwagi na odrzucenie odwołania z przyczyn formalnych?</w:t>
      </w:r>
    </w:p>
    <w:p>
      <w:pPr>
        <w:spacing w:line="360" w:lineRule="auto" w:before="200" w:after="80"/>
      </w:pPr>
      <w:r>
        <w:rPr>
          <w:rFonts w:ascii="Times New Roman" w:hAnsi="Times New Roman"/>
          <w:b/>
          <w:i w:val="0"/>
          <w:sz w:val="24"/>
        </w:rPr>
        <w:t>Pytanie czwarte — prawo do dobrej administracji a system automatyzmu proceduralnego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Czy art. 41 ust. 1 i 2 Karty Praw Podstawowych UE (prawo do dobrej administracji), w związku z zasadą proporcjonalności wyrażoną w art. 5 ust. 4 TUE oraz w art. 52 ust. 1 KPP, a także w kontekście motywu 51 preambuły dyrektywy Parlamentu Europejskiego i Rady (UE) 2018/851 z dnia 30 maja 2018 r. (stanowiącego wyraz ogólnej zasady prawa UE nakazującej tworzenie systemów wczesnego ostrzegania i etapowej kontroli przed nałożeniem sankcji), stoi na przeszkodzie krajowemu systemowi prawnemu, w ramach którego:</w:t>
      </w:r>
    </w:p>
    <w:p>
      <w:pPr>
        <w:spacing w:line="360" w:lineRule="auto"/>
        <w:ind w:left="850" w:hanging="283"/>
      </w:pPr>
      <w:r>
        <w:rPr>
          <w:rFonts w:ascii="Times New Roman" w:hAnsi="Times New Roman"/>
          <w:b w:val="0"/>
          <w:i w:val="0"/>
          <w:sz w:val="24"/>
        </w:rPr>
        <w:t>(a) organ administracji wydaje decyzję ograniczającą prawa jednostki (skierowanie na badania lekarskie mogące prowadzić do cofnięcia prawa jazdy) bez uprzedniego poinformowania strony o wszczęciu postępowania, bez umożliwienia jej przedstawienia dowodów lub stanowiska, bez weryfikacji aktualności i rzetelności dowodów przedstawionych przez wnioskodawcę (prokuraturę) oraz bez rozważenia zastosowania łagodniejszego środka,</w:t>
      </w:r>
    </w:p>
    <w:p>
      <w:pPr>
        <w:spacing w:line="360" w:lineRule="auto"/>
        <w:ind w:left="850" w:hanging="283"/>
      </w:pPr>
      <w:r>
        <w:rPr>
          <w:rFonts w:ascii="Times New Roman" w:hAnsi="Times New Roman"/>
          <w:b w:val="0"/>
          <w:i w:val="0"/>
          <w:sz w:val="24"/>
        </w:rPr>
        <w:t>(b) adresat decyzji jest następnie pozbawiony skutecznego środka odwoławczego z uwagi na odrzucenie odwołania z przyczyn formalnych bez uprzedniego wezwania do usunięcia braków,</w:t>
      </w:r>
    </w:p>
    <w:p>
      <w:pPr>
        <w:spacing w:line="360" w:lineRule="auto"/>
        <w:ind w:left="850" w:hanging="283"/>
      </w:pPr>
      <w:r>
        <w:rPr>
          <w:rFonts w:ascii="Times New Roman" w:hAnsi="Times New Roman"/>
          <w:b w:val="0"/>
          <w:i w:val="0"/>
          <w:sz w:val="24"/>
        </w:rPr>
        <w:t>(c) system prawny nie przewiduje obowiązkowego systemu wczesnego ostrzegania ani etapowej procedury weryfikacji, w wyniku czego ingerencja w prawa jednostki następuje natychmiast, bezwarunkowo i bez zachowania zasady proporcjonalności?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II. UZASADNIENIE</w:t>
      </w:r>
    </w:p>
    <w:p>
      <w:pPr>
        <w:spacing w:line="360" w:lineRule="auto" w:before="200" w:after="80"/>
      </w:pPr>
      <w:r>
        <w:rPr>
          <w:rFonts w:ascii="Times New Roman" w:hAnsi="Times New Roman"/>
          <w:b/>
          <w:i w:val="0"/>
          <w:sz w:val="24"/>
        </w:rPr>
        <w:t>1. Dopuszczalność pytania prejudycjalnego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Wojewódzki Sąd Administracyjny w Gliwicach jest sądem krajowym w rozumieniu art. 267 akapit 2 TFUE, którego orzeczenia podlegają zaskarżeniu do Naczelnego Sądu Administracyjnego. Sąd jest uprawniony do wystąpienia z pytaniem prejudycjalnym w każdej sprawie, w której powstaje wątpliwość co do interpretacji prawa UE, a decyzja w tej kwestii jest niezbędna do wydania wyroku.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Precedens stanowi postanowienie tut. Sądu z dnia 14 listopada 2025 r. w sprawie II SA/Gl 931/25, którym WSA w Gliwicach skierował pytanie prejudycjalne do TSUE (zarejestrowane pod sygnaturą C-729/25), dotyczące analogicznego problemu — automatyzmu proceduralnego i braku proporcjonalności w krajowym systemie administracyjnym.</w:t>
      </w:r>
    </w:p>
    <w:p>
      <w:pPr>
        <w:spacing w:line="360" w:lineRule="auto" w:before="200" w:after="80"/>
      </w:pPr>
      <w:r>
        <w:rPr>
          <w:rFonts w:ascii="Times New Roman" w:hAnsi="Times New Roman"/>
          <w:b/>
          <w:i w:val="0"/>
          <w:sz w:val="24"/>
        </w:rPr>
        <w:t>2. Niniejsza sprawa jest sprawą unijną</w:t>
      </w:r>
    </w:p>
    <w:p>
      <w:pPr>
        <w:spacing w:line="360" w:lineRule="auto" w:before="160" w:after="80"/>
      </w:pPr>
      <w:r>
        <w:rPr>
          <w:rFonts w:ascii="Times New Roman" w:hAnsi="Times New Roman"/>
          <w:b/>
          <w:i w:val="0"/>
          <w:sz w:val="24"/>
        </w:rPr>
        <w:t>A) Dyrektywa 2006/126/WE — prawo jazdy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Prawo jazdy jest objęte harmonizacją unijną na mocy dyrektywy 2006/126/WE. Art. 2 ust. 1 tej dyrektywy stanowi, że prawa jazdy wydawane przez państwa członkowskie są wzajemnie uznawane. Art. 11 ust. 2 przewiduje stosowanie przepisów krajowych dotyczących cofnięcia, zawieszenia lub unieważnienia uprawnień. Każda decyzja krajowa wpływająca na ważność lub skuteczność prawa jazdy — w tym decyzja o skierowaniu na badania lekarskie mogąca prowadzić do cofnięcia uprawnień — jest zatem decyzją wydawaną w zakresie zastosowania prawa Unii, co aktywuje Kartę Praw Podstawowych (art. 51 ust. 1 KPP).</w:t>
      </w:r>
    </w:p>
    <w:p>
      <w:pPr>
        <w:spacing w:line="360" w:lineRule="auto" w:before="160" w:after="80"/>
      </w:pPr>
      <w:r>
        <w:rPr>
          <w:rFonts w:ascii="Times New Roman" w:hAnsi="Times New Roman"/>
          <w:b/>
          <w:i w:val="0"/>
          <w:sz w:val="24"/>
        </w:rPr>
        <w:t>B) Rozporządzenie eIDAS — bezpośrednie stosowanie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Rozporządzenie eIDAS (nr 910/2014) obowiązuje bezpośrednio we wszystkich państwach członkowskich i ma pierwszeństwo przed prawem krajowym. Art. 25 ust. 1 ustanawia absolutny zakaz odmowy skutku prawnego podpisowi elektronicznemu wyłącznie z powodu jego formy elektronicznej. Odmowa rozpatrzenia odwołania opatrzonego podpisem zaufanym (który jest podpisem elektronicznym w rozumieniu art. 3 pkt 10 rozporządzenia eIDAS) wyłącznie z uwagi na kanał doręczenia (email zamiast ePUAP) budzi poważne wątpliwości co do zgodności z tym zakazem.</w:t>
      </w:r>
    </w:p>
    <w:p>
      <w:pPr>
        <w:spacing w:line="360" w:lineRule="auto" w:before="160" w:after="80"/>
      </w:pPr>
      <w:r>
        <w:rPr>
          <w:rFonts w:ascii="Times New Roman" w:hAnsi="Times New Roman"/>
          <w:b/>
          <w:i w:val="0"/>
          <w:sz w:val="24"/>
        </w:rPr>
        <w:t>C) Swoboda przemieszczania się (art. 21 TFUE)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Prawo jazdy jest warunkiem koniecznym efektywnego korzystania ze swobody przemieszczania się na rynku wewnętrznym. Jego odebranie lub ograniczenie stanowi ingerencję w to prawo podstawowe. Każda taka ingerencja musi spełniać wymóg proporcjonalności (art. 52 ust. 1 KPP).</w:t>
      </w:r>
    </w:p>
    <w:p>
      <w:pPr>
        <w:spacing w:line="360" w:lineRule="auto" w:before="200" w:after="80"/>
      </w:pPr>
      <w:r>
        <w:rPr>
          <w:rFonts w:ascii="Times New Roman" w:hAnsi="Times New Roman"/>
          <w:b/>
          <w:i w:val="0"/>
          <w:sz w:val="24"/>
        </w:rPr>
        <w:t>3. Stan faktyczny sprawy w kontekście prawa UE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Prezydent Miasta Ruda Śląska wydał decyzję o skierowaniu skarżącego na badania lekarskie w celu ustalenia istnienia bądź braku przeciwwskazań zdrowotnych do kierowania pojazdami na podstawie art. 99 ust. 1 pkt 2 lit. b ustawy o kierujących pojazdami — wyłącznie na podstawie wniosku Prokuratury Rejonowej, bez przeprowadzenia jakiegokolwiek postępowania dowodowego.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Organ nie uzyskał opinii psychiatrycznej, na którą powoływała się prokuratura, nie zapoznał się z nią, nie włączył jej do akt, nie wezwał strony do złożenia wyjaśnień, nie umożliwił stronie zapoznania się z materiałem dowodowym. Stwierdził, że jest „związany" wnioskiem prokuratury i nie ma obowiązku weryfikacji przesłanek materialnych decyzji.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Skarżący wniósł odwołanie opatrzone kwalifikowanym podpisem elektronicznym, przesyłając je drogą elektroniczną. Samorządowe Kolegium Odwoławcze w Katowicach odmówiło rozpatrzenia odwołania z uwagi na formę (email zamiast ePUAP/papier), nie wzywając uprzednio do usunięcia braków formalnych w trybie art. 64 § 2 k.p.a.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W efekcie skarżący został: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– pozbawiony prawa jazdy bez merytorycznego ustalenia przesłanek,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– pozbawiony prawa do bycia wysłuchanym,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– pozbawiony skutecznego środka odwoławczego.</w:t>
      </w:r>
    </w:p>
    <w:p>
      <w:pPr>
        <w:spacing w:line="360" w:lineRule="auto" w:before="200" w:after="80"/>
      </w:pPr>
      <w:r>
        <w:rPr>
          <w:rFonts w:ascii="Times New Roman" w:hAnsi="Times New Roman"/>
          <w:b/>
          <w:i w:val="0"/>
          <w:sz w:val="24"/>
        </w:rPr>
        <w:t>4. Analogia systemowa z pytaniem prejudycjalnym C-729/25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W postanowieniu z dnia 14 listopada 2025 r. (uzupełnionym postanowieniem z 22 czerwca 2026 r.) tut. Sąd w sprawie II SA/Gl 931/25 skierował do TSUE pytanie prejudycjalne kwestionujące krajowy system, który: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 xml:space="preserve">– opiera się na </w:t>
      </w:r>
      <w:r>
        <w:rPr>
          <w:rFonts w:ascii="Times New Roman" w:hAnsi="Times New Roman"/>
          <w:b/>
          <w:i w:val="0"/>
          <w:sz w:val="24"/>
        </w:rPr>
        <w:t>automatyzmie proceduralnym</w:t>
      </w:r>
      <w:r>
        <w:rPr>
          <w:rFonts w:ascii="Times New Roman" w:hAnsi="Times New Roman"/>
          <w:b w:val="0"/>
          <w:i w:val="0"/>
          <w:sz w:val="24"/>
        </w:rPr>
        <w:t xml:space="preserve"> (decyzja bez postępowania dowodowego),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 xml:space="preserve">– </w:t>
      </w:r>
      <w:r>
        <w:rPr>
          <w:rFonts w:ascii="Times New Roman" w:hAnsi="Times New Roman"/>
          <w:b/>
          <w:i w:val="0"/>
          <w:sz w:val="24"/>
        </w:rPr>
        <w:t>przerzuca na podmiot prywatny</w:t>
      </w:r>
      <w:r>
        <w:rPr>
          <w:rFonts w:ascii="Times New Roman" w:hAnsi="Times New Roman"/>
          <w:b w:val="0"/>
          <w:i w:val="0"/>
          <w:sz w:val="24"/>
        </w:rPr>
        <w:t xml:space="preserve"> obowiązki władzy publicznej (obowiązek denuncjacji kontrahentów),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 xml:space="preserve">– </w:t>
      </w:r>
      <w:r>
        <w:rPr>
          <w:rFonts w:ascii="Times New Roman" w:hAnsi="Times New Roman"/>
          <w:b/>
          <w:i w:val="0"/>
          <w:sz w:val="24"/>
        </w:rPr>
        <w:t>nie przewiduje systemu wczesnego ostrzegania</w:t>
      </w:r>
      <w:r>
        <w:rPr>
          <w:rFonts w:ascii="Times New Roman" w:hAnsi="Times New Roman"/>
          <w:b w:val="0"/>
          <w:i w:val="0"/>
          <w:sz w:val="24"/>
        </w:rPr>
        <w:t xml:space="preserve"> (motyw 51 dyrektywy 2018/851),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 xml:space="preserve">– nakłada </w:t>
      </w:r>
      <w:r>
        <w:rPr>
          <w:rFonts w:ascii="Times New Roman" w:hAnsi="Times New Roman"/>
          <w:b/>
          <w:i w:val="0"/>
          <w:sz w:val="24"/>
        </w:rPr>
        <w:t>sankcje za niewykonanie przerzuconych obowiązków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W niniejszej sprawie ten sam wzorzec występuje w kontekście praw podstawowych jednostki: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– automatyzm (decyzja na sam wniosek, bez dowodów),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– przerzucenie ciężaru dowodzenia na stronę (to strona musi wykazać, że prokurator nie miał racji — zamiast organ ma wykazać istnienie przesłanek),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– brak etapowości i proporcjonalności (natychmiastowa ingerencja w prawo jazdy),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– kara za formę (odmowa rozpatrzenia odwołania bez wezwania do uzupełnienia braków).</w:t>
      </w:r>
    </w:p>
    <w:p>
      <w:pPr>
        <w:spacing w:line="360" w:lineRule="auto" w:before="200" w:after="80"/>
      </w:pPr>
      <w:r>
        <w:rPr>
          <w:rFonts w:ascii="Times New Roman" w:hAnsi="Times New Roman"/>
          <w:b/>
          <w:i w:val="0"/>
          <w:sz w:val="24"/>
        </w:rPr>
        <w:t>5. Orzecznictwo krajowe potwierdzające wątpliwości interpretacyjne</w:t>
      </w:r>
    </w:p>
    <w:p>
      <w:pPr>
        <w:spacing w:line="360" w:lineRule="auto" w:before="160" w:after="80"/>
      </w:pPr>
      <w:r>
        <w:rPr>
          <w:rFonts w:ascii="Times New Roman" w:hAnsi="Times New Roman"/>
          <w:b/>
          <w:i w:val="0"/>
          <w:sz w:val="24"/>
        </w:rPr>
        <w:t>Wyrok TK z 13 grudnia 2022 r., K 4/21: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Trybunał Konstytucyjny stwierdził niekonstytucyjność automatyzmu proceduralnego w sprawach dotyczących prawa jazdy:</w:t>
      </w:r>
    </w:p>
    <w:p>
      <w:pPr>
        <w:spacing w:line="360" w:lineRule="auto"/>
        <w:ind w:left="850"/>
      </w:pPr>
      <w:r>
        <w:rPr>
          <w:rFonts w:ascii="Times New Roman" w:hAnsi="Times New Roman"/>
          <w:b w:val="0"/>
          <w:i/>
          <w:sz w:val="24"/>
        </w:rPr>
        <w:t>„W państwie prawnym — w którym zasada praworządności dotyczy wszystkich postępowań przed organami władzy publicznej mającej orzekać o sytuacji prawnej jednostek — jednostka może ponosić odpowiedzialność prawną tylko wówczas, gdy zostanie ustalone przez organ stosowania prawa w sposób niebudzący obiektywnych wątpliwości, że do naruszenia przepisów rzeczywiście doszło.”</w:t>
      </w:r>
    </w:p>
    <w:p>
      <w:pPr>
        <w:spacing w:line="360" w:lineRule="auto" w:before="160" w:after="80"/>
      </w:pPr>
      <w:r>
        <w:rPr>
          <w:rFonts w:ascii="Times New Roman" w:hAnsi="Times New Roman"/>
          <w:b/>
          <w:i w:val="0"/>
          <w:sz w:val="24"/>
        </w:rPr>
        <w:t>Wyrok WSA w Opolu z 3 października 2024 r., I SA/Op 501/24: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Sąd uchylił decyzje obu instancji o zatrzymaniu prawa jazdy, stwierdzając:</w:t>
      </w:r>
    </w:p>
    <w:p>
      <w:pPr>
        <w:spacing w:line="360" w:lineRule="auto"/>
        <w:ind w:left="850"/>
      </w:pPr>
      <w:r>
        <w:rPr>
          <w:rFonts w:ascii="Times New Roman" w:hAnsi="Times New Roman"/>
          <w:b w:val="0"/>
          <w:i/>
          <w:sz w:val="24"/>
        </w:rPr>
        <w:t>„Organy orzekające w sprawie nie sprostały obowiązkom wynikającym z art. 7, 77 § 1, 80 i 8 k.p.a. Nie ustaliły w sposób niebudzący wątpliwości, że doszło do przekroczenia prędkości. Oparły się wyłącznie na informacji Policji, pomijając dowody wskazywane przez skarżącego.”</w:t>
      </w:r>
    </w:p>
    <w:p>
      <w:pPr>
        <w:spacing w:line="360" w:lineRule="auto"/>
        <w:ind w:left="850"/>
      </w:pPr>
      <w:r>
        <w:rPr>
          <w:rFonts w:ascii="Times New Roman" w:hAnsi="Times New Roman"/>
          <w:b w:val="0"/>
          <w:i/>
          <w:sz w:val="24"/>
        </w:rPr>
        <w:t>„Realizacja zasady czynnego udziału strony w postępowaniu w zakresie jej inicjatywy dowodowej była iluzoryczna.”</w:t>
      </w:r>
    </w:p>
    <w:p>
      <w:pPr>
        <w:spacing w:line="360" w:lineRule="auto"/>
        <w:ind w:left="850"/>
      </w:pPr>
      <w:r>
        <w:rPr>
          <w:rFonts w:ascii="Times New Roman" w:hAnsi="Times New Roman"/>
          <w:b w:val="0"/>
          <w:i/>
          <w:sz w:val="24"/>
        </w:rPr>
        <w:t>„Postępowanie administracyjne musi zostać przeprowadzone od początku.”</w:t>
      </w:r>
    </w:p>
    <w:p>
      <w:pPr>
        <w:spacing w:line="360" w:lineRule="auto" w:before="160" w:after="80"/>
      </w:pPr>
      <w:r>
        <w:rPr>
          <w:rFonts w:ascii="Times New Roman" w:hAnsi="Times New Roman"/>
          <w:b/>
          <w:i w:val="0"/>
          <w:sz w:val="24"/>
        </w:rPr>
        <w:t>Wyrok WSA w Gdańsku z 18 grudnia 2025 r., III SA/Gd 509/25: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Sąd uchylił decyzje o skierowaniu na badania lekarskie na wniosek prokuratury:</w:t>
      </w:r>
    </w:p>
    <w:p>
      <w:pPr>
        <w:spacing w:line="360" w:lineRule="auto"/>
        <w:ind w:left="850"/>
      </w:pPr>
      <w:r>
        <w:rPr>
          <w:rFonts w:ascii="Times New Roman" w:hAnsi="Times New Roman"/>
          <w:b w:val="0"/>
          <w:i/>
          <w:sz w:val="24"/>
        </w:rPr>
        <w:t>„Zastrzeżenia co do stanu zdrowia kierowcy winien stwierdzić organ wydający decyzję. Ustalenia w tym zakresie nie mogą opierać się wyłącznie na wniosku właściwego podmiotu.”</w:t>
      </w:r>
    </w:p>
    <w:p>
      <w:pPr>
        <w:spacing w:line="360" w:lineRule="auto" w:before="200" w:after="80"/>
      </w:pPr>
      <w:r>
        <w:rPr>
          <w:rFonts w:ascii="Times New Roman" w:hAnsi="Times New Roman"/>
          <w:b/>
          <w:i w:val="0"/>
          <w:sz w:val="24"/>
        </w:rPr>
        <w:t>6. Wątpliwość nie jest oczywista (brak acte clair)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Kwestia zgodności krajowego automatyzmu proceduralnego z prawem UE nie została dotychczas rozstrzygnięta przez TSUE. Nie zachodzi przypadek acte clair ani acte éclairé w rozumieniu wyroku TSUE w sprawie C-283/81 CILFIT, o czym świadczy: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– brak orzecznictwa TSUE bezpośrednio dotyczącego automatyzmu decyzji administracyjnych w sprawach prawa jazdy,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– rozbieżne orzecznictwo krajowe co do zakresu obowiązków dowodowych organu,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– toczące się postępowanie C-729/25 (pytanie tut. Sądu w analogicznej sprawie),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– systemowy charakter problemu (dotyczy potencjalnie wszystkich kierowców w Polsce, których sprawy wszczynane są na wniosek prokuratury).</w:t>
      </w:r>
    </w:p>
    <w:p>
      <w:pPr>
        <w:spacing w:line="360" w:lineRule="auto" w:before="200" w:after="80"/>
      </w:pPr>
      <w:r>
        <w:rPr>
          <w:rFonts w:ascii="Times New Roman" w:hAnsi="Times New Roman"/>
          <w:b/>
          <w:i w:val="0"/>
          <w:sz w:val="24"/>
        </w:rPr>
        <w:t>7. Argument a maiori ad minus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 xml:space="preserve">Skoro WSA w Gliwicach uznał za konieczne skierowanie pytania prejudycjalnego w sprawie </w:t>
      </w:r>
      <w:r>
        <w:rPr>
          <w:rFonts w:ascii="Times New Roman" w:hAnsi="Times New Roman"/>
          <w:b/>
          <w:i w:val="0"/>
          <w:sz w:val="24"/>
        </w:rPr>
        <w:t>kary pieniężnej za nieosiągnięcie poziomu recyklingu</w:t>
      </w:r>
      <w:r>
        <w:rPr>
          <w:rFonts w:ascii="Times New Roman" w:hAnsi="Times New Roman"/>
          <w:b w:val="0"/>
          <w:i w:val="0"/>
          <w:sz w:val="24"/>
        </w:rPr>
        <w:t xml:space="preserve"> (C-729/25) — a więc w sprawie o niższym ciężarze gatunkowym — to tym bardziej pytanie jest uzasadnione w sprawie dotyczącej </w:t>
      </w:r>
      <w:r>
        <w:rPr>
          <w:rFonts w:ascii="Times New Roman" w:hAnsi="Times New Roman"/>
          <w:b/>
          <w:i w:val="0"/>
          <w:sz w:val="24"/>
        </w:rPr>
        <w:t>praw podstawowych jednostki</w:t>
      </w:r>
      <w:r>
        <w:rPr>
          <w:rFonts w:ascii="Times New Roman" w:hAnsi="Times New Roman"/>
          <w:b w:val="0"/>
          <w:i w:val="0"/>
          <w:sz w:val="24"/>
        </w:rPr>
        <w:t>: prawa jazdy (swoboda przemieszczania się), prawa do bycia wysłuchanym i prawa do skutecznego środka prawnego.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Analogicznie: skoro motyw 51 dyrektywy 2018/851 wymaga systemu wczesnego ostrzegania nawet w sprawach odpadowych, to a fortiori taki system (lub co najmniej etapowość i proporcjonalność) jest wymagany w sprawach dotyczących bezpośrednio praw podstawowych obywateli UE.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III. WNIOSEK KOŃCOWY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4"/>
        </w:rPr>
        <w:t>Na podstawie powyższego wnoszę o: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1. Skierowanie do Trybunału Sprawiedliwości Unii Europejskiej pytań prejudycjalnych sformułowanych w pkt I niniejszego pisma.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2. Zawieszenie postępowania sądowoadministracyjnego do czasu udzielenia odpowiedzi przez Trybunał (art. 124 § 1 pkt 5 p.p.s.a.).</w:t>
      </w:r>
    </w:p>
    <w:p>
      <w:pPr>
        <w:spacing w:line="360" w:lineRule="auto"/>
        <w:ind w:left="567" w:hanging="283"/>
      </w:pPr>
      <w:r>
        <w:rPr>
          <w:rFonts w:ascii="Times New Roman" w:hAnsi="Times New Roman"/>
          <w:b w:val="0"/>
          <w:i w:val="0"/>
          <w:sz w:val="24"/>
        </w:rPr>
        <w:t>3. Ewentualnie — w przypadku gdyby Sąd uznał, że nie jest konieczne skierowanie pytania prejudycjalnego — wnoszę o zastosowanie zasady pierwszeństwa prawa UE i bezpośredni skutek art. 25 ust. 1 rozporządzenia eIDAS oraz art. 47 KPP przy ocenie prawidłowości odmowy rozpatrzenia odwołania skarżącego.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IV. PODSTAWY PRAWNE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Przepis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Treść / znaczenie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Art. 267 TFUE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Pytanie prejudycjalne do TSUE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Art. 19 ust. 1 akapit 2 TUE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Skuteczna ochrona sądowa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Art. 21 ust. 1 TFUE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Swoboda przemieszczania się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Art. 16 KPP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Wolność prowadzenia działalności gospodarczej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Art. 41 ust. 1 i 2 KPP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Prawo do dobrej administracji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Art. 47 KPP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Prawo do skutecznego środka prawnego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Art. 51 ust. 1 KPP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Zakres zastosowania Karty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Art. 52 ust. 1 KPP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Zasada proporcjonalności ograniczeń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Art. 25 ust. 1 eIDAS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Zakaz dyskryminacji podpisu elektronicznego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Art. 2, 7, 11 dyrektywy 2006/126/WE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Harmonizacja praw jazdy w 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Motyw 51 dyrektywy 2018/851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System wczesnego ostrzegania</w:t>
            </w:r>
          </w:p>
        </w:tc>
      </w:tr>
    </w:tbl>
    <w:p/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V. ORZECZNICTWO PRZYWOŁANE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Sygnatura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Organ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i w:val="0"/>
                <w:sz w:val="22"/>
              </w:rPr>
              <w:t>Znaczenie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C-729/25 (II SA/Gl 931/25)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WSA Gliwice → TSUE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Pytanie prejudycjalne o automatyzm i proporcjonalność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 4/21 z 13.12.2022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TK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Niekonstytucyjność automatyzmu w sprawach prawa jazdy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 SA/Op 501/24 z 3.10.2024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WSA Opole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Niedopuszczalność oparcia decyzji wyłącznie na informacji Policji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III SA/Gd 509/25 z 18.12.2025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WSA Gdańsk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Obowiązek własnego postępowania dowodowego przy skierowaniu na badania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II SA/Ol 86/25 z 10.04.2025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WSA Olsztyn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Obowiązek rozważenia dowodów przeciwnych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III SA/Gl 788/24 z 7.01.2025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WSA Gliwice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SKO nie jest sądem w rozumieniu art. 267 TFUE — pytanie może zadać WSA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C-283/81 CILFIT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TSUE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Standard acte clair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C-6/64 Costa v. ENEL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TSUE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Zasada pierwszeństwa prawa UE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C-487/19, C-791/19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TSUE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Niezależność sądu — test strukturalny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C-561/19 Consorzio Italian Management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TSUE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Zakres obowiązku pytania prejudycjalnego</w:t>
            </w:r>
          </w:p>
        </w:tc>
      </w:tr>
    </w:tbl>
    <w:p/>
    <w:p/>
    <w:p>
      <w:pPr>
        <w:spacing w:line="360" w:lineRule="auto"/>
        <w:jc w:val="right"/>
      </w:pPr>
      <w:r>
        <w:rPr>
          <w:rFonts w:ascii="Times New Roman" w:hAnsi="Times New Roman"/>
          <w:b/>
          <w:i w:val="0"/>
          <w:sz w:val="24"/>
        </w:rPr>
        <w:t>Podpis wnioskodawcy:</w:t>
      </w:r>
    </w:p>
    <w:p>
      <w:pPr>
        <w:spacing w:line="360" w:lineRule="auto"/>
        <w:jc w:val="right"/>
      </w:pPr>
      <w:r>
        <w:rPr>
          <w:rFonts w:ascii="Times New Roman" w:hAnsi="Times New Roman"/>
          <w:b w:val="0"/>
          <w:i w:val="0"/>
          <w:sz w:val="24"/>
        </w:rPr>
        <w:t>.......................................</w:t>
      </w:r>
    </w:p>
    <w:p>
      <w:pPr>
        <w:spacing w:line="360" w:lineRule="auto"/>
        <w:jc w:val="right"/>
      </w:pPr>
      <w:r>
        <w:rPr>
          <w:rFonts w:ascii="Times New Roman" w:hAnsi="Times New Roman"/>
          <w:b w:val="0"/>
          <w:i w:val="0"/>
          <w:sz w:val="24"/>
        </w:rPr>
        <w:t>Tomasz Świestowski</w:t>
      </w:r>
    </w:p>
    <w:p>
      <w:pPr>
        <w:spacing w:line="360" w:lineRule="auto"/>
        <w:jc w:val="right"/>
      </w:pPr>
      <w:r>
        <w:rPr>
          <w:rFonts w:ascii="Times New Roman" w:hAnsi="Times New Roman"/>
          <w:b w:val="0"/>
          <w:i w:val="0"/>
          <w:sz w:val="24"/>
        </w:rPr>
        <w:t>ul. Czarnoleśna 43C/3</w:t>
      </w:r>
    </w:p>
    <w:p>
      <w:pPr>
        <w:spacing w:line="360" w:lineRule="auto"/>
        <w:jc w:val="right"/>
      </w:pPr>
      <w:r>
        <w:rPr>
          <w:rFonts w:ascii="Times New Roman" w:hAnsi="Times New Roman"/>
          <w:b w:val="0"/>
          <w:i w:val="0"/>
          <w:sz w:val="24"/>
        </w:rPr>
        <w:t>41-709 Ruda Śląska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