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WNIOSEK</w:t>
      </w:r>
    </w:p>
    <w:p>
      <w:pPr>
        <w:jc w:val="center"/>
      </w:pPr>
      <w:r>
        <w:rPr>
          <w:b/>
          <w:sz w:val="24"/>
        </w:rPr>
        <w:t>o wylaczenie sedziego, skierowanie pytania prejudycjalnego do Trybunalu Sprawiedliwosci Unii Europejskiej</w:t>
        <w:br/>
        <w:t>oraz przedstawienie zagadnienia prawnego Sadowi Najwyzszemu</w:t>
      </w:r>
    </w:p>
    <w:p/>
    <w:p>
      <w:r>
        <w:rPr>
          <w:b/>
          <w:i w:val="0"/>
        </w:rPr>
        <w:t>Sąd: Sąd Okręgowy w Gliwicach</w:t>
      </w:r>
    </w:p>
    <w:p>
      <w:r>
        <w:rPr>
          <w:b/>
          <w:i w:val="0"/>
        </w:rPr>
        <w:t>Wydział: VI Wydział Karny Odwoławczy</w:t>
      </w:r>
    </w:p>
    <w:p>
      <w:r>
        <w:rPr>
          <w:b/>
          <w:i w:val="0"/>
        </w:rPr>
        <w:t>Sygn. akt: VI Kz 289/26</w:t>
      </w:r>
    </w:p>
    <w:p>
      <w:r>
        <w:rPr>
          <w:b/>
          <w:i w:val="0"/>
        </w:rPr>
        <w:t>Wnioskodawca: Tomasz Świestowski</w:t>
      </w:r>
    </w:p>
    <w:p>
      <w:r>
        <w:rPr>
          <w:b w:val="0"/>
          <w:i w:val="0"/>
        </w:rPr>
        <w:t>ul. Czarnoleśna 43C/3, 41-709 Ruda Śląska</w:t>
      </w:r>
    </w:p>
    <w:p/>
    <w:p>
      <w:pPr>
        <w:pStyle w:val="Heading1"/>
      </w:pPr>
      <w:r>
        <w:rPr>
          <w:color w:val="000000"/>
        </w:rPr>
        <w:t>I. WNIOSEK O WYLACZENIE SEDZIEGO</w:t>
      </w:r>
    </w:p>
    <w:p>
      <w:r>
        <w:rPr>
          <w:b w:val="0"/>
          <w:i w:val="0"/>
        </w:rPr>
        <w:t>Na podstawie art. 41 par. 1 k.p.k. wnoszę o wyłączenie od udziału w niniejszej sprawie:</w:t>
      </w:r>
    </w:p>
    <w:p>
      <w:r>
        <w:rPr>
          <w:b/>
        </w:rPr>
        <w:t>SSR del. Piotr Pawlik</w:t>
      </w:r>
    </w:p>
    <w:p>
      <w:r>
        <w:rPr>
          <w:b w:val="0"/>
          <w:i w:val="0"/>
        </w:rPr>
        <w:t>od rozpoznawania sprawy o sygn. akt VI Kz 289/26.</w:t>
      </w:r>
    </w:p>
    <w:p/>
    <w:p>
      <w:pPr>
        <w:pStyle w:val="Heading2"/>
      </w:pPr>
      <w:r>
        <w:rPr>
          <w:color w:val="000000"/>
        </w:rPr>
        <w:t>Uzasadnienie</w:t>
      </w:r>
    </w:p>
    <w:p>
      <w:r>
        <w:rPr>
          <w:b/>
        </w:rPr>
        <w:t xml:space="preserve">1. </w:t>
      </w:r>
      <w:r>
        <w:rPr>
          <w:b w:val="0"/>
        </w:rPr>
        <w:t>W składzie orzekającym w niniejszej sprawie zasiada sędzia sądu rejonowego delegowany do orzekania w sądzie okręgowym przez Ministra Sprawiedliwości, pełniącego jednocześnie funkcję Prokuratora Generalnego.</w:t>
      </w:r>
    </w:p>
    <w:p>
      <w:r>
        <w:rPr>
          <w:b/>
        </w:rPr>
        <w:t xml:space="preserve">2. </w:t>
      </w:r>
      <w:r>
        <w:rPr>
          <w:b w:val="0"/>
        </w:rPr>
        <w:t>Instytucja delegacji, ukształtowana w art. 77 ustawy — Prawo o ustroju sądów powszechnych, budzi poważne wątpliwości co do spełnienia standardu niezależności i bezstronności sądu w rozumieniu:</w:t>
      </w:r>
    </w:p>
    <w:p>
      <w:pPr>
        <w:pStyle w:val="ListBullet"/>
      </w:pPr>
      <w:r>
        <w:t>art. 45 ust. 1 Konstytucji RP (prawo do rozpoznania sprawy przez niezależny, bezstronny i niezawisły sąd),</w:t>
      </w:r>
    </w:p>
    <w:p>
      <w:pPr>
        <w:pStyle w:val="ListBullet"/>
      </w:pPr>
      <w:r>
        <w:t>art. 6 ust. 1 Europejskiej Konwencji Praw Człowieka,</w:t>
      </w:r>
    </w:p>
    <w:p>
      <w:pPr>
        <w:pStyle w:val="ListBullet"/>
      </w:pPr>
      <w:r>
        <w:t>art. 19 ust. 1 Traktatu o Unii Europejskiej,</w:t>
      </w:r>
    </w:p>
    <w:p>
      <w:pPr>
        <w:pStyle w:val="ListBullet"/>
      </w:pPr>
      <w:r>
        <w:t>art. 47 Karty Praw Podstawowych UE.</w:t>
      </w:r>
    </w:p>
    <w:p>
      <w:r>
        <w:rPr>
          <w:b/>
        </w:rPr>
        <w:t xml:space="preserve">3. </w:t>
      </w:r>
      <w:r>
        <w:rPr>
          <w:b w:val="0"/>
        </w:rPr>
        <w:t>W szczególności wskazać należy, że:</w:t>
      </w:r>
    </w:p>
    <w:p>
      <w:pPr>
        <w:pStyle w:val="ListBullet"/>
      </w:pPr>
      <w:r>
        <w:t>delegacja następuje na podstawie jednostronnej decyzji organu władzy wykonawczej (Ministra Sprawiedliwości),</w:t>
      </w:r>
    </w:p>
    <w:p>
      <w:pPr>
        <w:pStyle w:val="ListBullet"/>
      </w:pPr>
      <w:r>
        <w:t>może zostać odwołana w każdym czasie, bez podania przyczyny,</w:t>
      </w:r>
    </w:p>
    <w:p>
      <w:pPr>
        <w:pStyle w:val="ListBullet"/>
      </w:pPr>
      <w:r>
        <w:t>brak jest skutecznego środka kontroli sądowej tej decyzji,</w:t>
      </w:r>
    </w:p>
    <w:p>
      <w:pPr>
        <w:pStyle w:val="ListBullet"/>
      </w:pPr>
      <w:r>
        <w:t>system ten tworzy obiektywną zależność organizacyjno-funkcjonalną sędziego od organu władzy wykonawczej, który jednocześnie pełni funkcję Prokuratora Generalnego — a więc strony postępowania karnego.</w:t>
      </w:r>
    </w:p>
    <w:p>
      <w:r>
        <w:rPr>
          <w:b/>
        </w:rPr>
        <w:t xml:space="preserve">4. </w:t>
      </w:r>
      <w:r>
        <w:rPr>
          <w:b w:val="0"/>
        </w:rPr>
        <w:t>Zagadnienie to jest przedmiotem aktualnie zawisłego przed Sądem Najwyższym pytania prawnego (sygn. I KZP 1/26), skierowanego przez Sąd Okręgowy w Rzeszowie, dotyczącego kwestii, czy udział sędziego delegowanego przez Ministra Sprawiedliwości stanowi nienależytą obsadę sądu w rozumieniu art. 439 par. 1 pkt 2 k.p.k.</w:t>
      </w:r>
    </w:p>
    <w:p>
      <w:r>
        <w:rPr>
          <w:b/>
        </w:rPr>
        <w:t xml:space="preserve">5. </w:t>
      </w:r>
      <w:r>
        <w:rPr>
          <w:b w:val="0"/>
        </w:rPr>
        <w:t>Niniejsza sprawa dotyczy kwestii o szczególnym ciężarze gatunkowym — rozstrzyga o pozbawieniu wolności wnioskodawcy w drodze obserwacji psychiatrycznej. Zgodnie z wyrokiem Europejskiego Trybunału Praw Człowieka z dnia 14.10.2021 r. w sprawie M.B. przeciwko Polsce (skarga nr 60157/15), pozbawienie wolności osoby z zaburzeniami psychicznymi wymaga spełnienia szczególnie rygorystycznych standardów legalności.</w:t>
      </w:r>
    </w:p>
    <w:p>
      <w:r>
        <w:rPr>
          <w:b/>
        </w:rPr>
        <w:t xml:space="preserve">6. </w:t>
      </w:r>
      <w:r>
        <w:rPr>
          <w:b w:val="0"/>
        </w:rPr>
        <w:t>W sytuacji, gdy o pozbawieniu wolności decyduje sędzia, którego niezależność strukturalna budzi obiektywne wątpliwości, zachodzi uzasadniona obawa, że standard art. 5 ust. 1 lit. e EKPC oraz art. 6 ust. 1 EKPC nie zostanie dochowany.</w:t>
      </w:r>
    </w:p>
    <w:p>
      <w:r>
        <w:br w:type="page"/>
      </w:r>
    </w:p>
    <w:p>
      <w:pPr>
        <w:pStyle w:val="Heading1"/>
      </w:pPr>
      <w:r>
        <w:rPr>
          <w:color w:val="000000"/>
        </w:rPr>
        <w:t>II. ARGUMENT Z AKTUALNOŚCI OPINII BIEGŁYCH</w:t>
      </w:r>
    </w:p>
    <w:p>
      <w:pPr>
        <w:pStyle w:val="Heading2"/>
      </w:pPr>
      <w:r>
        <w:rPr>
          <w:color w:val="000000"/>
        </w:rPr>
        <w:t>(Wyrok ETPCz M.B. przeciwko Polsce, skarga nr 60157/15)</w:t>
      </w:r>
    </w:p>
    <w:p>
      <w:pPr>
        <w:pStyle w:val="Heading3"/>
      </w:pPr>
      <w:r>
        <w:rPr>
          <w:color w:val="000000"/>
        </w:rPr>
        <w:t>A. Stan faktyczny</w:t>
      </w:r>
    </w:p>
    <w:p>
      <w:r>
        <w:rPr>
          <w:b/>
        </w:rPr>
        <w:t xml:space="preserve">7. </w:t>
      </w:r>
      <w:r>
        <w:rPr>
          <w:b w:val="0"/>
        </w:rPr>
        <w:t>W sprawie 4096-6.Ds.94.2025 biegli powołani przez prokuraturę twierdzą, że przeprowadzenie badania sądowo-psychiatrycznego w trybie ambulatoryjnym NIE JEST MOŻLIWE i konieczna jest obserwacja w zakładzie psychiatrycznym w Toszku.</w:t>
      </w:r>
    </w:p>
    <w:p>
      <w:r>
        <w:rPr>
          <w:b/>
        </w:rPr>
        <w:t xml:space="preserve">8. </w:t>
      </w:r>
      <w:r>
        <w:rPr>
          <w:b w:val="0"/>
        </w:rPr>
        <w:t>Jednocześnie istnieje nowsza opinia sądowo-psychiatryczna, wydana po przeprowadzeniu badania w trybie ambulatoryjnym — co bezpośrednio przeczy twierdzeniu biegłych o niemożności takiego badania.</w:t>
      </w:r>
    </w:p>
    <w:p>
      <w:r>
        <w:rPr>
          <w:b/>
        </w:rPr>
        <w:t xml:space="preserve">9. </w:t>
      </w:r>
      <w:r>
        <w:rPr>
          <w:b w:val="0"/>
        </w:rPr>
        <w:t>Sprzeczność ta nie została wyjaśniona przez sąd ani prokuratora przed podjęciem decyzji o skierowaniu na obserwację.</w:t>
      </w:r>
    </w:p>
    <w:p>
      <w:pPr>
        <w:pStyle w:val="Heading3"/>
      </w:pPr>
      <w:r>
        <w:rPr>
          <w:color w:val="000000"/>
        </w:rPr>
        <w:t>B. Standard wynikający z wyroku ETPCz M.B. p. Polsce</w:t>
      </w:r>
    </w:p>
    <w:p>
      <w:r>
        <w:rPr>
          <w:b/>
        </w:rPr>
        <w:t xml:space="preserve">10. </w:t>
      </w:r>
      <w:r>
        <w:rPr>
          <w:b w:val="0"/>
        </w:rPr>
        <w:t>W wyroku z dnia 14.10.2021 r. Europejski Trybunał Praw Człowieka stwierdził naruszenie art. 5 ust. 1 lit. e Konwencji i wskazał trzy minimalne warunki legalności pozbawienia wolności osoby z zaburzeniami psychicznymi:</w:t>
      </w:r>
    </w:p>
    <w:p>
      <w:pPr>
        <w:pStyle w:val="ListBullet"/>
      </w:pPr>
      <w:r>
        <w:t>(a) Występowanie zaburzeń psychicznych musi zostać ustalone w rzetelny sposób, przez kompetentne osoby, w oparciu o obiektywną i aktualną wiedzę medyczną.</w:t>
      </w:r>
    </w:p>
    <w:p>
      <w:pPr>
        <w:pStyle w:val="ListBullet"/>
      </w:pPr>
      <w:r>
        <w:t>(b) Zaburzenie psychiczne musi być tego rodzaju i takiej głębokości, że wymaga przymusowego leczenia szpitalnego (lub obserwacji).</w:t>
      </w:r>
    </w:p>
    <w:p>
      <w:pPr>
        <w:pStyle w:val="ListBullet"/>
      </w:pPr>
      <w:r>
        <w:t>(c) Zasadność dalszego pobytu musi być uzależniona od utrzymywania się zaburzeń psychicznych.</w:t>
      </w:r>
    </w:p>
    <w:p>
      <w:r>
        <w:rPr>
          <w:b/>
        </w:rPr>
        <w:t xml:space="preserve">11. </w:t>
      </w:r>
      <w:r>
        <w:rPr>
          <w:b w:val="0"/>
        </w:rPr>
        <w:t>Trybunał podkreślił, że:</w:t>
      </w:r>
    </w:p>
    <w:p>
      <w:pPr>
        <w:ind w:left="850"/>
      </w:pPr>
      <w:r>
        <w:rPr>
          <w:i/>
        </w:rPr>
        <w:t>"Ocena medyczna musi opierać się na rzeczywistym stanie zdrowia psychicznego danej osoby, a nie wyłącznie na wydarzeniach z przeszłości."</w:t>
      </w:r>
    </w:p>
    <w:p>
      <w:pPr>
        <w:ind w:left="850"/>
      </w:pPr>
      <w:r>
        <w:rPr>
          <w:i/>
        </w:rPr>
        <w:t>"Opinia lekarska nie jest wystarczająca dla uzasadnienia pozbawienia wolności, jeśli od jej sporządzenia upłynął znaczny czas."</w:t>
      </w:r>
    </w:p>
    <w:p>
      <w:r>
        <w:rPr>
          <w:b w:val="0"/>
          <w:i w:val="0"/>
        </w:rPr>
        <w:t>Sąd ma obowiązek wyjaśnić sprzeczności między opiniami biegłych a innymi dowodami medycznymi PRZED pozbawieniem wolności.</w:t>
      </w:r>
    </w:p>
    <w:p>
      <w:r>
        <w:rPr>
          <w:b/>
        </w:rPr>
        <w:t xml:space="preserve">12. </w:t>
      </w:r>
      <w:r>
        <w:rPr>
          <w:b w:val="0"/>
        </w:rPr>
        <w:t>W sprawie M.B. Trybunał uznał opinie z 17.01.2014 r. i 3.02.2014 r. za niewystarczająco aktualne w momencie umieszczenia skarżącego w szpitalu (4.08.2015 r.) — upływ ok. 18 miesięcy, przy jednoczesnym ignorowaniu dowodów poprawy stanu zdrowia.</w:t>
      </w:r>
    </w:p>
    <w:p>
      <w:pPr>
        <w:pStyle w:val="Heading3"/>
      </w:pPr>
      <w:r>
        <w:rPr>
          <w:color w:val="000000"/>
        </w:rPr>
        <w:t>C. Zastosowanie do niniejszej sprawy</w:t>
      </w:r>
    </w:p>
    <w:p>
      <w:r>
        <w:rPr>
          <w:b/>
        </w:rPr>
        <w:t xml:space="preserve">13. </w:t>
      </w:r>
      <w:r>
        <w:rPr>
          <w:b w:val="0"/>
        </w:rPr>
        <w:t>Analogia jest bezpośrednia:</w:t>
      </w:r>
    </w:p>
    <w:p>
      <w:pPr>
        <w:pStyle w:val="ListBullet"/>
      </w:pPr>
      <w:r>
        <w:t>Istnieje nowsza opinia wydana po badaniu ambulatoryjnym, która przeczy twierdzeniom biegłych o niemożności takiego badania.</w:t>
      </w:r>
    </w:p>
    <w:p>
      <w:pPr>
        <w:pStyle w:val="ListBullet"/>
      </w:pPr>
      <w:r>
        <w:t>Sąd nie wyjaśnił sprzeczności między tą opinią a wnioskiem o obserwację.</w:t>
      </w:r>
    </w:p>
    <w:p>
      <w:pPr>
        <w:pStyle w:val="ListBullet"/>
      </w:pPr>
      <w:r>
        <w:t>Skierowanie na obserwację w Toszku — stanowiące de facto pozbawienie wolności — opiera się na twierdzeniach biegłych, które zostały podważone przez późniejsze badanie ambulatoryjne.</w:t>
      </w:r>
    </w:p>
    <w:p>
      <w:pPr>
        <w:pStyle w:val="ListBullet"/>
      </w:pPr>
      <w:r>
        <w:t>Zgodnie ze standardem M.B. p. Polsce, sąd POWINIEN BYŁ oprzeć się na najaktualniejszej opinii medycznej lub co najmniej wyjaśnić rozbieżność przed pozbawieniem wolności.</w:t>
      </w:r>
    </w:p>
    <w:p>
      <w:r>
        <w:rPr>
          <w:b/>
        </w:rPr>
        <w:t xml:space="preserve">14. </w:t>
      </w:r>
      <w:r>
        <w:rPr>
          <w:b w:val="0"/>
        </w:rPr>
        <w:t>Odmowa uwzględnienia nowszej opinii i oparcie decyzji o pozbawieniu wolności wyłącznie na opinii biegłych kwestionujących możliwość badania ambulatoryjnego — gdy takie badanie faktycznie przeprowadzono — stanowi naruszenie art. 5 ust. 1 lit. e EKPC w świetle wyroku M.B. p. Polsce.</w:t>
      </w:r>
    </w:p>
    <w:p>
      <w:r>
        <w:br w:type="page"/>
      </w:r>
    </w:p>
    <w:p>
      <w:pPr>
        <w:pStyle w:val="Heading1"/>
      </w:pPr>
      <w:r>
        <w:rPr>
          <w:color w:val="000000"/>
        </w:rPr>
        <w:t>III. WNIOSEK O SKIEROWANIE PYTANIA PREJUDYCJALNEGO DO TSUE</w:t>
      </w:r>
    </w:p>
    <w:p>
      <w:r>
        <w:rPr>
          <w:b w:val="0"/>
          <w:i w:val="0"/>
        </w:rPr>
        <w:t>Na podstawie art. 267 Traktatu o funkcjonowaniu Unii Europejskiej wnoszę o skierowanie do Trybunału Sprawiedliwości Unii Europejskiej następującego pytania prejudycjalnego:</w:t>
      </w:r>
    </w:p>
    <w:p>
      <w:pPr>
        <w:pStyle w:val="Heading3"/>
      </w:pPr>
      <w:r>
        <w:rPr>
          <w:color w:val="000000"/>
        </w:rPr>
        <w:t>Pytanie:</w:t>
      </w:r>
    </w:p>
    <w:p>
      <w:pPr>
        <w:ind w:left="850"/>
      </w:pPr>
      <w:r>
        <w:rPr>
          <w:i/>
        </w:rPr>
        <w:t>Czy art. 19 ust. 1 Traktatu o Unii Europejskiej w związku z art. 47 Karty Praw Podstawowych Unii Europejskiej należy interpretować w ten sposób, że sprzeczny z wymogiem niezależnego sądu ustanowionego ustawą jest system krajowy, w którym:</w:t>
      </w:r>
    </w:p>
    <w:p>
      <w:pPr>
        <w:ind w:left="850"/>
      </w:pPr>
      <w:r>
        <w:rPr>
          <w:i/>
        </w:rPr>
        <w:t>(a) sędzia może być delegowany do orzekania w sądzie wyższej instancji wyłącznie na podstawie decyzji organu władzy wykonawczej (Ministra Sprawiedliwości),</w:t>
      </w:r>
    </w:p>
    <w:p>
      <w:pPr>
        <w:ind w:left="850"/>
      </w:pPr>
      <w:r>
        <w:rPr>
          <w:i/>
        </w:rPr>
        <w:t>(b) delegacja ta może być odwołana w dowolnym czasie bez podania przyczyny,</w:t>
      </w:r>
    </w:p>
    <w:p>
      <w:pPr>
        <w:ind w:left="850"/>
      </w:pPr>
      <w:r>
        <w:rPr>
          <w:i/>
        </w:rPr>
        <w:t>(c) brak jest skutecznej kontroli sądowej decyzji o odwołaniu z delegacji,</w:t>
      </w:r>
    </w:p>
    <w:p>
      <w:pPr>
        <w:ind w:left="850"/>
      </w:pPr>
      <w:r>
        <w:rPr>
          <w:i/>
        </w:rPr>
        <w:t>(d) organ delegujący pełni jednocześnie funkcję Prokuratora Generalnego,</w:t>
      </w:r>
    </w:p>
    <w:p>
      <w:pPr>
        <w:ind w:left="850"/>
      </w:pPr>
      <w:r>
        <w:rPr>
          <w:i/>
        </w:rPr>
        <w:t>a udział tak delegowanego sędziego w składzie orzekającym w sprawie dotyczącej pozbawienia wolności (obserwacji psychiatrycznej) skutkuje naruszeniem prawa do sądu ustanowionego ustawą?</w:t>
      </w:r>
    </w:p>
    <w:p>
      <w:pPr>
        <w:pStyle w:val="Heading3"/>
      </w:pPr>
      <w:r>
        <w:rPr>
          <w:color w:val="000000"/>
        </w:rPr>
        <w:t>Uzasadnienie obowiązku skierowania pytania</w:t>
      </w:r>
    </w:p>
    <w:p>
      <w:r>
        <w:rPr>
          <w:b/>
        </w:rPr>
        <w:t xml:space="preserve">15. </w:t>
      </w:r>
      <w:r>
        <w:rPr>
          <w:b w:val="0"/>
        </w:rPr>
        <w:t>Na podstawie art. 267 akapit 3 TFUE sąd krajowy, którego orzeczenia nie podlegają zaskarżeniu w ramach krajowego toku instancji, MA OBOWIĄZEK skierowania pytania prejudycjalnego do TSUE, jeżeli powstaje wątpliwość co do wykładni prawa Unii Europejskiej.</w:t>
      </w:r>
    </w:p>
    <w:p>
      <w:r>
        <w:rPr>
          <w:b/>
        </w:rPr>
        <w:t xml:space="preserve">16. </w:t>
      </w:r>
      <w:r>
        <w:rPr>
          <w:b w:val="0"/>
        </w:rPr>
        <w:t>Zgodnie z orzecznictwem Trybunału Sprawiedliwości UE, w szczególności wyrokiem w sprawie C-283/81 CILFIT, odstąpienie od skierowania pytania prejudycjalnego jest dopuszczalne wyłącznie w sytuacji, gdy prawidłowe stosowanie prawa Unii jest tak oczywiste, że nie pozostawia żadnych racjonalnych wątpliwości interpretacyjnych (acte clair).</w:t>
      </w:r>
    </w:p>
    <w:p>
      <w:r>
        <w:rPr>
          <w:b/>
        </w:rPr>
        <w:t xml:space="preserve">17. </w:t>
      </w:r>
      <w:r>
        <w:rPr>
          <w:b w:val="0"/>
        </w:rPr>
        <w:t>W niniejszej sprawie wątpliwość co do zgodności krajowego modelu delegacji sędziowskiej z prawem UE NIE JEST OCZYWISTA (nie zachodzi acte clair), o czym świadczy:</w:t>
      </w:r>
    </w:p>
    <w:p>
      <w:pPr>
        <w:pStyle w:val="ListBullet"/>
      </w:pPr>
      <w:r>
        <w:t>toczące się postępowanie przed Sądem Najwyższym (I KZP 1/26),</w:t>
      </w:r>
    </w:p>
    <w:p>
      <w:pPr>
        <w:pStyle w:val="ListBullet"/>
      </w:pPr>
      <w:r>
        <w:t>rozbieżne orzecznictwo krajowe,</w:t>
      </w:r>
    </w:p>
    <w:p>
      <w:pPr>
        <w:pStyle w:val="ListBullet"/>
      </w:pPr>
      <w:r>
        <w:t>dotychczasowe orzecznictwo TSUE (C-487/19, C-791/19, C-824/18 A.B., C-506/04 Wilson, C-585/18, C-624/18, C-625/18).</w:t>
      </w:r>
    </w:p>
    <w:p>
      <w:r>
        <w:rPr>
          <w:b/>
        </w:rPr>
        <w:t xml:space="preserve">18. </w:t>
      </w:r>
      <w:r>
        <w:rPr>
          <w:b w:val="0"/>
        </w:rPr>
        <w:t>Nawet jeśli sąd rozpoznający niniejszą sprawę nie jest formalnie sądem "ostatniej instancji", to w świetle wyroku TSUE w sprawie C-561/19 Consorzio Italian Management każdy sąd krajowy MOŻE zadać pytanie prejudycjalne, a w sytuacji istotnej wątpliwości co do prawa UE powinien rozważyć takie skierowanie. Odmowa wymaga pełnego uzasadnienia w świetle standardu CILFIT.</w:t>
      </w:r>
    </w:p>
    <w:p>
      <w:r>
        <w:rPr>
          <w:b/>
        </w:rPr>
        <w:t xml:space="preserve">19. </w:t>
      </w:r>
      <w:r>
        <w:rPr>
          <w:b w:val="0"/>
        </w:rPr>
        <w:t>Ponadto, w sytuacji gdy przedmiotem sprawy jest POZBAWIENIE WOLNOŚCI (obserwacja psychiatryczna), standard ochrony praw jednostki wymaga szczególnej staranności w zapewnieniu niezależności sądu orzekającego, co dodatkowo uzasadnia skierowanie pytania prejudycjalnego.</w:t>
      </w:r>
    </w:p>
    <w:p>
      <w:r>
        <w:br w:type="page"/>
      </w:r>
    </w:p>
    <w:p>
      <w:pPr>
        <w:pStyle w:val="Heading1"/>
      </w:pPr>
      <w:r>
        <w:rPr>
          <w:color w:val="000000"/>
        </w:rPr>
        <w:t>IV. WNIOSEK O PRZEDSTAWIENIE ZAGADNIENIA PRAWNEGO SĄDOWI NAJWYŻSZEMU</w:t>
      </w:r>
    </w:p>
    <w:p>
      <w:r>
        <w:rPr>
          <w:b w:val="0"/>
          <w:i w:val="0"/>
        </w:rPr>
        <w:t>Na podstawie art. 441 par. 1 k.p.k. wnoszę o przedstawienie Sądowi Najwyższemu do rozstrzygnięcia następującego zagadnienia prawnego:</w:t>
      </w:r>
    </w:p>
    <w:p>
      <w:pPr>
        <w:pStyle w:val="Heading3"/>
      </w:pPr>
      <w:r>
        <w:rPr>
          <w:color w:val="000000"/>
        </w:rPr>
        <w:t>Zagadnienie:</w:t>
      </w:r>
    </w:p>
    <w:p>
      <w:pPr>
        <w:ind w:left="850"/>
      </w:pPr>
      <w:r>
        <w:rPr>
          <w:i/>
        </w:rPr>
        <w:t>Czy udział w składzie orzekającym sędziego sądu rejonowego delegowanego do orzekania w sądzie okręgowym przez Ministra Sprawiedliwości, w trybie art. 77 ustawy — Prawo o ustroju sądów powszechnych, stanowi nienależytą obsadę sądu w rozumieniu art. 439 par. 1 pkt 2 k.p.k., a w konsekwencji bezwzględną przyczynę odwoławczą skutkującą uchyleniem orzeczenia — w sytuacji gdy:</w:t>
      </w:r>
    </w:p>
    <w:p>
      <w:pPr>
        <w:ind w:left="850"/>
      </w:pPr>
      <w:r>
        <w:rPr>
          <w:i/>
        </w:rPr>
        <w:t>(a) system delegacji przewiduje możliwość swobodnego odwołania sędziego z delegacji przez organ władzy wykonawczej,</w:t>
      </w:r>
    </w:p>
    <w:p>
      <w:pPr>
        <w:ind w:left="850"/>
      </w:pPr>
      <w:r>
        <w:rPr>
          <w:i/>
        </w:rPr>
        <w:t>(b) nie zapewnia skutecznej kontroli sądowej decyzji Ministra Sprawiedliwości,</w:t>
      </w:r>
    </w:p>
    <w:p>
      <w:pPr>
        <w:ind w:left="850"/>
      </w:pPr>
      <w:r>
        <w:rPr>
          <w:i/>
        </w:rPr>
        <w:t>(c) organ delegujący pełni jednocześnie funkcję Prokuratora Generalnego,</w:t>
      </w:r>
    </w:p>
    <w:p>
      <w:pPr>
        <w:ind w:left="850"/>
      </w:pPr>
      <w:r>
        <w:rPr>
          <w:i/>
        </w:rPr>
        <w:t>(d) sprawa dotyczy pozbawienia wolności (zarządzenia obserwacji psychiatrycznej)?</w:t>
      </w:r>
    </w:p>
    <w:p>
      <w:pPr>
        <w:pStyle w:val="Heading3"/>
      </w:pPr>
      <w:r>
        <w:rPr>
          <w:color w:val="000000"/>
        </w:rPr>
        <w:t>Uzasadnienie</w:t>
      </w:r>
    </w:p>
    <w:p>
      <w:r>
        <w:rPr>
          <w:b/>
        </w:rPr>
        <w:t xml:space="preserve">20. </w:t>
      </w:r>
      <w:r>
        <w:rPr>
          <w:b w:val="0"/>
        </w:rPr>
        <w:t>Zagadnienie to wymaga rozstrzygnięcia przez Sąd Najwyższy z uwagi na:</w:t>
      </w:r>
    </w:p>
    <w:p>
      <w:pPr>
        <w:pStyle w:val="ListBullet"/>
      </w:pPr>
      <w:r>
        <w:t>aktualnie zawisłą przed SN sprawę I KZP 1/26 (pytanie prawne SO Rzeszów),</w:t>
      </w:r>
    </w:p>
    <w:p>
      <w:pPr>
        <w:pStyle w:val="ListBullet"/>
      </w:pPr>
      <w:r>
        <w:t>rozbieżność w orzecznictwie między linią III CZP 103/15 (dopuszczalność delegacji) a nowszymi orzeczeniami kwestionującymi niezależność sędziów delegowanych,</w:t>
      </w:r>
    </w:p>
    <w:p>
      <w:pPr>
        <w:pStyle w:val="ListBullet"/>
      </w:pPr>
      <w:r>
        <w:t>konieczność ujednolicenia praktyki sądowej w sprawach dotyczących pozbawienia wolności.</w:t>
      </w:r>
    </w:p>
    <w:p>
      <w:r>
        <w:br w:type="page"/>
      </w:r>
    </w:p>
    <w:p>
      <w:pPr>
        <w:pStyle w:val="Heading1"/>
      </w:pPr>
      <w:r>
        <w:rPr>
          <w:color w:val="000000"/>
        </w:rPr>
        <w:t>V. WNIOSKI KOŃCOWE</w:t>
      </w:r>
    </w:p>
    <w:p>
      <w:r>
        <w:rPr>
          <w:b w:val="0"/>
          <w:i w:val="0"/>
        </w:rPr>
        <w:t>Na podstawie powyższego wnoszę o:</w:t>
      </w:r>
    </w:p>
    <w:p>
      <w:pPr>
        <w:pStyle w:val="ListNumber"/>
      </w:pPr>
      <w:r>
        <w:t>1. Wyłączenie SSR del. Piotra Pawlika od rozpoznania sprawy VI Kz 289/26, z uwagi na uzasadnione wątpliwości co do jego niezależności strukturalnej wynikającej z delegacji przez Ministra Sprawiedliwości/Prokuratora Generalnego.</w:t>
      </w:r>
    </w:p>
    <w:p>
      <w:pPr>
        <w:pStyle w:val="ListNumber"/>
      </w:pPr>
      <w:r>
        <w:t>2. Skierowanie pytania prejudycjalnego do TSUE w zakresie zgodności systemu delegacji sędziowskiej z art. 19 ust. 1 TUE i art. 47 KPP UE.</w:t>
      </w:r>
    </w:p>
    <w:p>
      <w:pPr>
        <w:pStyle w:val="ListNumber"/>
      </w:pPr>
      <w:r>
        <w:t>3. Przedstawienie zagadnienia prawnego Sądowi Najwyższemu w zakresie kwalifikacji udziału sędziego delegowanego jako nienależytej obsady sądu (art. 439 par. 1 pkt 2 k.p.k.).</w:t>
      </w:r>
    </w:p>
    <w:p>
      <w:pPr>
        <w:pStyle w:val="ListNumber"/>
      </w:pPr>
      <w:r>
        <w:t>4. Uwzględnienie standardu aktualności opinii biegłych wynikającego z wyroku ETPCz z 14.10.2021 r. w sprawie M.B. przeciwko Polsce (skarga nr 60157/15) i wyjaśnienie sprzeczności między opinią biegłych w sprawie 4096-6.Ds.94.2025 a nowszą opinią wydaną po badaniu ambulatoryjnym — PRZED podjęciem decyzji o pozbawieniu wolności w drodze obserwacji psychiatrycznej.</w:t>
      </w:r>
    </w:p>
    <w:p/>
    <w:p/>
    <w:p>
      <w:pPr>
        <w:jc w:val="right"/>
      </w:pPr>
      <w:r>
        <w:t>[miejscowość], dnia [data]</w:t>
      </w:r>
    </w:p>
    <w:p/>
    <w:p>
      <w:pPr>
        <w:jc w:val="right"/>
      </w:pPr>
      <w:r>
        <w:t>[podpis wnioskodawcy / obrońcy]</w:t>
      </w:r>
    </w:p>
    <w:p>
      <w:r>
        <w:br w:type="page"/>
      </w:r>
    </w:p>
    <w:p>
      <w:pPr>
        <w:pStyle w:val="Heading2"/>
      </w:pPr>
      <w:r>
        <w:rPr>
          <w:color w:val="000000"/>
        </w:rPr>
        <w:t>PODSTAWY PRAWNE (zestawienie)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</w:rPr>
              <w:t>Przepis</w:t>
            </w:r>
          </w:p>
        </w:tc>
        <w:tc>
          <w:tcPr>
            <w:tcW w:type="dxa" w:w="4702"/>
          </w:tcPr>
          <w:p>
            <w:r>
              <w:rPr>
                <w:b/>
              </w:rPr>
              <w:t>Treść / znaczenie</w:t>
            </w:r>
          </w:p>
        </w:tc>
      </w:tr>
      <w:tr>
        <w:tc>
          <w:tcPr>
            <w:tcW w:type="dxa" w:w="4702"/>
          </w:tcPr>
          <w:p>
            <w:r>
              <w:t>Art. 41 par. 1 k.p.k.</w:t>
            </w:r>
          </w:p>
        </w:tc>
        <w:tc>
          <w:tcPr>
            <w:tcW w:type="dxa" w:w="4702"/>
          </w:tcPr>
          <w:p>
            <w:r>
              <w:t>Wyłączenie sędziego na wniosek strony</w:t>
            </w:r>
          </w:p>
        </w:tc>
      </w:tr>
      <w:tr>
        <w:tc>
          <w:tcPr>
            <w:tcW w:type="dxa" w:w="4702"/>
          </w:tcPr>
          <w:p>
            <w:r>
              <w:t>Art. 439 par. 1 pkt 2 k.p.k.</w:t>
            </w:r>
          </w:p>
        </w:tc>
        <w:tc>
          <w:tcPr>
            <w:tcW w:type="dxa" w:w="4702"/>
          </w:tcPr>
          <w:p>
            <w:r>
              <w:t>Bezwzględna przyczyna odwoławcza — nienależyta obsada sądu</w:t>
            </w:r>
          </w:p>
        </w:tc>
      </w:tr>
      <w:tr>
        <w:tc>
          <w:tcPr>
            <w:tcW w:type="dxa" w:w="4702"/>
          </w:tcPr>
          <w:p>
            <w:r>
              <w:t>Art. 441 par. 1 k.p.k.</w:t>
            </w:r>
          </w:p>
        </w:tc>
        <w:tc>
          <w:tcPr>
            <w:tcW w:type="dxa" w:w="4702"/>
          </w:tcPr>
          <w:p>
            <w:r>
              <w:t>Przedstawienie zagadnienia prawnego Sądowi Najwyższemu</w:t>
            </w:r>
          </w:p>
        </w:tc>
      </w:tr>
      <w:tr>
        <w:tc>
          <w:tcPr>
            <w:tcW w:type="dxa" w:w="4702"/>
          </w:tcPr>
          <w:p>
            <w:r>
              <w:t>Art. 77 u.s.p.</w:t>
            </w:r>
          </w:p>
        </w:tc>
        <w:tc>
          <w:tcPr>
            <w:tcW w:type="dxa" w:w="4702"/>
          </w:tcPr>
          <w:p>
            <w:r>
              <w:t>Delegacja sędziego przez Ministra Sprawiedliwości</w:t>
            </w:r>
          </w:p>
        </w:tc>
      </w:tr>
      <w:tr>
        <w:tc>
          <w:tcPr>
            <w:tcW w:type="dxa" w:w="4702"/>
          </w:tcPr>
          <w:p>
            <w:r>
              <w:t>Art. 267 TFUE</w:t>
            </w:r>
          </w:p>
        </w:tc>
        <w:tc>
          <w:tcPr>
            <w:tcW w:type="dxa" w:w="4702"/>
          </w:tcPr>
          <w:p>
            <w:r>
              <w:t>Pytanie prejudycjalne do TSUE</w:t>
            </w:r>
          </w:p>
        </w:tc>
      </w:tr>
      <w:tr>
        <w:tc>
          <w:tcPr>
            <w:tcW w:type="dxa" w:w="4702"/>
          </w:tcPr>
          <w:p>
            <w:r>
              <w:t>Art. 19 ust. 1 TUE</w:t>
            </w:r>
          </w:p>
        </w:tc>
        <w:tc>
          <w:tcPr>
            <w:tcW w:type="dxa" w:w="4702"/>
          </w:tcPr>
          <w:p>
            <w:r>
              <w:t>Obowiązek zapewnienia skutecznej ochrony sądowej</w:t>
            </w:r>
          </w:p>
        </w:tc>
      </w:tr>
      <w:tr>
        <w:tc>
          <w:tcPr>
            <w:tcW w:type="dxa" w:w="4702"/>
          </w:tcPr>
          <w:p>
            <w:r>
              <w:t>Art. 47 KPP UE</w:t>
            </w:r>
          </w:p>
        </w:tc>
        <w:tc>
          <w:tcPr>
            <w:tcW w:type="dxa" w:w="4702"/>
          </w:tcPr>
          <w:p>
            <w:r>
              <w:t>Prawo do niezależnego i bezstronnego sądu</w:t>
            </w:r>
          </w:p>
        </w:tc>
      </w:tr>
      <w:tr>
        <w:tc>
          <w:tcPr>
            <w:tcW w:type="dxa" w:w="4702"/>
          </w:tcPr>
          <w:p>
            <w:r>
              <w:t>Art. 5 ust. 1 lit. e EKPC</w:t>
            </w:r>
          </w:p>
        </w:tc>
        <w:tc>
          <w:tcPr>
            <w:tcW w:type="dxa" w:w="4702"/>
          </w:tcPr>
          <w:p>
            <w:r>
              <w:t>Legalność pozbawienia wolności osoby z zaburzeniami psychicznymi</w:t>
            </w:r>
          </w:p>
        </w:tc>
      </w:tr>
      <w:tr>
        <w:tc>
          <w:tcPr>
            <w:tcW w:type="dxa" w:w="4702"/>
          </w:tcPr>
          <w:p>
            <w:r>
              <w:t>Art. 6 ust. 1 EKPC</w:t>
            </w:r>
          </w:p>
        </w:tc>
        <w:tc>
          <w:tcPr>
            <w:tcW w:type="dxa" w:w="4702"/>
          </w:tcPr>
          <w:p>
            <w:r>
              <w:t>Prawo do rzetelnego procesu</w:t>
            </w:r>
          </w:p>
        </w:tc>
      </w:tr>
      <w:tr>
        <w:tc>
          <w:tcPr>
            <w:tcW w:type="dxa" w:w="4702"/>
          </w:tcPr>
          <w:p>
            <w:r>
              <w:t>Art. 45 ust. 1 Konstytucji RP</w:t>
            </w:r>
          </w:p>
        </w:tc>
        <w:tc>
          <w:tcPr>
            <w:tcW w:type="dxa" w:w="4702"/>
          </w:tcPr>
          <w:p>
            <w:r>
              <w:t>Prawo do sądu</w:t>
            </w:r>
          </w:p>
        </w:tc>
      </w:tr>
    </w:tbl>
    <w:p/>
    <w:p>
      <w:pPr>
        <w:pStyle w:val="Heading2"/>
      </w:pPr>
      <w:r>
        <w:rPr>
          <w:color w:val="000000"/>
        </w:rPr>
        <w:t>ORZECZNICTWO PRZYWOŁANE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Sygnatura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Organ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Znaczenie</w:t>
            </w:r>
          </w:p>
        </w:tc>
      </w:tr>
      <w:tr>
        <w:tc>
          <w:tcPr>
            <w:tcW w:type="dxa" w:w="3135"/>
          </w:tcPr>
          <w:p>
            <w:r>
              <w:t>M.B. p. Polsce, 60157/15</w:t>
            </w:r>
          </w:p>
        </w:tc>
        <w:tc>
          <w:tcPr>
            <w:tcW w:type="dxa" w:w="3135"/>
          </w:tcPr>
          <w:p>
            <w:r>
              <w:t>ETPCz (14.10.2021)</w:t>
            </w:r>
          </w:p>
        </w:tc>
        <w:tc>
          <w:tcPr>
            <w:tcW w:type="dxa" w:w="3135"/>
          </w:tcPr>
          <w:p>
            <w:r>
              <w:t>Aktualność opinii biegłych jako warunek legalności pozbawienia wolności</w:t>
            </w:r>
          </w:p>
        </w:tc>
      </w:tr>
      <w:tr>
        <w:tc>
          <w:tcPr>
            <w:tcW w:type="dxa" w:w="3135"/>
          </w:tcPr>
          <w:p>
            <w:r>
              <w:t>I KZP 1/26</w:t>
            </w:r>
          </w:p>
        </w:tc>
        <w:tc>
          <w:tcPr>
            <w:tcW w:type="dxa" w:w="3135"/>
          </w:tcPr>
          <w:p>
            <w:r>
              <w:t>SN</w:t>
            </w:r>
          </w:p>
        </w:tc>
        <w:tc>
          <w:tcPr>
            <w:tcW w:type="dxa" w:w="3135"/>
          </w:tcPr>
          <w:p>
            <w:r>
              <w:t>Pytanie prawne — delegacja MS a art. 439 par. 1 pkt 2 k.p.k.</w:t>
            </w:r>
          </w:p>
        </w:tc>
      </w:tr>
      <w:tr>
        <w:tc>
          <w:tcPr>
            <w:tcW w:type="dxa" w:w="3135"/>
          </w:tcPr>
          <w:p>
            <w:r>
              <w:t>III CZP 103/15</w:t>
            </w:r>
          </w:p>
        </w:tc>
        <w:tc>
          <w:tcPr>
            <w:tcW w:type="dxa" w:w="3135"/>
          </w:tcPr>
          <w:p>
            <w:r>
              <w:t>SN (2016)</w:t>
            </w:r>
          </w:p>
        </w:tc>
        <w:tc>
          <w:tcPr>
            <w:tcW w:type="dxa" w:w="3135"/>
          </w:tcPr>
          <w:p>
            <w:r>
              <w:t>Delegacja sędziego — dopuszczalność co do zasady</w:t>
            </w:r>
          </w:p>
        </w:tc>
      </w:tr>
      <w:tr>
        <w:tc>
          <w:tcPr>
            <w:tcW w:type="dxa" w:w="3135"/>
          </w:tcPr>
          <w:p>
            <w:r>
              <w:t>C-283/81 CILFIT</w:t>
            </w:r>
          </w:p>
        </w:tc>
        <w:tc>
          <w:tcPr>
            <w:tcW w:type="dxa" w:w="3135"/>
          </w:tcPr>
          <w:p>
            <w:r>
              <w:t>TSUE</w:t>
            </w:r>
          </w:p>
        </w:tc>
        <w:tc>
          <w:tcPr>
            <w:tcW w:type="dxa" w:w="3135"/>
          </w:tcPr>
          <w:p>
            <w:r>
              <w:t>Standard acte clair — wyjątek od obowiązku pytania prejudycjalnego</w:t>
            </w:r>
          </w:p>
        </w:tc>
      </w:tr>
      <w:tr>
        <w:tc>
          <w:tcPr>
            <w:tcW w:type="dxa" w:w="3135"/>
          </w:tcPr>
          <w:p>
            <w:r>
              <w:t>C-487/19</w:t>
            </w:r>
          </w:p>
        </w:tc>
        <w:tc>
          <w:tcPr>
            <w:tcW w:type="dxa" w:w="3135"/>
          </w:tcPr>
          <w:p>
            <w:r>
              <w:t>TSUE</w:t>
            </w:r>
          </w:p>
        </w:tc>
        <w:tc>
          <w:tcPr>
            <w:tcW w:type="dxa" w:w="3135"/>
          </w:tcPr>
          <w:p>
            <w:r>
              <w:t>Niezależność sądu — test strukturalny</w:t>
            </w:r>
          </w:p>
        </w:tc>
      </w:tr>
      <w:tr>
        <w:tc>
          <w:tcPr>
            <w:tcW w:type="dxa" w:w="3135"/>
          </w:tcPr>
          <w:p>
            <w:r>
              <w:t>C-791/19</w:t>
            </w:r>
          </w:p>
        </w:tc>
        <w:tc>
          <w:tcPr>
            <w:tcW w:type="dxa" w:w="3135"/>
          </w:tcPr>
          <w:p>
            <w:r>
              <w:t>TSUE</w:t>
            </w:r>
          </w:p>
        </w:tc>
        <w:tc>
          <w:tcPr>
            <w:tcW w:type="dxa" w:w="3135"/>
          </w:tcPr>
          <w:p>
            <w:r>
              <w:t>Systemowe naruszenia niezależności sądów w Polsce</w:t>
            </w:r>
          </w:p>
        </w:tc>
      </w:tr>
      <w:tr>
        <w:tc>
          <w:tcPr>
            <w:tcW w:type="dxa" w:w="3135"/>
          </w:tcPr>
          <w:p>
            <w:r>
              <w:t>C-824/18 A.B.</w:t>
            </w:r>
          </w:p>
        </w:tc>
        <w:tc>
          <w:tcPr>
            <w:tcW w:type="dxa" w:w="3135"/>
          </w:tcPr>
          <w:p>
            <w:r>
              <w:t>TSUE</w:t>
            </w:r>
          </w:p>
        </w:tc>
        <w:tc>
          <w:tcPr>
            <w:tcW w:type="dxa" w:w="3135"/>
          </w:tcPr>
          <w:p>
            <w:r>
              <w:t>Niezależność sądu — powołania sędziowskie</w:t>
            </w:r>
          </w:p>
        </w:tc>
      </w:tr>
      <w:tr>
        <w:tc>
          <w:tcPr>
            <w:tcW w:type="dxa" w:w="3135"/>
          </w:tcPr>
          <w:p>
            <w:r>
              <w:t>C-506/04 Wilson</w:t>
            </w:r>
          </w:p>
        </w:tc>
        <w:tc>
          <w:tcPr>
            <w:tcW w:type="dxa" w:w="3135"/>
          </w:tcPr>
          <w:p>
            <w:r>
              <w:t>TSUE</w:t>
            </w:r>
          </w:p>
        </w:tc>
        <w:tc>
          <w:tcPr>
            <w:tcW w:type="dxa" w:w="3135"/>
          </w:tcPr>
          <w:p>
            <w:r>
              <w:t>Definicja niezależnego sądu</w:t>
            </w:r>
          </w:p>
        </w:tc>
      </w:tr>
      <w:tr>
        <w:tc>
          <w:tcPr>
            <w:tcW w:type="dxa" w:w="3135"/>
          </w:tcPr>
          <w:p>
            <w:r>
              <w:t>C-585/18, C-624/18, C-625/18</w:t>
            </w:r>
          </w:p>
        </w:tc>
        <w:tc>
          <w:tcPr>
            <w:tcW w:type="dxa" w:w="3135"/>
          </w:tcPr>
          <w:p>
            <w:r>
              <w:t>TSUE</w:t>
            </w:r>
          </w:p>
        </w:tc>
        <w:tc>
          <w:tcPr>
            <w:tcW w:type="dxa" w:w="3135"/>
          </w:tcPr>
          <w:p>
            <w:r>
              <w:t>Test niezależności — Izba Dyscyplinarna SN</w:t>
            </w:r>
          </w:p>
        </w:tc>
      </w:tr>
      <w:tr>
        <w:tc>
          <w:tcPr>
            <w:tcW w:type="dxa" w:w="3135"/>
          </w:tcPr>
          <w:p>
            <w:r>
              <w:t>C-561/19 Consorzio</w:t>
            </w:r>
          </w:p>
        </w:tc>
        <w:tc>
          <w:tcPr>
            <w:tcW w:type="dxa" w:w="3135"/>
          </w:tcPr>
          <w:p>
            <w:r>
              <w:t>TSUE</w:t>
            </w:r>
          </w:p>
        </w:tc>
        <w:tc>
          <w:tcPr>
            <w:tcW w:type="dxa" w:w="3135"/>
          </w:tcPr>
          <w:p>
            <w:r>
              <w:t>Zakres obowiązku pytania prejudycjalnego</w:t>
            </w:r>
          </w:p>
        </w:tc>
      </w:tr>
      <w:tr>
        <w:tc>
          <w:tcPr>
            <w:tcW w:type="dxa" w:w="3135"/>
          </w:tcPr>
          <w:p>
            <w:r>
              <w:t>II KK 140/21</w:t>
            </w:r>
          </w:p>
        </w:tc>
        <w:tc>
          <w:tcPr>
            <w:tcW w:type="dxa" w:w="3135"/>
          </w:tcPr>
          <w:p>
            <w:r>
              <w:t>SN</w:t>
            </w:r>
          </w:p>
        </w:tc>
        <w:tc>
          <w:tcPr>
            <w:tcW w:type="dxa" w:w="3135"/>
          </w:tcPr>
          <w:p>
            <w:r>
              <w:t>Skład sądu z udziałem sędziego delegowanego</w:t>
            </w:r>
          </w:p>
        </w:tc>
      </w:tr>
      <w:tr>
        <w:tc>
          <w:tcPr>
            <w:tcW w:type="dxa" w:w="3135"/>
          </w:tcPr>
          <w:p>
            <w:r>
              <w:t>Winterwerp p. Holandii</w:t>
            </w:r>
          </w:p>
        </w:tc>
        <w:tc>
          <w:tcPr>
            <w:tcW w:type="dxa" w:w="3135"/>
          </w:tcPr>
          <w:p>
            <w:r>
              <w:t>ETPCz</w:t>
            </w:r>
          </w:p>
        </w:tc>
        <w:tc>
          <w:tcPr>
            <w:tcW w:type="dxa" w:w="3135"/>
          </w:tcPr>
          <w:p>
            <w:r>
              <w:t>Trzy warunki legalności pozbawienia wolności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