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shd w:val="clear" w:color="auto" w:fill="FF6B35"/>
            <w:vAlign w:val="center"/>
          </w:tcPr>
          <w:p>
            <w:pPr>
              <w:jc w:val="left"/>
              <w:spacing w:line="240" w:lineRule="auto" w:before="30" w:after="30"/>
            </w:pPr>
          </w:p>
        </w:tc>
      </w:tr>
      <w:tr>
        <w:tc>
          <w:tcPr>
            <w:tcW w:type="dxa" w:w="864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 w:val="0"/>
                <w:color w:val="1A1A2E"/>
                <w:sz w:val="24"/>
              </w:rPr>
              <w:t>AI PLANNING &amp; GOVERNANCE · FOR DECISION MAKERS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</w:p>
          <w:p>
            <w:pPr>
              <w:spacing w:line="240" w:lineRule="auto" w:before="90" w:after="90"/>
              <w:jc w:val="left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企业 AI 培训 · 高级课程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</w:p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 w:val="0"/>
                <w:color w:val="1A1A2E"/>
                <w:sz w:val="24"/>
              </w:rPr>
              <w:t>算得清账</w:t>
            </w:r>
            <w:r>
              <w:rPr>
                <w:rFonts w:ascii="PingFang SC" w:hAnsi="PingFang SC" w:eastAsia="PingFang SC"/>
                <w:b w:val="0"/>
                <w:color w:val="1A1A2E"/>
                <w:sz w:val="24"/>
              </w:rPr>
              <w:t xml:space="preserve"> · </w:t>
            </w:r>
            <w:r>
              <w:rPr>
                <w:rFonts w:ascii="PingFang SC" w:hAnsi="PingFang SC" w:eastAsia="PingFang SC"/>
                <w:b w:val="0"/>
                <w:color w:val="1A1A2E"/>
                <w:sz w:val="24"/>
              </w:rPr>
              <w:t>搭得起架构</w:t>
            </w:r>
            <w:r>
              <w:rPr>
                <w:rFonts w:ascii="PingFang SC" w:hAnsi="PingFang SC" w:eastAsia="PingFang SC"/>
                <w:b w:val="0"/>
                <w:color w:val="1A1A2E"/>
                <w:sz w:val="24"/>
              </w:rPr>
              <w:t xml:space="preserve"> · </w:t>
            </w:r>
            <w:r>
              <w:rPr>
                <w:rFonts w:ascii="PingFang SC" w:hAnsi="PingFang SC" w:eastAsia="PingFang SC"/>
                <w:b w:val="0"/>
                <w:color w:val="1A1A2E"/>
                <w:sz w:val="24"/>
              </w:rPr>
              <w:t>推得动组织</w:t>
            </w:r>
            <w:r>
              <w:rPr>
                <w:rFonts w:ascii="PingFang SC" w:hAnsi="PingFang SC" w:eastAsia="PingFang SC"/>
                <w:b w:val="0"/>
                <w:color w:val="1A1A2E"/>
                <w:sz w:val="24"/>
              </w:rPr>
              <w:t xml:space="preserve"> · </w:t>
            </w:r>
            <w:r>
              <w:rPr>
                <w:rFonts w:ascii="PingFang SC" w:hAnsi="PingFang SC" w:eastAsia="PingFang SC"/>
                <w:b w:val="0"/>
                <w:color w:val="1A1A2E"/>
                <w:sz w:val="24"/>
              </w:rPr>
              <w:t>守得住底线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</w:p>
          <w:p>
            <w:pPr>
              <w:spacing w:line="240" w:lineRule="auto" w:before="90" w:after="90"/>
              <w:jc w:val="left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面向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CIO / CDO /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厂长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/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高管的战略层课程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——16–24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课时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+ 2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天沙盘工作坊，学完能规划、能治理、能向董事会讲清楚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投资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</w:p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16–24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课时（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7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模块）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· 2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天沙盘工作坊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标杆参访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· 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规划师认证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· [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机构名称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] 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培训团队</w:t>
            </w:r>
          </w:p>
        </w:tc>
      </w:tr>
    </w:tbl>
    <w:p>
      <w:r/>
      <w:r/>
    </w:p>
    <w:p>
      <w:pPr>
        <w:spacing w:after="140"/>
        <w:jc w:val="left"/>
      </w:pPr>
      <w:r>
        <w:rPr>
          <w:rFonts w:ascii="微软雅黑" w:hAnsi="微软雅黑" w:eastAsia="微软雅黑" w:cs="微软雅黑" w:hint="eastAsia"/>
          <w:b/>
          <w:color w:val="1A1A2E"/>
          <w:sz w:val="28"/>
          <w:lang w:eastAsia="zh-CN"/>
        </w:rPr>
        <w:t>目录</w:t>
      </w:r>
    </w:p>
    <w:p>
      <w:pPr>
        <w:pStyle w:val="ListNumber"/>
        <w:numPr>
          <w:ilvl w:val="0"/>
          <w:numId w:val="10"/>
        </w:numPr>
        <w:spacing w:line="420" w:lineRule="auto" w:after="60"/>
        <w:jc w:val="both"/>
      </w:pPr>
      <w:hyperlink w:anchor="section-1">
        <w:r>
          <w:rPr>
            <w:color w:val="0000EE"/>
            <w:u w:val="single"/>
          </w:rPr>
          <w:t>一、为什么高管必须亲自学 AI？</w:t>
        </w:r>
      </w:hyperlink>
    </w:p>
    <w:p>
      <w:pPr>
        <w:pStyle w:val="ListNumber"/>
        <w:numPr>
          <w:ilvl w:val="0"/>
          <w:numId w:val="10"/>
        </w:numPr>
        <w:spacing w:line="420" w:lineRule="auto" w:after="60"/>
        <w:jc w:val="both"/>
      </w:pPr>
      <w:hyperlink w:anchor="section-2">
        <w:r>
          <w:rPr>
            <w:color w:val="0000EE"/>
            <w:u w:val="single"/>
          </w:rPr>
          <w:t>二、课程总览：L4 规划治理层</w:t>
        </w:r>
      </w:hyperlink>
    </w:p>
    <w:p>
      <w:pPr>
        <w:pStyle w:val="ListNumber"/>
        <w:numPr>
          <w:ilvl w:val="0"/>
          <w:numId w:val="10"/>
        </w:numPr>
        <w:spacing w:line="420" w:lineRule="auto" w:after="60"/>
        <w:jc w:val="both"/>
      </w:pPr>
      <w:hyperlink w:anchor="section-3">
        <w:r>
          <w:rPr>
            <w:color w:val="0000EE"/>
            <w:u w:val="single"/>
          </w:rPr>
          <w:t>三、7 大模块：从梯度战略到沙盘推演</w:t>
        </w:r>
      </w:hyperlink>
    </w:p>
    <w:p>
      <w:pPr>
        <w:pStyle w:val="ListNumber"/>
        <w:numPr>
          <w:ilvl w:val="0"/>
          <w:numId w:val="10"/>
        </w:numPr>
        <w:spacing w:line="420" w:lineRule="auto" w:after="60"/>
        <w:jc w:val="both"/>
      </w:pPr>
      <w:hyperlink w:anchor="section-4">
        <w:r>
          <w:rPr>
            <w:color w:val="0000EE"/>
            <w:u w:val="single"/>
          </w:rPr>
          <w:t>四、核心模块：八支柱赋能操作系统</w:t>
        </w:r>
      </w:hyperlink>
    </w:p>
    <w:p>
      <w:pPr>
        <w:pStyle w:val="ListNumber"/>
        <w:numPr>
          <w:ilvl w:val="0"/>
          <w:numId w:val="10"/>
        </w:numPr>
        <w:spacing w:line="420" w:lineRule="auto" w:after="60"/>
        <w:jc w:val="both"/>
      </w:pPr>
      <w:hyperlink w:anchor="section-5">
        <w:r>
          <w:rPr>
            <w:color w:val="0000EE"/>
            <w:u w:val="single"/>
          </w:rPr>
          <w:t>五、三阶段落地节奏：0–30 / 30–90 / 规模化</w:t>
        </w:r>
      </w:hyperlink>
    </w:p>
    <w:p>
      <w:pPr>
        <w:pStyle w:val="ListNumber"/>
        <w:numPr>
          <w:ilvl w:val="0"/>
          <w:numId w:val="10"/>
        </w:numPr>
        <w:spacing w:line="420" w:lineRule="auto" w:after="60"/>
        <w:jc w:val="both"/>
      </w:pPr>
      <w:hyperlink w:anchor="section-6">
        <w:r>
          <w:rPr>
            <w:color w:val="0000EE"/>
            <w:u w:val="single"/>
          </w:rPr>
          <w:t>六、算账体系：制造指标 × 采纳指标</w:t>
        </w:r>
      </w:hyperlink>
    </w:p>
    <w:p>
      <w:pPr>
        <w:pStyle w:val="ListNumber"/>
        <w:numPr>
          <w:ilvl w:val="0"/>
          <w:numId w:val="10"/>
        </w:numPr>
        <w:spacing w:line="420" w:lineRule="auto" w:after="60"/>
        <w:jc w:val="both"/>
      </w:pPr>
      <w:hyperlink w:anchor="section-7">
        <w:r>
          <w:rPr>
            <w:color w:val="0000EE"/>
            <w:u w:val="single"/>
          </w:rPr>
          <w:t>七、治理底线：安全、伦理与合规前瞻</w:t>
        </w:r>
      </w:hyperlink>
    </w:p>
    <w:p>
      <w:pPr>
        <w:pStyle w:val="ListNumber"/>
        <w:numPr>
          <w:ilvl w:val="0"/>
          <w:numId w:val="10"/>
        </w:numPr>
        <w:spacing w:line="420" w:lineRule="auto" w:after="60"/>
        <w:jc w:val="both"/>
      </w:pPr>
      <w:hyperlink w:anchor="section-8">
        <w:r>
          <w:rPr>
            <w:color w:val="0000EE"/>
            <w:u w:val="single"/>
          </w:rPr>
          <w:t>八、政策前瞻：十五五与 AI 治理走向</w:t>
        </w:r>
      </w:hyperlink>
    </w:p>
    <w:p>
      <w:pPr>
        <w:pStyle w:val="ListNumber"/>
        <w:numPr>
          <w:ilvl w:val="0"/>
          <w:numId w:val="10"/>
        </w:numPr>
        <w:spacing w:line="420" w:lineRule="auto" w:after="60"/>
        <w:jc w:val="both"/>
      </w:pPr>
      <w:hyperlink w:anchor="section-9">
        <w:r>
          <w:rPr>
            <w:color w:val="0000EE"/>
            <w:u w:val="single"/>
          </w:rPr>
          <w:t>九、考核与认证：AI 规划师</w:t>
        </w:r>
      </w:hyperlink>
    </w:p>
    <w:p>
      <w:pPr>
        <w:pStyle w:val="ListNumber"/>
        <w:numPr>
          <w:ilvl w:val="0"/>
          <w:numId w:val="10"/>
        </w:numPr>
        <w:spacing w:line="420" w:lineRule="auto" w:after="60"/>
        <w:jc w:val="both"/>
      </w:pPr>
      <w:hyperlink w:anchor="section-10">
        <w:r>
          <w:rPr>
            <w:color w:val="0000EE"/>
            <w:u w:val="single"/>
          </w:rPr>
          <w:t>十、师资与质量保障</w:t>
        </w:r>
      </w:hyperlink>
    </w:p>
    <w:p>
      <w:pPr>
        <w:pStyle w:val="ListNumber"/>
        <w:numPr>
          <w:ilvl w:val="0"/>
          <w:numId w:val="10"/>
        </w:numPr>
        <w:spacing w:line="420" w:lineRule="auto" w:after="60"/>
        <w:jc w:val="both"/>
      </w:pPr>
      <w:hyperlink w:anchor="section-11">
        <w:r>
          <w:rPr>
            <w:color w:val="0000EE"/>
            <w:u w:val="single"/>
          </w:rPr>
          <w:t>十一、规划包：结业即交企业 AI 路线图</w:t>
        </w:r>
      </w:hyperlink>
    </w:p>
    <w:p>
      <w:pPr>
        <w:pStyle w:val="ListNumber"/>
        <w:numPr>
          <w:ilvl w:val="0"/>
          <w:numId w:val="10"/>
        </w:numPr>
        <w:spacing w:line="420" w:lineRule="auto" w:after="60"/>
        <w:jc w:val="both"/>
      </w:pPr>
      <w:hyperlink w:anchor="section-12">
        <w:r>
          <w:rPr>
            <w:color w:val="0000EE"/>
            <w:u w:val="single"/>
          </w:rPr>
          <w:t>十二、预约战略对话</w:t>
        </w:r>
      </w:hyperlink>
    </w:p>
    <w:p>
      <w:bookmarkStart w:id="0" w:name="section-1"/>
      <w:pPr>
        <w:pStyle w:val="Heading2"/>
      </w:pPr>
      <w:bookmarkEnd w:id="0"/>
      <w:r>
        <w:rPr>
          <w:rFonts w:ascii="微软雅黑" w:eastAsia="微软雅黑" w:hAnsi="微软雅黑" w:cs="微软雅黑" w:hint="eastAsia"/>
          <w:color w:val="FF6B35"/>
          <w:lang w:eastAsia="zh-CN"/>
        </w:rPr>
        <w:t>一、</w:t>
      </w:r>
      <w:r>
        <w:rPr>
          <w:rFonts w:ascii="微软雅黑" w:eastAsia="微软雅黑" w:hAnsi="微软雅黑" w:cs="微软雅黑" w:hint="eastAsia"/>
          <w:lang w:eastAsia="zh-CN"/>
        </w:rPr>
        <w:t>为什么高管必须亲自学 AI？</w:t>
      </w:r>
    </w:p>
    <w:p>
      <w:pPr/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投入最大的风险不是技术选错，而是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高管不懂、决策靠听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。四类典型困境：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高管困境</w:t>
            </w:r>
          </w:p>
        </w:tc>
        <w:tc>
          <w:tcPr>
            <w:tcW w:type="dxa" w:w="432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高级课程给什么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投了钱，算不清账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"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H4 ROI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五步测算框架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OEE / MTBF / MAU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双指标体系，先建看板再谈投入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架构听供应商的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"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H2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云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-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边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-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端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大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/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小模型选型判断框架，能听懂并质疑技术方案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系统上了，人不动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"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H5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八支柱赋能操作系统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三阶段节奏，组织级落地有章法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出了事，说不清责任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"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H6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分类分级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幻觉防控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治理体系，底线清晰、问责到人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 xml:space="preserve">高级课程对应五级能力塔的 </w:t>
      </w:r>
      <w:r>
        <w:rPr>
          <w:rFonts w:ascii="微软雅黑" w:eastAsia="微软雅黑" w:hAnsi="微软雅黑" w:cs="微软雅黑" w:hint="eastAsia"/>
          <w:b/>
          <w:color w:val="FF6B35"/>
          <w:lang w:eastAsia="zh-CN"/>
        </w:rPr>
        <w:t>L4 规划治理层</w:t>
      </w:r>
      <w:r>
        <w:rPr>
          <w:rFonts w:ascii="微软雅黑" w:eastAsia="微软雅黑" w:hAnsi="微软雅黑" w:cs="微软雅黑" w:hint="eastAsia"/>
          <w:lang w:eastAsia="zh-CN"/>
        </w:rPr>
        <w:t>，占全体系</w:t>
      </w:r>
      <w:r>
        <w:t xml:space="preserve"> 10% </w:t>
      </w:r>
      <w:r>
        <w:rPr>
          <w:rFonts w:ascii="微软雅黑" w:eastAsia="微软雅黑" w:hAnsi="微软雅黑" w:cs="微软雅黑" w:hint="eastAsia"/>
          <w:lang w:eastAsia="zh-CN"/>
        </w:rPr>
        <w:t>课时，面向最高决策人群。对象是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CIO / CDO / 数字化负责人、厂长、战略与运营高管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不需要会写代码、不需要会调模型，但需要能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算得清账、搭得起架构、推得动组织、守得住底线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  <w:pBdr>
          <w:left w:val="single" w:sz="24" w:space="0" w:color="FF6B35"/>
        </w:pBdr>
        <w:shd w:val="clear" w:color="auto" w:fill="FFF1E9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课程刻意弱化</w:t>
      </w:r>
      <w:r>
        <w:t xml:space="preserve">"AI </w:t>
      </w:r>
      <w:r>
        <w:rPr>
          <w:rFonts w:ascii="微软雅黑" w:eastAsia="微软雅黑" w:hAnsi="微软雅黑" w:cs="微软雅黑" w:hint="eastAsia"/>
          <w:lang w:eastAsia="zh-CN"/>
        </w:rPr>
        <w:t>工厂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的强指向，不绑定某一类产线形态，以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智能工厂梯度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技术</w:t>
      </w:r>
      <w:r>
        <w:t>-</w:t>
      </w:r>
      <w:r>
        <w:rPr>
          <w:rFonts w:ascii="微软雅黑" w:eastAsia="微软雅黑" w:hAnsi="微软雅黑" w:cs="微软雅黑" w:hint="eastAsia"/>
          <w:lang w:eastAsia="zh-CN"/>
        </w:rPr>
        <w:t>行业双线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适配各类制造企业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离散、流程、混合制造都适用。</w:t>
      </w:r>
    </w:p>
    <w:p>
      <w:bookmarkStart w:id="1" w:name="section-2"/>
      <w:pPr>
        <w:pStyle w:val="Heading2"/>
      </w:pPr>
      <w:bookmarkEnd w:id="1"/>
      <w:r>
        <w:rPr>
          <w:rFonts w:ascii="微软雅黑" w:eastAsia="微软雅黑" w:hAnsi="微软雅黑" w:cs="微软雅黑" w:hint="eastAsia"/>
          <w:color w:val="FF6B35"/>
          <w:lang w:eastAsia="zh-CN"/>
        </w:rPr>
        <w:t>二、</w:t>
      </w:r>
      <w:r>
        <w:rPr>
          <w:rFonts w:ascii="微软雅黑" w:eastAsia="微软雅黑" w:hAnsi="微软雅黑" w:cs="微软雅黑" w:hint="eastAsia"/>
          <w:lang w:eastAsia="zh-CN"/>
        </w:rPr>
        <w:t>课程总览：L4 规划治理层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对象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CIO / CDO /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数字化负责人、厂长、战略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/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运营高管（建议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8–15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人小班）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时长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16–24 课时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（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H1–H6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面授）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2 天工作坊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（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H7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沙盘）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标杆参访（可选）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结构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7 大模块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：梯度战略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→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架构选型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→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数据治理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→ ROI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指标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→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八支柱（核心）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→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安全治理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→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沙盘推演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方法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战略层语言讲授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沙盘推演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高管质疑应答演练，全程不写代码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考核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规划方案（沙盘产出）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路线图答辩（高管评委组质询）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认证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高级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"AI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规划师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认证（对标初级通识合格证、中级场景师）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交付物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本企业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规划与路线图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学员手册、标杆案例集、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ROI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看板模板、八支柱工具包</w:t>
            </w:r>
          </w:p>
        </w:tc>
      </w:tr>
    </w:tbl>
    <w:p>
      <w:bookmarkStart w:id="2" w:name="section-3"/>
      <w:pPr>
        <w:pStyle w:val="Heading2"/>
      </w:pPr>
      <w:bookmarkEnd w:id="2"/>
      <w:r>
        <w:rPr>
          <w:rFonts w:ascii="微软雅黑" w:eastAsia="微软雅黑" w:hAnsi="微软雅黑" w:cs="微软雅黑" w:hint="eastAsia"/>
          <w:color w:val="FF6B35"/>
          <w:lang w:eastAsia="zh-CN"/>
        </w:rPr>
        <w:t>三、</w:t>
      </w:r>
      <w:r>
        <w:rPr>
          <w:rFonts w:ascii="微软雅黑" w:eastAsia="微软雅黑" w:hAnsi="微软雅黑" w:cs="微软雅黑" w:hint="eastAsia"/>
          <w:lang w:eastAsia="zh-CN"/>
        </w:rPr>
        <w:t>7 大模块：从梯度战略到沙盘推演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#</w:t>
            </w:r>
          </w:p>
        </w:tc>
        <w:tc>
          <w:tcPr>
            <w:tcW w:type="dxa" w:w="288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模块</w:t>
            </w:r>
          </w:p>
        </w:tc>
        <w:tc>
          <w:tcPr>
            <w:tcW w:type="dxa" w:w="288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学完你能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H1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智能工厂梯度与战略（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3h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用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基础级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→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卓越级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→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领航级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梯度自评本企业位置，看懂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2027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国家政策锚点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H2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技术架构选型（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3h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判断哪些推理放云端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/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边缘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/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终端，理解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能用小模型就别上大模型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的分工逻辑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H3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数据治理与首席数据官（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2h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看懂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DCMM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成熟度跃迁路径，知道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CDO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向谁汇报、与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CIO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怎么分工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H4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项目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ROI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与指标（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3h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建立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OEE / MTBF / MTTR / MAU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双指标看板，用五步框架算清一个项目的回报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H5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组织级赋能操作系统（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4h ·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核心）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用八支柱搭起企业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赋能体系，排出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0–30 / 30–90 /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规模化的落地节奏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H6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安全、伦理与治理（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2h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搭起数据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/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模型分类分级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幻觉防控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治理体系，说清问责与停止条件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H7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沙盘推演与标杆参访（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2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天工作坊）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给本企业定位、算一个真实项目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ROI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、产出一份可上会的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规划路线图</w:t>
            </w:r>
          </w:p>
        </w:tc>
      </w:tr>
    </w:tbl>
    <w:p>
      <w:bookmarkStart w:id="3" w:name="section-4"/>
      <w:pPr>
        <w:pStyle w:val="Heading2"/>
      </w:pPr>
      <w:bookmarkEnd w:id="3"/>
      <w:r>
        <w:rPr>
          <w:rFonts w:ascii="微软雅黑" w:eastAsia="微软雅黑" w:hAnsi="微软雅黑" w:cs="微软雅黑" w:hint="eastAsia"/>
          <w:color w:val="FF6B35"/>
          <w:lang w:eastAsia="zh-CN"/>
        </w:rPr>
        <w:t>四、</w:t>
      </w:r>
      <w:r>
        <w:rPr>
          <w:rFonts w:ascii="微软雅黑" w:eastAsia="微软雅黑" w:hAnsi="微软雅黑" w:cs="微软雅黑" w:hint="eastAsia"/>
          <w:lang w:eastAsia="zh-CN"/>
        </w:rPr>
        <w:t>核心模块：八支柱赋能操作系统</w:t>
      </w:r>
    </w:p>
    <w:p>
      <w:pPr/>
      <w:r>
        <w:t xml:space="preserve">H5 </w:t>
      </w:r>
      <w:r>
        <w:rPr>
          <w:rFonts w:ascii="微软雅黑" w:eastAsia="微软雅黑" w:hAnsi="微软雅黑" w:cs="微软雅黑" w:hint="eastAsia"/>
          <w:lang w:eastAsia="zh-CN"/>
        </w:rPr>
        <w:t>是整门课的操作系统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改编自</w:t>
      </w:r>
      <w:r>
        <w:t xml:space="preserve"> GitHub </w:t>
      </w:r>
      <w:r>
        <w:rPr>
          <w:rFonts w:ascii="微软雅黑" w:eastAsia="微软雅黑" w:hAnsi="微软雅黑" w:cs="微软雅黑" w:hint="eastAsia"/>
          <w:lang w:eastAsia="zh-CN"/>
        </w:rPr>
        <w:t>企业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赋能八支柱，解决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系统上了，人不动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这个企业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落地第一大坑：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#</w:t>
            </w:r>
          </w:p>
        </w:tc>
        <w:tc>
          <w:tcPr>
            <w:tcW w:type="dxa" w:w="288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支柱</w:t>
            </w:r>
          </w:p>
        </w:tc>
        <w:tc>
          <w:tcPr>
            <w:tcW w:type="dxa" w:w="288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一句话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倡导者（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Advocates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从业务一线提拔、带动同伴的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火种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"——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不是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IT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部门的事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实践社区（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CoP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跨部门的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用法共享与答疑场，经验不留在个人手里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L&amp;D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学习发展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把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素养纳入人才供应链，新人入职即有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基础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分级工具政策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按数据敏感度分级开放工具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——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既防影子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AI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，又不一刀切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DRI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专职责任人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每个关键举措有且只有一个唯一责任人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高管背书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一把手持续发声、资源兜底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——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不是发个红头文件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数据驱动指标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用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MAU / MEU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、用户分层、业务影响看板度量，不凭感觉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负责任使用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合规、安全、伦理的护栏，和扩张速度同步建设</w:t>
            </w:r>
          </w:p>
        </w:tc>
      </w:tr>
    </w:tbl>
    <w:p>
      <w:pPr>
        <w:jc w:val="left"/>
        <w:pBdr>
          <w:left w:val="single" w:sz="24" w:space="0" w:color="FF6B35"/>
        </w:pBdr>
        <w:shd w:val="clear" w:color="auto" w:fill="FFF1E9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八支柱不是八张海报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课程给到的是每个支柱的</w:t>
      </w:r>
      <w:r>
        <w:rPr>
          <w:rFonts w:ascii="微软雅黑" w:eastAsia="微软雅黑" w:hAnsi="微软雅黑" w:cs="微软雅黑" w:hint="eastAsia"/>
          <w:b/>
          <w:lang w:eastAsia="zh-CN"/>
        </w:rPr>
        <w:t>落地工具包</w:t>
      </w:r>
      <w:r>
        <w:rPr>
          <w:rFonts w:ascii="微软雅黑" w:eastAsia="微软雅黑" w:hAnsi="微软雅黑" w:cs="微软雅黑" w:hint="eastAsia"/>
          <w:lang w:eastAsia="zh-CN"/>
        </w:rPr>
        <w:t>：倡导者手册、实践社区章程、分级工具政策模板、指标看板模板，拿回去就能用。</w:t>
      </w:r>
    </w:p>
    <w:p>
      <w:bookmarkStart w:id="4" w:name="section-5"/>
      <w:pPr>
        <w:pStyle w:val="Heading2"/>
      </w:pPr>
      <w:bookmarkEnd w:id="4"/>
      <w:r>
        <w:rPr>
          <w:rFonts w:ascii="微软雅黑" w:eastAsia="微软雅黑" w:hAnsi="微软雅黑" w:cs="微软雅黑" w:hint="eastAsia"/>
          <w:color w:val="FF6B35"/>
          <w:lang w:eastAsia="zh-CN"/>
        </w:rPr>
        <w:t>五、</w:t>
      </w:r>
      <w:r>
        <w:rPr>
          <w:rFonts w:ascii="微软雅黑" w:eastAsia="微软雅黑" w:hAnsi="微软雅黑" w:cs="微软雅黑" w:hint="eastAsia"/>
          <w:lang w:eastAsia="zh-CN"/>
        </w:rPr>
        <w:t>三阶段落地节奏：0–30 / 30–90 / 规模化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阶段</w:t>
            </w:r>
          </w:p>
        </w:tc>
        <w:tc>
          <w:tcPr>
            <w:tcW w:type="dxa" w:w="432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关键动作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0–30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天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·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奠基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高管赞助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DRI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就位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分级工具政策发布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指标基线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全员发布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30–90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天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·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起势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倡导者计划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实践社区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资源中心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标杆秀（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showcase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持续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·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规模化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培训培训师（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Train-the-Trainer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）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+ ROI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看板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定期问卷迭代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每阶段配指标看板：采纳率（</w:t>
      </w:r>
      <w:r>
        <w:t>MAU / MEU</w:t>
      </w:r>
      <w:r>
        <w:rPr>
          <w:rFonts w:ascii="微软雅黑" w:eastAsia="微软雅黑" w:hAnsi="微软雅黑" w:cs="微软雅黑" w:hint="eastAsia"/>
          <w:lang w:eastAsia="zh-CN"/>
        </w:rPr>
        <w:t>）、用户分层（铁粉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偶尔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尝鲜）、业务影响（</w:t>
      </w:r>
      <w:r>
        <w:t>OEE</w:t>
      </w:r>
      <w:r>
        <w:rPr>
          <w:rFonts w:ascii="微软雅黑" w:eastAsia="微软雅黑" w:hAnsi="微软雅黑" w:cs="微软雅黑" w:hint="eastAsia"/>
          <w:lang w:eastAsia="zh-CN"/>
        </w:rPr>
        <w:t>、停机、不良、能耗）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先有基线，再谈改进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5" w:name="section-6"/>
      <w:pPr>
        <w:pStyle w:val="Heading2"/>
      </w:pPr>
      <w:bookmarkEnd w:id="5"/>
      <w:r>
        <w:rPr>
          <w:rFonts w:ascii="微软雅黑" w:eastAsia="微软雅黑" w:hAnsi="微软雅黑" w:cs="微软雅黑" w:hint="eastAsia"/>
          <w:color w:val="FF6B35"/>
          <w:lang w:eastAsia="zh-CN"/>
        </w:rPr>
        <w:t>六、</w:t>
      </w:r>
      <w:r>
        <w:rPr>
          <w:rFonts w:ascii="微软雅黑" w:eastAsia="微软雅黑" w:hAnsi="微软雅黑" w:cs="微软雅黑" w:hint="eastAsia"/>
          <w:lang w:eastAsia="zh-CN"/>
        </w:rPr>
        <w:t>算账体系：制造指标 × 采纳指标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高管最常犯的错，是用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系统上线数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汇报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进展。本课程给两套指标，一套对产线、一套对组织：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体系</w:t>
            </w:r>
          </w:p>
        </w:tc>
        <w:tc>
          <w:tcPr>
            <w:tcW w:type="dxa" w:w="288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指标</w:t>
            </w:r>
          </w:p>
        </w:tc>
        <w:tc>
          <w:tcPr>
            <w:tcW w:type="dxa" w:w="288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用途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制造核心指标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OEE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（可用率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×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性能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×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质量）、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MTBF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、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MTTR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、不良率、单位能耗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衡量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项目对产线的真实影响，做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ROI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的分子分母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采纳指标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MAU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（月活用户）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/ MEU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（月活跃工程用户）、用户分层（铁粉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/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偶尔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/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尝鲜）、业务影响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衡量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在组织里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活没活起来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，防止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建而不用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"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ROI 五步测算框架</w:t>
      </w:r>
      <w:r>
        <w:rPr>
          <w:rFonts w:ascii="微软雅黑" w:eastAsia="微软雅黑" w:hAnsi="微软雅黑" w:cs="微软雅黑" w:hint="eastAsia"/>
          <w:lang w:eastAsia="zh-CN"/>
        </w:rPr>
        <w:t>：基线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实验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价值量化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危害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成本扣减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投资回收期。高管视角的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算不清账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破局思路只有一句话：</w:t>
      </w:r>
      <w:r>
        <w:rPr>
          <w:rFonts w:ascii="微软雅黑" w:eastAsia="微软雅黑" w:hAnsi="微软雅黑" w:cs="微软雅黑" w:hint="eastAsia"/>
          <w:b/>
          <w:lang w:eastAsia="zh-CN"/>
        </w:rPr>
        <w:t>先建指标看板，再谈投入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6" w:name="section-7"/>
      <w:pPr>
        <w:pStyle w:val="Heading2"/>
      </w:pPr>
      <w:bookmarkEnd w:id="6"/>
      <w:r>
        <w:rPr>
          <w:rFonts w:ascii="微软雅黑" w:eastAsia="微软雅黑" w:hAnsi="微软雅黑" w:cs="微软雅黑" w:hint="eastAsia"/>
          <w:color w:val="FF6B35"/>
          <w:lang w:eastAsia="zh-CN"/>
        </w:rPr>
        <w:t>七、</w:t>
      </w:r>
      <w:r>
        <w:rPr>
          <w:rFonts w:ascii="微软雅黑" w:eastAsia="微软雅黑" w:hAnsi="微软雅黑" w:cs="微软雅黑" w:hint="eastAsia"/>
          <w:lang w:eastAsia="zh-CN"/>
        </w:rPr>
        <w:t>治理底线：安全、伦理与合规前瞻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议题</w:t>
            </w:r>
          </w:p>
        </w:tc>
        <w:tc>
          <w:tcPr>
            <w:tcW w:type="dxa" w:w="432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课程给什么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分类分级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数据与模型的分类分级管理框架，车间数据不出厂的架构选项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幻觉防控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人在回路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置信度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证据链；安全关键场景处置权归人，写进制度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AI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伦理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公平、可解释、问责、不替代人的判断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——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四条底线怎么落到评审流程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合规体系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对标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NIST AI RMF"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映射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-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度量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-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管理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，搭企业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治理体系；算法备案、数据出境等监管走向前瞻</w:t>
            </w:r>
          </w:p>
        </w:tc>
      </w:tr>
    </w:tbl>
    <w:p>
      <w:bookmarkStart w:id="7" w:name="section-8"/>
      <w:pPr>
        <w:pStyle w:val="Heading2"/>
      </w:pPr>
      <w:bookmarkEnd w:id="7"/>
      <w:r>
        <w:rPr>
          <w:rFonts w:ascii="微软雅黑" w:eastAsia="微软雅黑" w:hAnsi="微软雅黑" w:cs="微软雅黑" w:hint="eastAsia"/>
          <w:color w:val="FF6B35"/>
          <w:lang w:eastAsia="zh-CN"/>
        </w:rPr>
        <w:t>八、</w:t>
      </w:r>
      <w:r>
        <w:rPr>
          <w:rFonts w:ascii="微软雅黑" w:eastAsia="微软雅黑" w:hAnsi="微软雅黑" w:cs="微软雅黑" w:hint="eastAsia"/>
          <w:lang w:eastAsia="zh-CN"/>
        </w:rPr>
        <w:t>政策前瞻：十五五与 AI 治理走向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政策螺旋的三层分工：初级讲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为什么学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，中级讲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怎么拿资源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，高级只讲一件事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未来怎么变、怎么合规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政策</w:t>
            </w:r>
          </w:p>
        </w:tc>
        <w:tc>
          <w:tcPr>
            <w:tcW w:type="dxa" w:w="288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文号</w:t>
            </w:r>
          </w:p>
        </w:tc>
        <w:tc>
          <w:tcPr>
            <w:tcW w:type="dxa" w:w="288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高级视角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国务院《关于深入实施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人工智能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+"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行动的意见》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国发〔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2025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〕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11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号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十五五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与制造业融合趋势判断，企业战略怎么卡位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八部门《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人工智能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+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制造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专项行动实施意见》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工信部联科〔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2025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〕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279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号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2027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锚点（约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1000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个工业智能体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/ 500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个典型场景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/ 1000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家标杆企业，量级）：申报窗口期判断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工信部《工业互联网和人工智能融合赋能行动方案》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工信厅信管〔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2025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〕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76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号</w:t>
            </w:r>
          </w:p>
        </w:tc>
        <w:tc>
          <w:tcPr>
            <w:tcW w:type="dxa" w:w="288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数据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/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网络底座投资节奏与合规要求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配套前瞻：算法备案、数据出境、行业监管走向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帮高管判断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哪些现在就能做、哪些等细则、哪些别碰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8" w:name="section-9"/>
      <w:pPr>
        <w:pStyle w:val="Heading2"/>
      </w:pPr>
      <w:bookmarkEnd w:id="8"/>
      <w:r>
        <w:rPr>
          <w:rFonts w:ascii="微软雅黑" w:eastAsia="微软雅黑" w:hAnsi="微软雅黑" w:cs="微软雅黑" w:hint="eastAsia"/>
          <w:color w:val="FF6B35"/>
          <w:lang w:eastAsia="zh-CN"/>
        </w:rPr>
        <w:t>九、</w:t>
      </w:r>
      <w:r>
        <w:rPr>
          <w:rFonts w:ascii="微软雅黑" w:eastAsia="微软雅黑" w:hAnsi="微软雅黑" w:cs="微软雅黑" w:hint="eastAsia"/>
          <w:lang w:eastAsia="zh-CN"/>
        </w:rPr>
        <w:t>考核与认证：AI 规划师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考核项</w:t>
            </w:r>
          </w:p>
        </w:tc>
        <w:tc>
          <w:tcPr>
            <w:tcW w:type="dxa" w:w="432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形式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规划方案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沙盘产出：梯度定位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架构选型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ROI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测算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路线图，一套完整的企业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规划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路线图答辩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面向高管评委组答辩质询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——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用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向董事会汇报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的标准要求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认证</w:t>
      </w:r>
      <w:r>
        <w:rPr>
          <w:rFonts w:ascii="微软雅黑" w:eastAsia="微软雅黑" w:hAnsi="微软雅黑" w:cs="微软雅黑" w:hint="eastAsia"/>
          <w:lang w:eastAsia="zh-CN"/>
        </w:rPr>
        <w:t>：通过即发高级</w:t>
      </w:r>
      <w:r>
        <w:t xml:space="preserve">"AI </w:t>
      </w:r>
      <w:r>
        <w:rPr>
          <w:rFonts w:ascii="微软雅黑" w:eastAsia="微软雅黑" w:hAnsi="微软雅黑" w:cs="微软雅黑" w:hint="eastAsia"/>
          <w:lang w:eastAsia="zh-CN"/>
        </w:rPr>
        <w:t>规划师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认证（对标初级《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通识合格证》、中级《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场景师》）。随课交付：学员手册、标杆案例集、</w:t>
      </w:r>
      <w:r>
        <w:t xml:space="preserve">ROI </w:t>
      </w:r>
      <w:r>
        <w:rPr>
          <w:rFonts w:ascii="微软雅黑" w:eastAsia="微软雅黑" w:hAnsi="微软雅黑" w:cs="微软雅黑" w:hint="eastAsia"/>
          <w:lang w:eastAsia="zh-CN"/>
        </w:rPr>
        <w:t>看板模板、八支柱工具包（倡导者手册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社区章程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分级政策模板）。</w:t>
      </w:r>
    </w:p>
    <w:p>
      <w:bookmarkStart w:id="9" w:name="section-10"/>
      <w:pPr>
        <w:pStyle w:val="Heading2"/>
      </w:pPr>
      <w:bookmarkEnd w:id="9"/>
      <w:r>
        <w:rPr>
          <w:rFonts w:ascii="微软雅黑" w:eastAsia="微软雅黑" w:hAnsi="微软雅黑" w:cs="微软雅黑" w:hint="eastAsia"/>
          <w:color w:val="FF6B35"/>
          <w:lang w:eastAsia="zh-CN"/>
        </w:rPr>
        <w:t>十、</w:t>
      </w:r>
      <w:r>
        <w:rPr>
          <w:rFonts w:ascii="微软雅黑" w:eastAsia="微软雅黑" w:hAnsi="微软雅黑" w:cs="微软雅黑" w:hint="eastAsia"/>
          <w:lang w:eastAsia="zh-CN"/>
        </w:rPr>
        <w:t>师资与质量保障</w:t>
      </w:r>
    </w:p>
    <w:p>
      <w:pPr>
        <w:pStyle w:val="ListBullet"/>
        <w:spacing w:line="420" w:lineRule="auto" w:after="96"/>
        <w:jc w:val="both"/>
      </w:pPr>
      <w:r>
        <w:rPr>
          <w:rFonts w:ascii="微软雅黑" w:eastAsia="微软雅黑" w:hAnsi="微软雅黑" w:cs="微软雅黑" w:hint="eastAsia"/>
          <w:b/>
          <w:color w:val="1A1A2E"/>
          <w:sz w:val="24"/>
          <w:lang w:eastAsia="zh-CN"/>
        </w:rPr>
        <w:t>小班制</w:t>
      </w:r>
      <w:r>
        <w:rPr>
          <w:color w:val="1A1A2E"/>
          <w:sz w:val="24"/>
        </w:rPr>
        <w:t>——</w:t>
      </w:r>
      <w:r>
        <w:rPr>
          <w:rFonts w:ascii="微软雅黑" w:eastAsia="微软雅黑" w:hAnsi="微软雅黑" w:cs="微软雅黑" w:hint="eastAsia"/>
          <w:color w:val="1A1A2E"/>
          <w:sz w:val="24"/>
          <w:lang w:eastAsia="zh-CN"/>
        </w:rPr>
        <w:t>建议</w:t>
      </w:r>
      <w:r>
        <w:rPr>
          <w:color w:val="1A1A2E"/>
          <w:sz w:val="24"/>
        </w:rPr>
        <w:t xml:space="preserve"> 8–15 </w:t>
      </w:r>
      <w:r>
        <w:rPr>
          <w:rFonts w:ascii="微软雅黑" w:eastAsia="微软雅黑" w:hAnsi="微软雅黑" w:cs="微软雅黑" w:hint="eastAsia"/>
          <w:color w:val="1A1A2E"/>
          <w:sz w:val="24"/>
          <w:lang w:eastAsia="zh-CN"/>
        </w:rPr>
        <w:t>人，只收决策相关人，保证沙盘质询质量。</w:t>
      </w:r>
    </w:p>
    <w:p>
      <w:pPr>
        <w:pStyle w:val="ListBullet"/>
        <w:spacing w:line="420" w:lineRule="auto" w:after="96"/>
        <w:jc w:val="both"/>
      </w:pPr>
      <w:r>
        <w:rPr>
          <w:rFonts w:ascii="微软雅黑" w:eastAsia="微软雅黑" w:hAnsi="微软雅黑" w:cs="微软雅黑" w:hint="eastAsia"/>
          <w:b/>
          <w:color w:val="1A1A2E"/>
          <w:sz w:val="24"/>
          <w:lang w:eastAsia="zh-CN"/>
        </w:rPr>
        <w:t>战略顾问级讲师</w:t>
      </w:r>
      <w:r>
        <w:rPr>
          <w:color w:val="1A1A2E"/>
          <w:sz w:val="24"/>
        </w:rPr>
        <w:t>——</w:t>
      </w:r>
      <w:r>
        <w:rPr>
          <w:rFonts w:ascii="微软雅黑" w:eastAsia="微软雅黑" w:hAnsi="微软雅黑" w:cs="微软雅黑" w:hint="eastAsia"/>
          <w:color w:val="1A1A2E"/>
          <w:sz w:val="24"/>
          <w:lang w:eastAsia="zh-CN"/>
        </w:rPr>
        <w:t>数字化战略</w:t>
      </w:r>
      <w:r>
        <w:rPr>
          <w:color w:val="1A1A2E"/>
          <w:sz w:val="24"/>
        </w:rPr>
        <w:t xml:space="preserve"> + AI </w:t>
      </w:r>
      <w:r>
        <w:rPr>
          <w:rFonts w:ascii="微软雅黑" w:eastAsia="微软雅黑" w:hAnsi="微软雅黑" w:cs="微软雅黑" w:hint="eastAsia"/>
          <w:color w:val="1A1A2E"/>
          <w:sz w:val="24"/>
          <w:lang w:eastAsia="zh-CN"/>
        </w:rPr>
        <w:t>治理双背景，主讲内容经三方审校（</w:t>
      </w:r>
      <w:r>
        <w:rPr>
          <w:color w:val="1A1A2E"/>
          <w:sz w:val="24"/>
        </w:rPr>
        <w:t xml:space="preserve">AI </w:t>
      </w:r>
      <w:r>
        <w:rPr>
          <w:rFonts w:ascii="微软雅黑" w:eastAsia="微软雅黑" w:hAnsi="微软雅黑" w:cs="微软雅黑" w:hint="eastAsia"/>
          <w:color w:val="1A1A2E"/>
          <w:sz w:val="24"/>
          <w:lang w:eastAsia="zh-CN"/>
        </w:rPr>
        <w:t>培训专家</w:t>
      </w:r>
      <w:r>
        <w:rPr>
          <w:color w:val="1A1A2E"/>
          <w:sz w:val="24"/>
        </w:rPr>
        <w:t xml:space="preserve"> + </w:t>
      </w:r>
      <w:r>
        <w:rPr>
          <w:rFonts w:ascii="微软雅黑" w:eastAsia="微软雅黑" w:hAnsi="微软雅黑" w:cs="微软雅黑" w:hint="eastAsia"/>
          <w:color w:val="1A1A2E"/>
          <w:sz w:val="24"/>
          <w:lang w:eastAsia="zh-CN"/>
        </w:rPr>
        <w:t>制造业内训讲师</w:t>
      </w:r>
      <w:r>
        <w:rPr>
          <w:color w:val="1A1A2E"/>
          <w:sz w:val="24"/>
        </w:rPr>
        <w:t xml:space="preserve"> + </w:t>
      </w:r>
      <w:r>
        <w:rPr>
          <w:rFonts w:ascii="微软雅黑" w:eastAsia="微软雅黑" w:hAnsi="微软雅黑" w:cs="微软雅黑" w:hint="eastAsia"/>
          <w:color w:val="1A1A2E"/>
          <w:sz w:val="24"/>
          <w:lang w:eastAsia="zh-CN"/>
        </w:rPr>
        <w:t>数字化战略顾问）。</w:t>
      </w:r>
    </w:p>
    <w:p>
      <w:pPr>
        <w:pStyle w:val="ListBullet"/>
        <w:spacing w:line="420" w:lineRule="auto" w:after="96"/>
        <w:jc w:val="both"/>
      </w:pPr>
      <w:r>
        <w:rPr>
          <w:rFonts w:ascii="微软雅黑" w:eastAsia="微软雅黑" w:hAnsi="微软雅黑" w:cs="微软雅黑" w:hint="eastAsia"/>
          <w:b/>
          <w:color w:val="1A1A2E"/>
          <w:sz w:val="24"/>
          <w:lang w:eastAsia="zh-CN"/>
        </w:rPr>
        <w:t>标杆真拆</w:t>
      </w:r>
      <w:r>
        <w:rPr>
          <w:color w:val="1A1A2E"/>
          <w:sz w:val="24"/>
        </w:rPr>
        <w:t>——</w:t>
      </w:r>
      <w:r>
        <w:rPr>
          <w:rFonts w:ascii="微软雅黑" w:eastAsia="微软雅黑" w:hAnsi="微软雅黑" w:cs="微软雅黑" w:hint="eastAsia"/>
          <w:color w:val="1A1A2E"/>
          <w:sz w:val="24"/>
          <w:lang w:eastAsia="zh-CN"/>
        </w:rPr>
        <w:t>陕汽</w:t>
      </w:r>
      <w:r>
        <w:rPr>
          <w:color w:val="1A1A2E"/>
          <w:sz w:val="24"/>
        </w:rPr>
        <w:t>"</w:t>
      </w:r>
      <w:r>
        <w:rPr>
          <w:rFonts w:ascii="微软雅黑" w:eastAsia="微软雅黑" w:hAnsi="微软雅黑" w:cs="微软雅黑" w:hint="eastAsia"/>
          <w:color w:val="1A1A2E"/>
          <w:sz w:val="24"/>
          <w:lang w:eastAsia="zh-CN"/>
        </w:rPr>
        <w:t>数字工匠</w:t>
      </w:r>
      <w:r>
        <w:rPr>
          <w:color w:val="1A1A2E"/>
          <w:sz w:val="24"/>
        </w:rPr>
        <w:t xml:space="preserve"> / </w:t>
      </w:r>
      <w:r>
        <w:rPr>
          <w:rFonts w:ascii="微软雅黑" w:eastAsia="微软雅黑" w:hAnsi="微软雅黑" w:cs="微软雅黑" w:hint="eastAsia"/>
          <w:color w:val="1A1A2E"/>
          <w:sz w:val="24"/>
          <w:lang w:eastAsia="zh-CN"/>
        </w:rPr>
        <w:t>青蓝蓄能站</w:t>
      </w:r>
      <w:r>
        <w:rPr>
          <w:color w:val="1A1A2E"/>
          <w:sz w:val="24"/>
        </w:rPr>
        <w:t>"</w:t>
      </w:r>
      <w:r>
        <w:rPr>
          <w:rFonts w:ascii="微软雅黑" w:eastAsia="微软雅黑" w:hAnsi="微软雅黑" w:cs="微软雅黑" w:hint="eastAsia"/>
          <w:color w:val="1A1A2E"/>
          <w:sz w:val="24"/>
          <w:lang w:eastAsia="zh-CN"/>
        </w:rPr>
        <w:t>晋级路径</w:t>
      </w:r>
      <w:r>
        <w:rPr>
          <w:color w:val="1A1A2E"/>
          <w:sz w:val="24"/>
        </w:rPr>
        <w:t xml:space="preserve"> + WEF </w:t>
      </w:r>
      <w:r>
        <w:rPr>
          <w:rFonts w:ascii="微软雅黑" w:eastAsia="微软雅黑" w:hAnsi="微软雅黑" w:cs="微软雅黑" w:hint="eastAsia"/>
          <w:color w:val="1A1A2E"/>
          <w:sz w:val="24"/>
          <w:lang w:eastAsia="zh-CN"/>
        </w:rPr>
        <w:t>灯塔工厂（全球</w:t>
      </w:r>
      <w:r>
        <w:rPr>
          <w:color w:val="1A1A2E"/>
          <w:sz w:val="24"/>
        </w:rPr>
        <w:t xml:space="preserve"> 220+ </w:t>
      </w:r>
      <w:r>
        <w:rPr>
          <w:rFonts w:ascii="微软雅黑" w:eastAsia="微软雅黑" w:hAnsi="微软雅黑" w:cs="微软雅黑" w:hint="eastAsia"/>
          <w:color w:val="1A1A2E"/>
          <w:sz w:val="24"/>
          <w:lang w:eastAsia="zh-CN"/>
        </w:rPr>
        <w:t>站点）梯度跃迁逻辑，拆到组织打法层。</w:t>
      </w:r>
    </w:p>
    <w:p>
      <w:pPr>
        <w:pStyle w:val="ListBullet"/>
        <w:spacing w:line="420" w:lineRule="auto" w:after="96"/>
        <w:jc w:val="both"/>
      </w:pPr>
      <w:r>
        <w:rPr>
          <w:rFonts w:ascii="微软雅黑" w:eastAsia="微软雅黑" w:hAnsi="微软雅黑" w:cs="微软雅黑" w:hint="eastAsia"/>
          <w:b/>
          <w:color w:val="1A1A2E"/>
          <w:sz w:val="24"/>
          <w:lang w:eastAsia="zh-CN"/>
        </w:rPr>
        <w:t>溯源合规</w:t>
      </w:r>
      <w:r>
        <w:rPr>
          <w:color w:val="1A1A2E"/>
          <w:sz w:val="24"/>
        </w:rPr>
        <w:t>——</w:t>
      </w:r>
      <w:r>
        <w:rPr>
          <w:rFonts w:ascii="微软雅黑" w:eastAsia="微软雅黑" w:hAnsi="微软雅黑" w:cs="微软雅黑" w:hint="eastAsia"/>
          <w:color w:val="1A1A2E"/>
          <w:sz w:val="24"/>
          <w:lang w:eastAsia="zh-CN"/>
        </w:rPr>
        <w:t>八支柱方法论、政策锚点、标杆数据均注明出处，客户尽调可查。</w:t>
      </w:r>
    </w:p>
    <w:p>
      <w:bookmarkStart w:id="10" w:name="section-11"/>
      <w:pPr>
        <w:pStyle w:val="Heading2"/>
      </w:pPr>
      <w:bookmarkEnd w:id="10"/>
      <w:r>
        <w:rPr>
          <w:rFonts w:ascii="微软雅黑" w:eastAsia="微软雅黑" w:hAnsi="微软雅黑" w:cs="微软雅黑" w:hint="eastAsia"/>
          <w:color w:val="FF6B35"/>
          <w:lang w:eastAsia="zh-CN"/>
        </w:rPr>
        <w:t>十一、</w:t>
      </w:r>
      <w:r>
        <w:rPr>
          <w:rFonts w:ascii="微软雅黑" w:eastAsia="微软雅黑" w:hAnsi="微软雅黑" w:cs="微软雅黑" w:hint="eastAsia"/>
          <w:lang w:eastAsia="zh-CN"/>
        </w:rPr>
        <w:t>规划包：结业即交企业 AI 路线图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6B35"/>
            <w:vAlign w:val="center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30" w:after="30"/>
            </w:pPr>
            <w:r>
              <w:rPr>
                <w:rFonts w:ascii="阿里巴巴普惠体" w:hAnsi="阿里巴巴普惠体" w:eastAsia="阿里巴巴普惠体"/>
                <w:b/>
                <w:color w:val="F8F8F8"/>
                <w:sz w:val="2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适合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已完成初级普及、中级骨干落地，需要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一把手工程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级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战略的企业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形态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16–24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课时面授（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H1–H6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，可拆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2–4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天高管研讨）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+ 2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天沙盘工作坊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标杆参访（可选）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包含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7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模块授课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梯度自评工具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ROI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看板模板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八支柱工具包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+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高管质询答辩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交付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一份可直接上董事会的本企业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AI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规划与路线图（含梯度定位、架构选型、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ROI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测算、三阶段节奏）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1E9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后续</w:t>
            </w:r>
          </w:p>
        </w:tc>
        <w:tc>
          <w:tcPr>
            <w:tcW w:type="dxa" w:w="4320"/>
            <w:vAlign w:val="center"/>
            <w:tcBorders>
              <w:top w:val="single" w:sz="6" w:space="0" w:color="E8E2DC"/>
              <w:bottom w:val="single" w:sz="6" w:space="0" w:color="E8E2DC"/>
              <w:left w:val="single" w:sz="6" w:space="0" w:color="E8E2DC"/>
              <w:right w:val="single" w:sz="6" w:space="0" w:color="E8E2DC"/>
            </w:tcBorders>
            <w:shd w:val="clear" w:color="auto" w:fill="FFFFFF"/>
            <w:tcMar>
              <w:top w:w="132" w:type="dxa"/>
              <w:bottom w:w="13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路线图落地期，讲师团队按季度回看指标看板，支持八支柱运营迭代</w:t>
            </w:r>
          </w:p>
        </w:tc>
      </w:tr>
    </w:tbl>
    <w:p>
      <w:pPr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  <w:spacing w:before="720" w:after="720"/>
      </w:pPr>
    </w:p>
    <w:p>
      <w:bookmarkStart w:id="11" w:name="section-12"/>
      <w:pPr>
        <w:pStyle w:val="Heading2"/>
      </w:pPr>
      <w:bookmarkEnd w:id="11"/>
      <w:r>
        <w:rPr>
          <w:rFonts w:ascii="微软雅黑" w:eastAsia="微软雅黑" w:hAnsi="微软雅黑" w:cs="微软雅黑" w:hint="eastAsia"/>
          <w:color w:val="FF6B35"/>
          <w:lang w:eastAsia="zh-CN"/>
        </w:rPr>
        <w:t>十二、</w:t>
      </w:r>
      <w:r>
        <w:rPr>
          <w:rFonts w:ascii="微软雅黑" w:eastAsia="微软雅黑" w:hAnsi="微软雅黑" w:cs="微软雅黑" w:hint="eastAsia"/>
          <w:lang w:eastAsia="zh-CN"/>
        </w:rPr>
        <w:t>预约战略对话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shd w:val="clear" w:color="auto" w:fill="FF6B35"/>
            <w:vAlign w:val="center"/>
          </w:tcPr>
          <w:p>
            <w:pPr>
              <w:jc w:val="left"/>
              <w:spacing w:line="240" w:lineRule="auto" w:before="30" w:after="30"/>
            </w:pPr>
          </w:p>
        </w:tc>
      </w:tr>
      <w:tr>
        <w:tc>
          <w:tcPr>
            <w:tcW w:type="dxa" w:w="8640"/>
            <w:vAlign w:val="center"/>
            <w:tcBorders>
              <w:top w:val="single" w:sz="6" w:space="0" w:color="FF6B35"/>
              <w:bottom w:val="single" w:sz="6" w:space="0" w:color="FF6B35"/>
              <w:left w:val="single" w:sz="6" w:space="0" w:color="FF6B35"/>
              <w:right w:val="single" w:sz="6" w:space="0" w:color="FF6B35"/>
            </w:tcBorders>
            <w:shd w:val="clear" w:color="auto" w:fill="FFF1E9"/>
            <w:tcMar>
              <w:top w:w="480" w:type="dxa"/>
              <w:bottom w:w="480" w:type="dxa"/>
              <w:left w:w="480" w:type="dxa"/>
              <w:right w:w="480" w:type="dxa"/>
            </w:tcMar>
          </w:tcPr>
          <w:p>
            <w:pPr>
              <w:jc w:val="left"/>
              <w:spacing w:line="240" w:lineRule="auto" w:before="90" w:after="90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1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次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 xml:space="preserve"> 90 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分钟高管战略对话：带你们的企业数据来，现场做一次梯度自评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</w:p>
          <w:p>
            <w:pPr>
              <w:spacing w:line="240" w:lineRule="auto" w:before="90" w:after="90"/>
              <w:jc w:val="left"/>
            </w:pPr>
            <w:r>
              <w:rPr>
                <w:rFonts w:ascii="PingFang SC" w:hAnsi="PingFang SC" w:eastAsia="PingFang SC"/>
                <w:color w:val="1A1A2E"/>
                <w:sz w:val="24"/>
              </w:rPr>
              <w:t>我们用四维度梯度自评框架，现场给出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你们处在基础级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/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卓越级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/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领航级哪个位置、下一步最该投哪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"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的书面初判，不收费、不推销。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</w:p>
          <w:p>
            <w:pPr>
              <w:spacing w:line="240" w:lineRule="auto" w:before="90" w:after="90"/>
              <w:jc w:val="left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机构：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[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机构名称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]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</w:p>
          <w:p>
            <w:pPr>
              <w:spacing w:line="240" w:lineRule="auto" w:before="90" w:after="90"/>
              <w:jc w:val="left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联系人：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[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联系人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/ 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电话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]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 </w:t>
            </w:r>
          </w:p>
          <w:p>
            <w:pPr>
              <w:spacing w:line="240" w:lineRule="auto" w:before="90" w:after="90"/>
              <w:jc w:val="left"/>
            </w:pP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微信：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[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微信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]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 xml:space="preserve">　</w:t>
            </w:r>
            <w:r>
              <w:rPr>
                <w:rFonts w:ascii="PingFang SC" w:hAnsi="PingFang SC" w:eastAsia="PingFang SC"/>
                <w:b/>
                <w:color w:val="1A1A2E"/>
                <w:sz w:val="24"/>
              </w:rPr>
              <w:t>邮箱：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[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邮箱</w:t>
            </w:r>
            <w:r>
              <w:rPr>
                <w:rFonts w:ascii="PingFang SC" w:hAnsi="PingFang SC" w:eastAsia="PingFang SC"/>
                <w:color w:val="1A1A2E"/>
                <w:sz w:val="24"/>
              </w:rPr>
              <w:t>]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AAAAAA"/>
      </w:pBdr>
    </w:pPr>
    <w:r>
      <w:rPr>
        <w:color w:val="888888"/>
        <w:sz w:val="18"/>
      </w:rPr>
      <w:t>本宣传册为  V1.0  版本。八支柱方法论改编自  GitHub  企业  AI  赋能公开实践，标杆数据来自公开报道与企业披露（陕汽  / WEF  等），出处可溯源；政策目标量级按公开文本与官方解读整理；课程内容与合作细节以商务洽谈为准。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 w:after="240"/>
      <w:jc w:val="both"/>
    </w:pPr>
    <w:rPr>
      <w:rFonts w:ascii="PingFang SC" w:hAnsi="PingFang SC" w:eastAsia="PingFang SC"/>
      <w:color w:val="1A1A2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55" w:lineRule="auto"/>
      <w:outlineLvl w:val="0"/>
    </w:pPr>
    <w:rPr>
      <w:rFonts w:ascii="阿里巴巴普惠体" w:hAnsi="阿里巴巴普惠体" w:eastAsia="阿里巴巴普惠体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720" w:after="240" w:line="255" w:lineRule="auto"/>
      <w:outlineLvl w:val="1"/>
    </w:pPr>
    <w:rPr>
      <w:rFonts w:ascii="阿里巴巴普惠体" w:hAnsi="阿里巴巴普惠体" w:eastAsia="阿里巴巴普惠体"/>
      <w:b/>
      <w:bCs/>
      <w:color w:val="1A1A2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240" w:line="255" w:lineRule="auto"/>
      <w:outlineLvl w:val="2"/>
    </w:pPr>
    <w:rPr>
      <w:rFonts w:ascii="阿里巴巴普惠体" w:hAnsi="阿里巴巴普惠体" w:eastAsia="阿里巴巴普惠体"/>
      <w:b/>
      <w:bCs/>
      <w:color w:val="1A1A2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96" w:line="255" w:lineRule="auto"/>
      <w:outlineLvl w:val="3"/>
    </w:pPr>
    <w:rPr>
      <w:rFonts w:ascii="阿里巴巴普惠体" w:hAnsi="阿里巴巴普惠体" w:eastAsia="阿里巴巴普惠体"/>
      <w:b/>
      <w:bCs/>
      <w:i/>
      <w:iCs/>
      <w:color w:val="1A1A2E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