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bookmarkStart w:id="16" w:name="高级课程-完整交付包ai-规划与治理-l4"/>
    <w:p>
      <w:pPr>
        <w:pStyle w:val="Heading1"/>
      </w:pPr>
      <w:r>
        <w:rPr>
          <w:rFonts w:hint="eastAsia"/>
        </w:rPr>
        <w:t xml:space="preserve">高级课程</w:t>
      </w:r>
      <w:r>
        <w:t xml:space="preserve"> · </w:t>
      </w:r>
      <w:r>
        <w:rPr>
          <w:rFonts w:hint="eastAsia"/>
        </w:rPr>
        <w:t xml:space="preserve">完整交付包（AI</w:t>
      </w:r>
      <w:r>
        <w:t xml:space="preserve"> </w:t>
      </w:r>
      <w:r>
        <w:rPr>
          <w:rFonts w:hint="eastAsia"/>
        </w:rPr>
        <w:t xml:space="preserve">规划与治理</w:t>
      </w:r>
      <w:r>
        <w:t xml:space="preserve"> · </w:t>
      </w:r>
      <w:r>
        <w:rPr>
          <w:rFonts w:hint="eastAsia"/>
        </w:rPr>
        <w:t xml:space="preserve">L4）</w:t>
      </w:r>
    </w:p>
    <w:p>
      <w:pPr>
        <w:pStyle w:val="BlockText"/>
      </w:pPr>
      <w:r>
        <w:rPr>
          <w:rFonts w:hint="eastAsia"/>
        </w:rPr>
        <w:t xml:space="preserve">交付日期：2026-08-24</w:t>
      </w:r>
      <w:r>
        <w:t xml:space="preserve"> </w:t>
      </w:r>
      <w:r>
        <w:rPr>
          <w:rFonts w:hint="eastAsia"/>
        </w:rPr>
        <w:t xml:space="preserve">｜</w:t>
      </w:r>
      <w:r>
        <w:t xml:space="preserve"> </w:t>
      </w:r>
      <w:r>
        <w:rPr>
          <w:rFonts w:hint="eastAsia"/>
        </w:rPr>
        <w:t xml:space="preserve">课程时长：16–24</w:t>
      </w:r>
      <w:r>
        <w:t xml:space="preserve"> </w:t>
      </w:r>
      <w:r>
        <w:rPr>
          <w:rFonts w:hint="eastAsia"/>
        </w:rPr>
        <w:t xml:space="preserve">课时（H1–H6）+</w:t>
      </w:r>
      <w:r>
        <w:t xml:space="preserve"> 2 </w:t>
      </w:r>
      <w:r>
        <w:rPr>
          <w:rFonts w:hint="eastAsia"/>
        </w:rPr>
        <w:t xml:space="preserve">天战略沙盘（H7）｜</w:t>
      </w:r>
      <w:r>
        <w:t xml:space="preserve"> </w:t>
      </w:r>
      <w:r>
        <w:rPr>
          <w:rFonts w:hint="eastAsia"/>
        </w:rPr>
        <w:t xml:space="preserve">班型：8–15</w:t>
      </w:r>
      <w:r>
        <w:t xml:space="preserve"> </w:t>
      </w:r>
      <w:r>
        <w:rPr>
          <w:rFonts w:hint="eastAsia"/>
        </w:rPr>
        <w:t xml:space="preserve">人小班</w:t>
      </w:r>
    </w:p>
    <w:bookmarkStart w:id="9" w:name="一目录清单"/>
    <w:p>
      <w:pPr>
        <w:pStyle w:val="Heading2"/>
      </w:pPr>
      <w:r>
        <w:rPr>
          <w:rFonts w:hint="eastAsia"/>
        </w:rPr>
        <w:t xml:space="preserve">一、目录清单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2640"/>
        <w:gridCol w:w="2640"/>
        <w:gridCol w:w="2640"/>
      </w:tblGrid>
      <w:tr>
        <w:trPr>
          <w:tblHeader w:val="on"/>
        </w:trP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目录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文件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用途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01_宣传手册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企业AI培训_高级课程宣传册.docx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对外招生</w:t>
            </w:r>
            <w:r>
              <w:t xml:space="preserve"> / </w:t>
            </w:r>
            <w:r>
              <w:rPr>
                <w:rFonts w:hint="eastAsia"/>
              </w:rPr>
              <w:t xml:space="preserve">高管专场提案用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02_课程大纲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高级_大纲.md</w:t>
            </w:r>
            <w:r>
              <w:t xml:space="preserve"> / .docx</w:t>
            </w:r>
          </w:p>
        </w:tc>
        <w:tc>
          <w:tcPr/>
          <w:p>
            <w:pPr>
              <w:pStyle w:val="Compact"/>
            </w:pPr>
            <w:r>
              <w:t xml:space="preserve">H1–H7 </w:t>
            </w:r>
            <w:r>
              <w:rPr>
                <w:rFonts w:hint="eastAsia"/>
              </w:rPr>
              <w:t xml:space="preserve">结构、沙盘任务、考核与交付物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03_PPT课件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高级_规划层_PPT.pptx</w:t>
            </w:r>
          </w:p>
        </w:tc>
        <w:tc>
          <w:tcPr/>
          <w:p>
            <w:pPr>
              <w:pStyle w:val="Compact"/>
            </w:pPr>
            <w:r>
              <w:t xml:space="preserve">24 </w:t>
            </w:r>
            <w:r>
              <w:rPr>
                <w:rFonts w:hint="eastAsia"/>
              </w:rPr>
              <w:t xml:space="preserve">页授课</w:t>
            </w:r>
            <w:r>
              <w:t xml:space="preserve"> </w:t>
            </w:r>
            <w:r>
              <w:rPr>
                <w:rFonts w:hint="eastAsia"/>
              </w:rPr>
              <w:t xml:space="preserve">PPT（封面/目录/定位</w:t>
            </w:r>
            <w:r>
              <w:t xml:space="preserve"> + H1–H6 + </w:t>
            </w:r>
            <w:r>
              <w:rPr>
                <w:rFonts w:hint="eastAsia"/>
              </w:rPr>
              <w:t xml:space="preserve">沙盘</w:t>
            </w:r>
            <w:r>
              <w:t xml:space="preserve"> + </w:t>
            </w:r>
            <w:r>
              <w:rPr>
                <w:rFonts w:hint="eastAsia"/>
              </w:rPr>
              <w:t xml:space="preserve">政策</w:t>
            </w:r>
            <w:r>
              <w:t xml:space="preserve"> + </w:t>
            </w:r>
            <w:r>
              <w:rPr>
                <w:rFonts w:hint="eastAsia"/>
              </w:rPr>
              <w:t xml:space="preserve">考核</w:t>
            </w:r>
            <w:r>
              <w:t xml:space="preserve"> + </w:t>
            </w:r>
            <w:r>
              <w:rPr>
                <w:rFonts w:hint="eastAsia"/>
              </w:rPr>
              <w:t xml:space="preserve">收尾）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04_授课讲义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高级_授课讲义.md</w:t>
            </w:r>
            <w:r>
              <w:t xml:space="preserve"> / .docx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讲师逐模块讲稿（含沙盘组织与答辩评审细则）</w:t>
            </w:r>
          </w:p>
        </w:tc>
      </w:tr>
    </w:tbl>
    <w:p>
      <w:pPr>
        <w:pStyle w:val="BlockText"/>
      </w:pPr>
      <w:r>
        <w:rPr>
          <w:rFonts w:hint="eastAsia"/>
        </w:rPr>
        <w:t xml:space="preserve">说明：高级班不配独立题库；考核</w:t>
      </w:r>
      <w:r>
        <w:t xml:space="preserve"> = </w:t>
      </w:r>
      <w:r>
        <w:rPr>
          <w:rFonts w:hint="eastAsia"/>
        </w:rPr>
        <w:t xml:space="preserve">规划方案</w:t>
      </w:r>
      <w:r>
        <w:t xml:space="preserve"> + </w:t>
      </w:r>
      <w:r>
        <w:rPr>
          <w:rFonts w:hint="eastAsia"/>
        </w:rPr>
        <w:t xml:space="preserve">路线图答辩（高管评委组），细则已写入大纲与讲义。</w:t>
      </w:r>
    </w:p>
    <w:bookmarkEnd w:id="9"/>
    <w:bookmarkStart w:id="10" w:name="二对象与班型"/>
    <w:p>
      <w:pPr>
        <w:pStyle w:val="Heading2"/>
      </w:pPr>
      <w:r>
        <w:rPr>
          <w:rFonts w:hint="eastAsia"/>
        </w:rPr>
        <w:t xml:space="preserve">二、对象与班型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3960"/>
        <w:gridCol w:w="3960"/>
      </w:tblGrid>
      <w:tr>
        <w:trPr>
          <w:tblHeader w:val="on"/>
        </w:trP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项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内容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对象</w:t>
            </w:r>
          </w:p>
        </w:tc>
        <w:tc>
          <w:tcPr/>
          <w:p>
            <w:pPr>
              <w:pStyle w:val="Compact"/>
            </w:pPr>
            <w:r>
              <w:t xml:space="preserve">CIO / CDO / </w:t>
            </w:r>
            <w:r>
              <w:rPr>
                <w:rFonts w:hint="eastAsia"/>
              </w:rPr>
              <w:t xml:space="preserve">数字化负责人</w:t>
            </w:r>
            <w:r>
              <w:t xml:space="preserve"> / </w:t>
            </w:r>
            <w:r>
              <w:rPr>
                <w:rFonts w:hint="eastAsia"/>
              </w:rPr>
              <w:t xml:space="preserve">厂长</w:t>
            </w:r>
            <w:r>
              <w:t xml:space="preserve"> / </w:t>
            </w:r>
            <w:r>
              <w:rPr>
                <w:rFonts w:hint="eastAsia"/>
              </w:rPr>
              <w:t xml:space="preserve">战略运营高管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规模</w:t>
            </w:r>
          </w:p>
        </w:tc>
        <w:tc>
          <w:tcPr/>
          <w:p>
            <w:pPr>
              <w:pStyle w:val="Compact"/>
            </w:pPr>
            <w:r>
              <w:t xml:space="preserve">8–15 </w:t>
            </w:r>
            <w:r>
              <w:rPr>
                <w:rFonts w:hint="eastAsia"/>
              </w:rPr>
              <w:t xml:space="preserve">人小班（保证沙盘与答辩质量）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课型</w:t>
            </w:r>
          </w:p>
        </w:tc>
        <w:tc>
          <w:tcPr/>
          <w:p>
            <w:pPr>
              <w:pStyle w:val="Compact"/>
            </w:pPr>
            <w:r>
              <w:t xml:space="preserve">16–24 </w:t>
            </w:r>
            <w:r>
              <w:rPr>
                <w:rFonts w:hint="eastAsia"/>
              </w:rPr>
              <w:t xml:space="preserve">课时理论</w:t>
            </w:r>
            <w:r>
              <w:t xml:space="preserve"> + 2 </w:t>
            </w:r>
            <w:r>
              <w:rPr>
                <w:rFonts w:hint="eastAsia"/>
              </w:rPr>
              <w:t xml:space="preserve">天战略沙盘；可选标杆参访（陕汽数字工匠</w:t>
            </w:r>
            <w:r>
              <w:t xml:space="preserve"> / </w:t>
            </w:r>
            <w:r>
              <w:rPr>
                <w:rFonts w:hint="eastAsia"/>
              </w:rPr>
              <w:t xml:space="preserve">青蓝蓄能站）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前置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中级结业或同级别实战经验，带一个真实项目来</w:t>
            </w:r>
          </w:p>
        </w:tc>
      </w:tr>
    </w:tbl>
    <w:bookmarkEnd w:id="10"/>
    <w:bookmarkStart w:id="11" w:name="三考核与认证"/>
    <w:p>
      <w:pPr>
        <w:pStyle w:val="Heading2"/>
      </w:pPr>
      <w:r>
        <w:rPr>
          <w:rFonts w:hint="eastAsia"/>
        </w:rPr>
        <w:t xml:space="preserve">三、考核与认证</w:t>
      </w:r>
    </w:p>
    <w:p>
      <w:pPr>
        <w:pStyle w:val="Compact"/>
        <w:numPr>
          <w:ilvl w:val="0"/>
          <w:numId w:val="1001"/>
        </w:numPr>
      </w:pPr>
      <w:r>
        <w:rPr>
          <w:rFonts w:hint="eastAsia"/>
        </w:rPr>
        <w:t xml:space="preserve">考核：规划方案（书面）+</w:t>
      </w:r>
      <w:r>
        <w:t xml:space="preserve"> </w:t>
      </w:r>
      <w:r>
        <w:rPr>
          <w:rFonts w:hint="eastAsia"/>
        </w:rPr>
        <w:t xml:space="preserve">路线图答辩（高管评委组</w:t>
      </w:r>
      <w:r>
        <w:t xml:space="preserve"> ≥3/5 </w:t>
      </w:r>
      <w:r>
        <w:rPr>
          <w:rFonts w:hint="eastAsia"/>
        </w:rPr>
        <w:t xml:space="preserve">票）</w:t>
      </w:r>
    </w:p>
    <w:p>
      <w:pPr>
        <w:pStyle w:val="Compact"/>
        <w:numPr>
          <w:ilvl w:val="0"/>
          <w:numId w:val="1001"/>
        </w:numPr>
      </w:pPr>
      <w:r>
        <w:rPr>
          <w:rFonts w:hint="eastAsia"/>
        </w:rPr>
        <w:t xml:space="preserve">认证：「AI</w:t>
      </w:r>
      <w:r>
        <w:t xml:space="preserve"> </w:t>
      </w:r>
      <w:r>
        <w:rPr>
          <w:rFonts w:hint="eastAsia"/>
        </w:rPr>
        <w:t xml:space="preserve">规划师」</w:t>
      </w:r>
    </w:p>
    <w:p>
      <w:pPr>
        <w:pStyle w:val="Compact"/>
        <w:numPr>
          <w:ilvl w:val="0"/>
          <w:numId w:val="1001"/>
        </w:numPr>
      </w:pPr>
      <w:r>
        <w:rPr>
          <w:rFonts w:hint="eastAsia"/>
        </w:rPr>
        <w:t xml:space="preserve">随课交付物四件：学员手册</w:t>
      </w:r>
      <w:r>
        <w:t xml:space="preserve"> / </w:t>
      </w:r>
      <w:r>
        <w:rPr>
          <w:rFonts w:hint="eastAsia"/>
        </w:rPr>
        <w:t xml:space="preserve">标杆案例集</w:t>
      </w:r>
      <w:r>
        <w:t xml:space="preserve"> / ROI </w:t>
      </w:r>
      <w:r>
        <w:rPr>
          <w:rFonts w:hint="eastAsia"/>
        </w:rPr>
        <w:t xml:space="preserve">看板模板</w:t>
      </w:r>
      <w:r>
        <w:t xml:space="preserve"> / </w:t>
      </w:r>
      <w:r>
        <w:rPr>
          <w:rFonts w:hint="eastAsia"/>
        </w:rPr>
        <w:t xml:space="preserve">八支柱工具包</w:t>
      </w:r>
    </w:p>
    <w:p>
      <w:pPr>
        <w:pStyle w:val="Compact"/>
        <w:numPr>
          <w:ilvl w:val="0"/>
          <w:numId w:val="1001"/>
        </w:numPr>
      </w:pPr>
      <w:r>
        <w:rPr>
          <w:rFonts w:hint="eastAsia"/>
        </w:rPr>
        <w:t xml:space="preserve">结业产出：一份能上董事会的三年</w:t>
      </w:r>
      <w:r>
        <w:t xml:space="preserve"> AI </w:t>
      </w:r>
      <w:r>
        <w:rPr>
          <w:rFonts w:hint="eastAsia"/>
        </w:rPr>
        <w:t xml:space="preserve">路线图</w:t>
      </w:r>
    </w:p>
    <w:bookmarkEnd w:id="11"/>
    <w:bookmarkStart w:id="12" w:name="四核心卖点对外口径"/>
    <w:p>
      <w:pPr>
        <w:pStyle w:val="Heading2"/>
      </w:pPr>
      <w:r>
        <w:rPr>
          <w:rFonts w:hint="eastAsia"/>
        </w:rPr>
        <w:t xml:space="preserve">四、核心卖点（对外口径）</w:t>
      </w:r>
    </w:p>
    <w:p>
      <w:pPr>
        <w:pStyle w:val="Compact"/>
        <w:numPr>
          <w:ilvl w:val="0"/>
          <w:numId w:val="1002"/>
        </w:numPr>
      </w:pPr>
      <w:r>
        <w:rPr>
          <w:rFonts w:hint="eastAsia"/>
          <w:b/>
          <w:bCs/>
        </w:rPr>
        <w:t xml:space="preserve">四能力框架</w:t>
      </w:r>
      <w:r>
        <w:rPr>
          <w:rFonts w:hint="eastAsia"/>
        </w:rPr>
        <w:t xml:space="preserve">：算得清账</w:t>
      </w:r>
      <w:r>
        <w:t xml:space="preserve"> · </w:t>
      </w:r>
      <w:r>
        <w:rPr>
          <w:rFonts w:hint="eastAsia"/>
        </w:rPr>
        <w:t xml:space="preserve">搭得起架构</w:t>
      </w:r>
      <w:r>
        <w:t xml:space="preserve"> · </w:t>
      </w:r>
      <w:r>
        <w:rPr>
          <w:rFonts w:hint="eastAsia"/>
        </w:rPr>
        <w:t xml:space="preserve">推得动组织</w:t>
      </w:r>
      <w:r>
        <w:t xml:space="preserve"> · </w:t>
      </w:r>
      <w:r>
        <w:rPr>
          <w:rFonts w:hint="eastAsia"/>
        </w:rPr>
        <w:t xml:space="preserve">守得住底线</w:t>
      </w:r>
      <w:r>
        <w:t xml:space="preserve"> —— </w:t>
      </w:r>
      <w:r>
        <w:rPr>
          <w:rFonts w:hint="eastAsia"/>
        </w:rPr>
        <w:t xml:space="preserve">对准高管四大困境</w:t>
      </w:r>
    </w:p>
    <w:p>
      <w:pPr>
        <w:pStyle w:val="Compact"/>
        <w:numPr>
          <w:ilvl w:val="0"/>
          <w:numId w:val="1002"/>
        </w:numPr>
      </w:pPr>
      <w:r>
        <w:rPr>
          <w:rFonts w:hint="eastAsia"/>
          <w:b/>
          <w:bCs/>
        </w:rPr>
        <w:t xml:space="preserve">核心模块</w:t>
      </w:r>
      <w:r>
        <w:rPr>
          <w:b/>
          <w:bCs/>
        </w:rPr>
        <w:t xml:space="preserve"> H5 </w:t>
      </w:r>
      <w:r>
        <w:rPr>
          <w:rFonts w:hint="eastAsia"/>
          <w:b/>
          <w:bCs/>
        </w:rPr>
        <w:t xml:space="preserve">八支柱</w:t>
      </w:r>
      <w:r>
        <w:rPr>
          <w:rFonts w:hint="eastAsia"/>
        </w:rPr>
        <w:t xml:space="preserve">（GitHub</w:t>
      </w:r>
      <w:r>
        <w:t xml:space="preserve"> </w:t>
      </w:r>
      <w:r>
        <w:rPr>
          <w:rFonts w:hint="eastAsia"/>
        </w:rPr>
        <w:t xml:space="preserve">最佳实践改编）：AI</w:t>
      </w:r>
      <w:r>
        <w:t xml:space="preserve"> </w:t>
      </w:r>
      <w:r>
        <w:rPr>
          <w:rFonts w:hint="eastAsia"/>
        </w:rPr>
        <w:t xml:space="preserve">倡导者</w:t>
      </w:r>
      <w:r>
        <w:t xml:space="preserve"> / CoP / L&amp;D / </w:t>
      </w:r>
      <w:r>
        <w:rPr>
          <w:rFonts w:hint="eastAsia"/>
        </w:rPr>
        <w:t xml:space="preserve">分级工具政策</w:t>
      </w:r>
      <w:r>
        <w:t xml:space="preserve"> / DRI / </w:t>
      </w:r>
      <w:r>
        <w:rPr>
          <w:rFonts w:hint="eastAsia"/>
        </w:rPr>
        <w:t xml:space="preserve">高管背书</w:t>
      </w:r>
      <w:r>
        <w:t xml:space="preserve"> / </w:t>
      </w:r>
      <w:r>
        <w:rPr>
          <w:rFonts w:hint="eastAsia"/>
        </w:rPr>
        <w:t xml:space="preserve">数据驱动指标</w:t>
      </w:r>
      <w:r>
        <w:t xml:space="preserve"> / </w:t>
      </w:r>
      <w:r>
        <w:rPr>
          <w:rFonts w:hint="eastAsia"/>
        </w:rPr>
        <w:t xml:space="preserve">负责任使用</w:t>
      </w:r>
    </w:p>
    <w:p>
      <w:pPr>
        <w:pStyle w:val="Compact"/>
        <w:numPr>
          <w:ilvl w:val="0"/>
          <w:numId w:val="1002"/>
        </w:numPr>
      </w:pPr>
      <w:r>
        <w:rPr>
          <w:rFonts w:hint="eastAsia"/>
          <w:b/>
          <w:bCs/>
        </w:rPr>
        <w:t xml:space="preserve">沙盘即答辩</w:t>
      </w:r>
      <w:r>
        <w:rPr>
          <w:rFonts w:hint="eastAsia"/>
        </w:rPr>
        <w:t xml:space="preserve">：2</w:t>
      </w:r>
      <w:r>
        <w:t xml:space="preserve"> </w:t>
      </w:r>
      <w:r>
        <w:rPr>
          <w:rFonts w:hint="eastAsia"/>
        </w:rPr>
        <w:t xml:space="preserve">天</w:t>
      </w:r>
      <w:r>
        <w:t xml:space="preserve"> 3 </w:t>
      </w:r>
      <w:r>
        <w:rPr>
          <w:rFonts w:hint="eastAsia"/>
        </w:rPr>
        <w:t xml:space="preserve">任务（梯度自评</w:t>
      </w:r>
      <w:r>
        <w:t xml:space="preserve"> / ROI </w:t>
      </w:r>
      <w:r>
        <w:rPr>
          <w:rFonts w:hint="eastAsia"/>
        </w:rPr>
        <w:t xml:space="preserve">实算</w:t>
      </w:r>
      <w:r>
        <w:t xml:space="preserve"> / </w:t>
      </w:r>
      <w:r>
        <w:rPr>
          <w:rFonts w:hint="eastAsia"/>
        </w:rPr>
        <w:t xml:space="preserve">路线图推演），结业即交付路线图</w:t>
      </w:r>
    </w:p>
    <w:p>
      <w:pPr>
        <w:pStyle w:val="Compact"/>
        <w:numPr>
          <w:ilvl w:val="0"/>
          <w:numId w:val="1002"/>
        </w:numPr>
      </w:pPr>
      <w:r>
        <w:rPr>
          <w:rFonts w:hint="eastAsia"/>
          <w:b/>
          <w:bCs/>
        </w:rPr>
        <w:t xml:space="preserve">合规前瞻</w:t>
      </w:r>
      <w:r>
        <w:rPr>
          <w:rFonts w:hint="eastAsia"/>
        </w:rPr>
        <w:t xml:space="preserve">：十五五</w:t>
      </w:r>
      <w:r>
        <w:t xml:space="preserve"> / </w:t>
      </w:r>
      <w:r>
        <w:rPr>
          <w:rFonts w:hint="eastAsia"/>
        </w:rPr>
        <w:t xml:space="preserve">算法备案</w:t>
      </w:r>
      <w:r>
        <w:t xml:space="preserve"> / </w:t>
      </w:r>
      <w:r>
        <w:rPr>
          <w:rFonts w:hint="eastAsia"/>
        </w:rPr>
        <w:t xml:space="preserve">数据出境</w:t>
      </w:r>
      <w:r>
        <w:t xml:space="preserve"> —— </w:t>
      </w:r>
      <w:r>
        <w:rPr>
          <w:rFonts w:hint="eastAsia"/>
        </w:rPr>
        <w:t xml:space="preserve">「政策定的是下限，你要的是上限」</w:t>
      </w:r>
    </w:p>
    <w:bookmarkEnd w:id="12"/>
    <w:bookmarkStart w:id="13" w:name="五ppt-结构24-页"/>
    <w:p>
      <w:pPr>
        <w:pStyle w:val="Heading2"/>
      </w:pPr>
      <w:r>
        <w:rPr>
          <w:rFonts w:hint="eastAsia"/>
        </w:rPr>
        <w:t xml:space="preserve">五、PPT</w:t>
      </w:r>
      <w:r>
        <w:t xml:space="preserve"> </w:t>
      </w:r>
      <w:r>
        <w:rPr>
          <w:rFonts w:hint="eastAsia"/>
        </w:rPr>
        <w:t xml:space="preserve">结构（24</w:t>
      </w:r>
      <w:r>
        <w:t xml:space="preserve"> </w:t>
      </w:r>
      <w:r>
        <w:rPr>
          <w:rFonts w:hint="eastAsia"/>
        </w:rPr>
        <w:t xml:space="preserve">页）</w:t>
      </w:r>
    </w:p>
    <w:p>
      <w:pPr>
        <w:pStyle w:val="FirstParagraph"/>
      </w:pPr>
      <w:r>
        <w:rPr>
          <w:rFonts w:hint="eastAsia"/>
        </w:rPr>
        <w:t xml:space="preserve">封面</w:t>
      </w:r>
      <w:r>
        <w:t xml:space="preserve"> → </w:t>
      </w:r>
      <w:r>
        <w:rPr>
          <w:rFonts w:hint="eastAsia"/>
        </w:rPr>
        <w:t xml:space="preserve">目录</w:t>
      </w:r>
      <w:r>
        <w:t xml:space="preserve"> → </w:t>
      </w:r>
      <w:r>
        <w:rPr>
          <w:rFonts w:hint="eastAsia"/>
        </w:rPr>
        <w:t xml:space="preserve">定位</w:t>
      </w:r>
      <w:r>
        <w:t xml:space="preserve"> → H1 </w:t>
      </w:r>
      <w:r>
        <w:rPr>
          <w:rFonts w:hint="eastAsia"/>
        </w:rPr>
        <w:t xml:space="preserve">梯度（3</w:t>
      </w:r>
      <w:r>
        <w:t xml:space="preserve"> </w:t>
      </w:r>
      <w:r>
        <w:rPr>
          <w:rFonts w:hint="eastAsia"/>
        </w:rPr>
        <w:t xml:space="preserve">页）→</w:t>
      </w:r>
      <w:r>
        <w:t xml:space="preserve"> H2 </w:t>
      </w:r>
      <w:r>
        <w:rPr>
          <w:rFonts w:hint="eastAsia"/>
        </w:rPr>
        <w:t xml:space="preserve">架构（3</w:t>
      </w:r>
      <w:r>
        <w:t xml:space="preserve"> </w:t>
      </w:r>
      <w:r>
        <w:rPr>
          <w:rFonts w:hint="eastAsia"/>
        </w:rPr>
        <w:t xml:space="preserve">页）→</w:t>
      </w:r>
      <w:r>
        <w:t xml:space="preserve"> H3 </w:t>
      </w:r>
      <w:r>
        <w:rPr>
          <w:rFonts w:hint="eastAsia"/>
        </w:rPr>
        <w:t xml:space="preserve">数据治理（3</w:t>
      </w:r>
      <w:r>
        <w:t xml:space="preserve"> </w:t>
      </w:r>
      <w:r>
        <w:rPr>
          <w:rFonts w:hint="eastAsia"/>
        </w:rPr>
        <w:t xml:space="preserve">页）→</w:t>
      </w:r>
      <w:r>
        <w:t xml:space="preserve"> H4 </w:t>
      </w:r>
      <w:r>
        <w:rPr>
          <w:rFonts w:hint="eastAsia"/>
        </w:rPr>
        <w:t xml:space="preserve">ROI（3</w:t>
      </w:r>
      <w:r>
        <w:t xml:space="preserve"> </w:t>
      </w:r>
      <w:r>
        <w:rPr>
          <w:rFonts w:hint="eastAsia"/>
        </w:rPr>
        <w:t xml:space="preserve">页）→</w:t>
      </w:r>
      <w:r>
        <w:t xml:space="preserve"> H5 </w:t>
      </w:r>
      <w:r>
        <w:rPr>
          <w:rFonts w:hint="eastAsia"/>
        </w:rPr>
        <w:t xml:space="preserve">组织采纳（3</w:t>
      </w:r>
      <w:r>
        <w:t xml:space="preserve"> </w:t>
      </w:r>
      <w:r>
        <w:rPr>
          <w:rFonts w:hint="eastAsia"/>
        </w:rPr>
        <w:t xml:space="preserve">页，含八支柱核心页）→</w:t>
      </w:r>
      <w:r>
        <w:t xml:space="preserve"> H6 </w:t>
      </w:r>
      <w:r>
        <w:rPr>
          <w:rFonts w:hint="eastAsia"/>
        </w:rPr>
        <w:t xml:space="preserve">治理合规（2</w:t>
      </w:r>
      <w:r>
        <w:t xml:space="preserve"> </w:t>
      </w:r>
      <w:r>
        <w:rPr>
          <w:rFonts w:hint="eastAsia"/>
        </w:rPr>
        <w:t xml:space="preserve">页）→</w:t>
      </w:r>
      <w:r>
        <w:t xml:space="preserve"> H7 </w:t>
      </w:r>
      <w:r>
        <w:rPr>
          <w:rFonts w:hint="eastAsia"/>
        </w:rPr>
        <w:t xml:space="preserve">沙盘（1</w:t>
      </w:r>
      <w:r>
        <w:t xml:space="preserve"> </w:t>
      </w:r>
      <w:r>
        <w:rPr>
          <w:rFonts w:hint="eastAsia"/>
        </w:rPr>
        <w:t xml:space="preserve">页）→</w:t>
      </w:r>
      <w:r>
        <w:t xml:space="preserve"> </w:t>
      </w:r>
      <w:r>
        <w:rPr>
          <w:rFonts w:hint="eastAsia"/>
        </w:rPr>
        <w:t xml:space="preserve">政策螺旋</w:t>
      </w:r>
      <w:r>
        <w:t xml:space="preserve"> → </w:t>
      </w:r>
      <w:r>
        <w:rPr>
          <w:rFonts w:hint="eastAsia"/>
        </w:rPr>
        <w:t xml:space="preserve">考核认证</w:t>
      </w:r>
      <w:r>
        <w:t xml:space="preserve"> → </w:t>
      </w:r>
      <w:r>
        <w:rPr>
          <w:rFonts w:hint="eastAsia"/>
        </w:rPr>
        <w:t xml:space="preserve">收尾</w:t>
      </w:r>
    </w:p>
    <w:bookmarkEnd w:id="13"/>
    <w:bookmarkStart w:id="14" w:name="六三级课程咬合对外整体口径"/>
    <w:p>
      <w:pPr>
        <w:pStyle w:val="Heading2"/>
      </w:pPr>
      <w:r>
        <w:rPr>
          <w:rFonts w:hint="eastAsia"/>
        </w:rPr>
        <w:t xml:space="preserve">六、三级课程咬合（对外整体口径）</w:t>
      </w:r>
    </w:p>
    <w:p>
      <w:pPr>
        <w:pStyle w:val="Compact"/>
        <w:numPr>
          <w:ilvl w:val="0"/>
          <w:numId w:val="1003"/>
        </w:numPr>
      </w:pPr>
      <w:r>
        <w:rPr>
          <w:rFonts w:hint="eastAsia"/>
        </w:rPr>
        <w:t xml:space="preserve">初级「为什么学」→</w:t>
      </w:r>
      <w:r>
        <w:t xml:space="preserve"> </w:t>
      </w:r>
      <w:r>
        <w:rPr>
          <w:rFonts w:hint="eastAsia"/>
        </w:rPr>
        <w:t xml:space="preserve">中级「怎么拿资源」→</w:t>
      </w:r>
      <w:r>
        <w:t xml:space="preserve"> </w:t>
      </w:r>
      <w:r>
        <w:rPr>
          <w:rFonts w:hint="eastAsia"/>
        </w:rPr>
        <w:t xml:space="preserve">高级「未来怎么变、怎么合规」</w:t>
      </w:r>
    </w:p>
    <w:p>
      <w:pPr>
        <w:pStyle w:val="Compact"/>
        <w:numPr>
          <w:ilvl w:val="0"/>
          <w:numId w:val="1003"/>
        </w:numPr>
      </w:pPr>
      <w:r>
        <w:rPr>
          <w:rFonts w:hint="eastAsia"/>
        </w:rPr>
        <w:t xml:space="preserve">政策螺旋每转一圈，能力要求升一级；2027</w:t>
      </w:r>
      <w:r>
        <w:t xml:space="preserve"> </w:t>
      </w:r>
      <w:r>
        <w:rPr>
          <w:rFonts w:hint="eastAsia"/>
        </w:rPr>
        <w:t xml:space="preserve">锚点：1000</w:t>
      </w:r>
      <w:r>
        <w:t xml:space="preserve"> </w:t>
      </w:r>
      <w:r>
        <w:rPr>
          <w:rFonts w:hint="eastAsia"/>
        </w:rPr>
        <w:t xml:space="preserve">工业智能体</w:t>
      </w:r>
      <w:r>
        <w:t xml:space="preserve"> / 500 </w:t>
      </w:r>
      <w:r>
        <w:rPr>
          <w:rFonts w:hint="eastAsia"/>
        </w:rPr>
        <w:t xml:space="preserve">场景</w:t>
      </w:r>
      <w:r>
        <w:t xml:space="preserve"> / 1000 </w:t>
      </w:r>
      <w:r>
        <w:rPr>
          <w:rFonts w:hint="eastAsia"/>
        </w:rPr>
        <w:t xml:space="preserve">标杆试点</w:t>
      </w:r>
    </w:p>
    <w:bookmarkEnd w:id="14"/>
    <w:bookmarkStart w:id="15" w:name="七待确认项交付前请补齐"/>
    <w:p>
      <w:pPr>
        <w:pStyle w:val="Heading2"/>
      </w:pPr>
      <w:r>
        <w:rPr>
          <w:rFonts w:hint="eastAsia"/>
        </w:rPr>
        <w:t xml:space="preserve">七、待确认项（交付前请补齐）</w:t>
      </w:r>
    </w:p>
    <w:p>
      <w:pPr>
        <w:pStyle w:val="Compact"/>
        <w:numPr>
          <w:ilvl w:val="0"/>
          <w:numId w:val="1004"/>
        </w:numPr>
      </w:pPr>
      <w:r>
        <w:rPr>
          <w:rFonts w:hint="eastAsia"/>
        </w:rPr>
        <w:t xml:space="preserve">宣传册占位符：[机构名称]</w:t>
      </w:r>
      <w:r>
        <w:t xml:space="preserve"> / </w:t>
      </w:r>
      <w:r>
        <w:rPr>
          <w:rFonts w:hint="eastAsia"/>
        </w:rPr>
        <w:t xml:space="preserve">[联系人·电话]</w:t>
      </w:r>
      <w:r>
        <w:t xml:space="preserve"> / </w:t>
      </w:r>
      <w:r>
        <w:rPr>
          <w:rFonts w:hint="eastAsia"/>
        </w:rPr>
        <w:t xml:space="preserve">[微信·邮箱]</w:t>
      </w:r>
    </w:p>
    <w:p>
      <w:pPr>
        <w:pStyle w:val="Compact"/>
        <w:numPr>
          <w:ilvl w:val="0"/>
          <w:numId w:val="1005"/>
        </w:numPr>
      </w:pPr>
      <w:r>
        <w:rPr>
          <w:rFonts w:hint="eastAsia"/>
        </w:rPr>
        <w:t xml:space="preserve">高管评委组人选与邀约口径（答辩环节）</w:t>
      </w:r>
    </w:p>
    <w:p>
      <w:pPr>
        <w:pStyle w:val="Compact"/>
        <w:numPr>
          <w:ilvl w:val="0"/>
          <w:numId w:val="1006"/>
        </w:numPr>
      </w:pPr>
      <w:r>
        <w:rPr>
          <w:rFonts w:hint="eastAsia"/>
        </w:rPr>
        <w:t xml:space="preserve">标杆参访（陕汽）是否纳入报价</w:t>
      </w:r>
    </w:p>
    <w:bookmarkEnd w:id="15"/>
    <w:bookmarkEnd w:id="16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abstractNum w:abstractNumId="99411">
    <w:nsid w:val="00A99411"/>
    <w:multiLevelType w:val="multilevel"/>
    <w:lvl w:ilvl="0">
      <w:start w:val="1"/>
      <w:numFmt w:val="decimal"/>
      <w:lvlText w:val="%1."/>
      <w:lvlJc w:val="left"/>
      <w:pPr>
        <w:ind w:left="720" w:hanging="360"/>
      </w:pPr>
    </w:lvl>
    <w:lvl w:ilvl="1">
      <w:start w:val="1"/>
      <w:numFmt w:val="decimal"/>
      <w:lvlText w:val="%2."/>
      <w:lvlJc w:val="left"/>
      <w:pPr>
        <w:ind w:left="1440" w:hanging="360"/>
      </w:pPr>
    </w:lvl>
    <w:lvl w:ilvl="2">
      <w:start w:val="1"/>
      <w:numFmt w:val="decimal"/>
      <w:lvlText w:val="%3."/>
      <w:lvlJc w:val="left"/>
      <w:pPr>
        <w:ind w:left="2160" w:hanging="360"/>
      </w:pPr>
    </w:lvl>
    <w:lvl w:ilvl="3">
      <w:start w:val="1"/>
      <w:numFmt w:val="decimal"/>
      <w:lvlText w:val="%4."/>
      <w:lvlJc w:val="left"/>
      <w:pPr>
        <w:ind w:left="2880" w:hanging="360"/>
      </w:pPr>
    </w:lvl>
    <w:lvl w:ilvl="4">
      <w:start w:val="1"/>
      <w:numFmt w:val="decimal"/>
      <w:lvlText w:val="%5."/>
      <w:lvlJc w:val="left"/>
      <w:pPr>
        <w:ind w:left="3600" w:hanging="360"/>
      </w:pPr>
    </w:lvl>
    <w:lvl w:ilvl="5">
      <w:start w:val="1"/>
      <w:numFmt w:val="decimal"/>
      <w:lvlText w:val="%6."/>
      <w:lvlJc w:val="left"/>
      <w:pPr>
        <w:ind w:left="4320" w:hanging="360"/>
      </w:pPr>
    </w:lvl>
    <w:lvl w:ilvl="6">
      <w:start w:val="1"/>
      <w:numFmt w:val="decimal"/>
      <w:lvlText w:val="%7."/>
      <w:lvlJc w:val="left"/>
      <w:pPr>
        <w:ind w:left="5040" w:hanging="360"/>
      </w:pPr>
    </w:lvl>
    <w:lvl w:ilvl="7">
      <w:start w:val="1"/>
      <w:numFmt w:val="decimal"/>
      <w:lvlText w:val="%8."/>
      <w:lvlJc w:val="left"/>
      <w:pPr>
        <w:ind w:left="5760" w:hanging="360"/>
      </w:pPr>
    </w:lvl>
    <w:lvl w:ilvl="8">
      <w:start w:val="1"/>
      <w:numFmt w:val="decimal"/>
      <w:lvlText w:val="%9."/>
      <w:lvlJc w:val="left"/>
      <w:pPr>
        <w:ind w:left="6480" w:hanging="360"/>
      </w:pPr>
    </w:lvl>
  </w:abstractNum>
  <w:abstractNum w:abstractNumId="992">
    <w:nsid w:val="0000A992"/>
    <w:multiLevelType w:val="multilevel"/>
    <w:lvl w:ilvl="0">
      <w:numFmt w:val="bullet"/>
      <w:lvlText w:val="☐"/>
      <w:lvlJc w:val="left"/>
      <w:pPr>
        <w:ind w:left="720" w:hanging="360"/>
      </w:pPr>
    </w:lvl>
    <w:lvl w:ilvl="1">
      <w:numFmt w:val="bullet"/>
      <w:lvlText w:val="☐"/>
      <w:lvlJc w:val="left"/>
      <w:pPr>
        <w:ind w:left="1440" w:hanging="360"/>
      </w:pPr>
    </w:lvl>
    <w:lvl w:ilvl="2">
      <w:numFmt w:val="bullet"/>
      <w:lvlText w:val="☐"/>
      <w:lvlJc w:val="left"/>
      <w:pPr>
        <w:ind w:left="2160" w:hanging="360"/>
      </w:pPr>
    </w:lvl>
    <w:lvl w:ilvl="3">
      <w:numFmt w:val="bullet"/>
      <w:lvlText w:val="☐"/>
      <w:lvlJc w:val="left"/>
      <w:pPr>
        <w:ind w:left="2880" w:hanging="360"/>
      </w:pPr>
    </w:lvl>
    <w:lvl w:ilvl="4">
      <w:numFmt w:val="bullet"/>
      <w:lvlText w:val="☐"/>
      <w:lvlJc w:val="left"/>
      <w:pPr>
        <w:ind w:left="3600" w:hanging="360"/>
      </w:pPr>
    </w:lvl>
    <w:lvl w:ilvl="5">
      <w:numFmt w:val="bullet"/>
      <w:lvlText w:val="☐"/>
      <w:lvlJc w:val="left"/>
      <w:pPr>
        <w:ind w:left="4320" w:hanging="360"/>
      </w:pPr>
    </w:lvl>
    <w:lvl w:ilvl="6">
      <w:numFmt w:val="bullet"/>
      <w:lvlText w:val="☐"/>
      <w:lvlJc w:val="left"/>
      <w:pPr>
        <w:ind w:left="5040" w:hanging="360"/>
      </w:pPr>
    </w:lvl>
    <w:lvl w:ilvl="7">
      <w:numFmt w:val="bullet"/>
      <w:lvlText w:val="☐"/>
      <w:lvlJc w:val="left"/>
      <w:pPr>
        <w:ind w:left="5760" w:hanging="360"/>
      </w:pPr>
    </w:lvl>
    <w:lvl w:ilvl="8">
      <w:numFmt w:val="bullet"/>
      <w:lvlText w:val="☐"/>
      <w:lvlJc w:val="left"/>
      <w:pPr>
        <w:ind w:left="6480" w:hanging="360"/>
      </w:pPr>
    </w:lvl>
  </w:abstractNum>
  <w:num w:numId="1000">
    <w:abstractNumId w:val="990"/>
  </w:num>
  <w:num w:numId="1001">
    <w:abstractNumId w:val="991"/>
  </w:num>
  <w:num w:numId="1002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3">
    <w:abstractNumId w:val="991"/>
  </w:num>
  <w:num w:numId="1004">
    <w:abstractNumId w:val="992"/>
  </w:num>
  <w:num w:numId="1005">
    <w:abstractNumId w:val="992"/>
  </w:num>
  <w:num w:numId="1006">
    <w:abstractNumId w:val="992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</w:pPr>
  </w:style>
  <w:style w:type="character" w:customStyle="1" w:styleId="KeywordTok">
    <w:name w:val="KeywordTok"/>
    <w:basedOn w:val="VerbatimChar"/>
    <w:rPr>
      <w:b/>
      <w:color w:val="007020"/>
    </w:rPr>
  </w:style>
  <w:style w:type="character" w:customStyle="1" w:styleId="DataTypeTok">
    <w:name w:val="DataTypeTok"/>
    <w:basedOn w:val="VerbatimChar"/>
    <w:rPr>
      <w:color w:val="902000"/>
    </w:rPr>
  </w:style>
  <w:style w:type="character" w:customStyle="1" w:styleId="DecValTok">
    <w:name w:val="DecValTok"/>
    <w:basedOn w:val="VerbatimChar"/>
    <w:rPr>
      <w:color w:val="40a070"/>
    </w:rPr>
  </w:style>
  <w:style w:type="character" w:customStyle="1" w:styleId="BaseNTok">
    <w:name w:val="BaseNTok"/>
    <w:basedOn w:val="VerbatimChar"/>
    <w:rPr>
      <w:color w:val="40a070"/>
    </w:rPr>
  </w:style>
  <w:style w:type="character" w:customStyle="1" w:styleId="FloatTok">
    <w:name w:val="FloatTok"/>
    <w:basedOn w:val="VerbatimChar"/>
    <w:rPr>
      <w:color w:val="40a070"/>
    </w:rPr>
  </w:style>
  <w:style w:type="character" w:customStyle="1" w:styleId="ConstantTok">
    <w:name w:val="ConstantTok"/>
    <w:basedOn w:val="VerbatimChar"/>
    <w:rPr>
      <w:color w:val="880000"/>
    </w:rPr>
  </w:style>
  <w:style w:type="character" w:customStyle="1" w:styleId="CharTok">
    <w:name w:val="CharTok"/>
    <w:basedOn w:val="VerbatimChar"/>
    <w:rPr>
      <w:color w:val="4070a0"/>
    </w:rPr>
  </w:style>
  <w:style w:type="character" w:customStyle="1" w:styleId="SpecialCharTok">
    <w:name w:val="SpecialCharTok"/>
    <w:basedOn w:val="VerbatimChar"/>
    <w:rPr>
      <w:color w:val="4070a0"/>
    </w:rPr>
  </w:style>
  <w:style w:type="character" w:customStyle="1" w:styleId="StringTok">
    <w:name w:val="StringTok"/>
    <w:basedOn w:val="VerbatimChar"/>
    <w:rPr>
      <w:color w:val="4070a0"/>
    </w:rPr>
  </w:style>
  <w:style w:type="character" w:customStyle="1" w:styleId="VerbatimStringTok">
    <w:name w:val="VerbatimStringTok"/>
    <w:basedOn w:val="VerbatimChar"/>
    <w:rPr>
      <w:color w:val="4070a0"/>
    </w:rPr>
  </w:style>
  <w:style w:type="character" w:customStyle="1" w:styleId="SpecialStringTok">
    <w:name w:val="SpecialStringTok"/>
    <w:basedOn w:val="VerbatimChar"/>
    <w:rPr>
      <w:color w:val="bb6688"/>
    </w:rPr>
  </w:style>
  <w:style w:type="character" w:customStyle="1" w:styleId="ImportTok">
    <w:name w:val="ImportTok"/>
    <w:basedOn w:val="VerbatimChar"/>
    <w:rPr>
      <w:b/>
      <w:color w:val="008000"/>
    </w:rPr>
  </w:style>
  <w:style w:type="character" w:customStyle="1" w:styleId="CommentTok">
    <w:name w:val="CommentTok"/>
    <w:basedOn w:val="VerbatimChar"/>
    <w:rPr>
      <w:i/>
      <w:color w:val="60a0b0"/>
    </w:rPr>
  </w:style>
  <w:style w:type="character" w:customStyle="1" w:styleId="DocumentationTok">
    <w:name w:val="DocumentationTok"/>
    <w:basedOn w:val="VerbatimChar"/>
    <w:rPr>
      <w:i/>
      <w:color w:val="ba2121"/>
    </w:rPr>
  </w:style>
  <w:style w:type="character" w:customStyle="1" w:styleId="AnnotationTok">
    <w:name w:val="AnnotationTok"/>
    <w:basedOn w:val="VerbatimChar"/>
    <w:rPr>
      <w:b/>
      <w:i/>
      <w:color w:val="60a0b0"/>
    </w:rPr>
  </w:style>
  <w:style w:type="character" w:customStyle="1" w:styleId="CommentVarTok">
    <w:name w:val="CommentVarTok"/>
    <w:basedOn w:val="VerbatimChar"/>
    <w:rPr>
      <w:b/>
      <w:i/>
      <w:color w:val="60a0b0"/>
    </w:rPr>
  </w:style>
  <w:style w:type="character" w:customStyle="1" w:styleId="OtherTok">
    <w:name w:val="OtherTok"/>
    <w:basedOn w:val="VerbatimChar"/>
    <w:rPr>
      <w:color w:val="007020"/>
    </w:rPr>
  </w:style>
  <w:style w:type="character" w:customStyle="1" w:styleId="FunctionTok">
    <w:name w:val="FunctionTok"/>
    <w:basedOn w:val="VerbatimChar"/>
    <w:rPr>
      <w:color w:val="06287e"/>
    </w:rPr>
  </w:style>
  <w:style w:type="character" w:customStyle="1" w:styleId="VariableTok">
    <w:name w:val="VariableTok"/>
    <w:basedOn w:val="VerbatimChar"/>
    <w:rPr>
      <w:color w:val="19177c"/>
    </w:rPr>
  </w:style>
  <w:style w:type="character" w:customStyle="1" w:styleId="ControlFlowTok">
    <w:name w:val="ControlFlowTok"/>
    <w:basedOn w:val="VerbatimChar"/>
    <w:rPr>
      <w:b/>
      <w:color w:val="007020"/>
    </w:rPr>
  </w:style>
  <w:style w:type="character" w:customStyle="1" w:styleId="OperatorTok">
    <w:name w:val="OperatorTok"/>
    <w:basedOn w:val="VerbatimChar"/>
    <w:rPr>
      <w:color w:val="666666"/>
    </w:rPr>
  </w:style>
  <w:style w:type="character" w:customStyle="1" w:styleId="BuiltInTok">
    <w:name w:val="BuiltInTok"/>
    <w:basedOn w:val="VerbatimChar"/>
    <w:rPr>
      <w:color w:val="008000"/>
    </w:rPr>
  </w:style>
  <w:style w:type="character" w:customStyle="1" w:styleId="ExtensionTok">
    <w:name w:val="ExtensionTok"/>
    <w:basedOn w:val="VerbatimChar"/>
    <w:rPr/>
  </w:style>
  <w:style w:type="character" w:customStyle="1" w:styleId="PreprocessorTok">
    <w:name w:val="PreprocessorTok"/>
    <w:basedOn w:val="VerbatimChar"/>
    <w:rPr>
      <w:color w:val="bc7a00"/>
    </w:rPr>
  </w:style>
  <w:style w:type="character" w:customStyle="1" w:styleId="AttributeTok">
    <w:name w:val="AttributeTok"/>
    <w:basedOn w:val="VerbatimChar"/>
    <w:rPr>
      <w:color w:val="7d9029"/>
    </w:rPr>
  </w:style>
  <w:style w:type="character" w:customStyle="1" w:styleId="RegionMarkerTok">
    <w:name w:val="RegionMarkerTok"/>
    <w:basedOn w:val="VerbatimChar"/>
    <w:rPr/>
  </w:style>
  <w:style w:type="character" w:customStyle="1" w:styleId="InformationTok">
    <w:name w:val="InformationTok"/>
    <w:basedOn w:val="VerbatimChar"/>
    <w:rPr>
      <w:b/>
      <w:i/>
      <w:color w:val="60a0b0"/>
    </w:rPr>
  </w:style>
  <w:style w:type="character" w:customStyle="1" w:styleId="WarningTok">
    <w:name w:val="WarningTok"/>
    <w:basedOn w:val="VerbatimChar"/>
    <w:rPr>
      <w:b/>
      <w:i/>
      <w:color w:val="60a0b0"/>
    </w:rPr>
  </w:style>
  <w:style w:type="character" w:customStyle="1" w:styleId="AlertTok">
    <w:name w:val="AlertTok"/>
    <w:basedOn w:val="VerbatimChar"/>
    <w:rPr>
      <w:b/>
      <w:color w:val="ff0000"/>
    </w:rPr>
  </w:style>
  <w:style w:type="character" w:customStyle="1" w:styleId="ErrorTok">
    <w:name w:val="ErrorTok"/>
    <w:basedOn w:val="VerbatimChar"/>
    <w:rPr>
      <w:b/>
      <w:color w:val="ff0000"/>
    </w:rPr>
  </w:style>
  <w:style w:type="character" w:customStyle="1" w:styleId="NormalTok">
    <w:name w:val="NormalTok"/>
    <w:basedOn w:val="VerbatimChar"/>
    <w:rPr/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/Relationships>
</file>

<file path=word/_rels/footnotes.xml.rels><?xml version="1.0" encoding="UTF-8"?><Relationships xmlns="http://schemas.openxmlformats.org/package/2006/relationships" 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creator/>
  <cp:keywords/>
  <dcterms:created xsi:type="dcterms:W3CDTF">2026-08-24T08:19:15Z</dcterms:created>
  <dcterms:modified xsi:type="dcterms:W3CDTF">2026-08-24T08:19:15Z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