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22D0C" w14:textId="3E38377F" w:rsidR="001128F7" w:rsidRDefault="001128F7" w:rsidP="001128F7">
      <w:pPr>
        <w:shd w:val="clear" w:color="auto" w:fill="FFFFFF"/>
        <w:spacing w:after="100" w:afterAutospacing="1" w:line="240" w:lineRule="auto"/>
        <w:jc w:val="center"/>
        <w:rPr>
          <w:rFonts w:ascii="Segoe UI" w:eastAsia="Times New Roman" w:hAnsi="Segoe UI" w:cs="Segoe UI"/>
          <w:color w:val="484848"/>
          <w:sz w:val="26"/>
          <w:szCs w:val="26"/>
        </w:rPr>
      </w:pPr>
      <w:bookmarkStart w:id="0" w:name="_GoBack"/>
      <w:r>
        <w:rPr>
          <w:noProof/>
        </w:rPr>
        <w:drawing>
          <wp:inline distT="0" distB="0" distL="0" distR="0" wp14:anchorId="41731043" wp14:editId="3465BE09">
            <wp:extent cx="4333875" cy="3238500"/>
            <wp:effectExtent l="0" t="0" r="0" b="0"/>
            <wp:docPr id="1" name="Picture 1" descr="Image result for border padding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rder padding mar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3238500"/>
                    </a:xfrm>
                    <a:prstGeom prst="rect">
                      <a:avLst/>
                    </a:prstGeom>
                    <a:noFill/>
                    <a:ln>
                      <a:noFill/>
                    </a:ln>
                  </pic:spPr>
                </pic:pic>
              </a:graphicData>
            </a:graphic>
          </wp:inline>
        </w:drawing>
      </w:r>
      <w:bookmarkEnd w:id="0"/>
    </w:p>
    <w:p w14:paraId="2CAAF5E9" w14:textId="77777777" w:rsidR="001128F7" w:rsidRDefault="001128F7" w:rsidP="00B80BFB">
      <w:pPr>
        <w:shd w:val="clear" w:color="auto" w:fill="FFFFFF"/>
        <w:spacing w:after="100" w:afterAutospacing="1" w:line="240" w:lineRule="auto"/>
        <w:rPr>
          <w:rFonts w:ascii="Segoe UI" w:eastAsia="Times New Roman" w:hAnsi="Segoe UI" w:cs="Segoe UI"/>
          <w:color w:val="484848"/>
          <w:sz w:val="26"/>
          <w:szCs w:val="26"/>
        </w:rPr>
      </w:pPr>
    </w:p>
    <w:p w14:paraId="03961ABE" w14:textId="4B76EE90" w:rsidR="00B80BFB" w:rsidRPr="00B80BFB" w:rsidRDefault="00B80BFB" w:rsidP="00B80BFB">
      <w:pPr>
        <w:shd w:val="clear" w:color="auto" w:fill="FFFFFF"/>
        <w:spacing w:after="100" w:afterAutospacing="1" w:line="240" w:lineRule="auto"/>
        <w:rPr>
          <w:rFonts w:ascii="Segoe UI" w:eastAsia="Times New Roman" w:hAnsi="Segoe UI" w:cs="Segoe UI"/>
          <w:color w:val="484848"/>
          <w:sz w:val="26"/>
          <w:szCs w:val="26"/>
        </w:rPr>
      </w:pPr>
      <w:r w:rsidRPr="00B80BFB">
        <w:rPr>
          <w:rFonts w:ascii="Segoe UI" w:eastAsia="Times New Roman" w:hAnsi="Segoe UI" w:cs="Segoe UI"/>
          <w:color w:val="484848"/>
          <w:sz w:val="26"/>
          <w:szCs w:val="26"/>
        </w:rPr>
        <w:t>In this lesson, we covered the four properties of the box model: height and width, padding, borders, and margins. Understanding the box model is an important step towards learning more advanced HTML and CSS topics. Let’s take a minute to review what you learned.</w:t>
      </w:r>
    </w:p>
    <w:p w14:paraId="308CA4DF" w14:textId="77777777" w:rsidR="00B80BFB" w:rsidRPr="00B80BFB" w:rsidRDefault="00B80BFB" w:rsidP="00B80B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B80BFB">
        <w:rPr>
          <w:rFonts w:ascii="Segoe UI" w:eastAsia="Times New Roman" w:hAnsi="Segoe UI" w:cs="Segoe UI"/>
          <w:color w:val="484848"/>
          <w:sz w:val="26"/>
          <w:szCs w:val="26"/>
        </w:rPr>
        <w:t>The box model comprises a set of properties used to create space around and between HTML elements.</w:t>
      </w:r>
    </w:p>
    <w:p w14:paraId="1E9DBB2E" w14:textId="77777777" w:rsidR="00B80BFB" w:rsidRPr="00B80BFB" w:rsidRDefault="00B80BFB" w:rsidP="00B80B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B80BFB">
        <w:rPr>
          <w:rFonts w:ascii="Segoe UI" w:eastAsia="Times New Roman" w:hAnsi="Segoe UI" w:cs="Segoe UI"/>
          <w:color w:val="484848"/>
          <w:sz w:val="26"/>
          <w:szCs w:val="26"/>
        </w:rPr>
        <w:t>The height and width of a content area can be set in pixels or percentage.</w:t>
      </w:r>
    </w:p>
    <w:p w14:paraId="2422A815" w14:textId="77777777" w:rsidR="00B80BFB" w:rsidRPr="00B80BFB" w:rsidRDefault="00B80BFB" w:rsidP="00B80B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B80BFB">
        <w:rPr>
          <w:rFonts w:ascii="Segoe UI" w:eastAsia="Times New Roman" w:hAnsi="Segoe UI" w:cs="Segoe UI"/>
          <w:color w:val="484848"/>
          <w:sz w:val="26"/>
          <w:szCs w:val="26"/>
        </w:rPr>
        <w:t>Borders surround the content area and padding of an element. The color, style, and thickness of a border can be set with CSS properties.</w:t>
      </w:r>
    </w:p>
    <w:p w14:paraId="6096F555" w14:textId="77777777" w:rsidR="00B80BFB" w:rsidRPr="00B80BFB" w:rsidRDefault="00B80BFB" w:rsidP="00B80B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B80BFB">
        <w:rPr>
          <w:rFonts w:ascii="Segoe UI" w:eastAsia="Times New Roman" w:hAnsi="Segoe UI" w:cs="Segoe UI"/>
          <w:color w:val="484848"/>
          <w:sz w:val="26"/>
          <w:szCs w:val="26"/>
        </w:rPr>
        <w:t>Padding is the space between the content area and the border. It can be set in pixels or percent.</w:t>
      </w:r>
    </w:p>
    <w:p w14:paraId="1A4EB791" w14:textId="77777777" w:rsidR="00B80BFB" w:rsidRPr="00B80BFB" w:rsidRDefault="00B80BFB" w:rsidP="00B80B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B80BFB">
        <w:rPr>
          <w:rFonts w:ascii="Segoe UI" w:eastAsia="Times New Roman" w:hAnsi="Segoe UI" w:cs="Segoe UI"/>
          <w:color w:val="484848"/>
          <w:sz w:val="26"/>
          <w:szCs w:val="26"/>
        </w:rPr>
        <w:t>Margin is the amount of spacing outside of an element’s border.</w:t>
      </w:r>
    </w:p>
    <w:p w14:paraId="58E4E88D" w14:textId="77777777" w:rsidR="00B80BFB" w:rsidRPr="00B80BFB" w:rsidRDefault="00B80BFB" w:rsidP="00B80B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B80BFB">
        <w:rPr>
          <w:rFonts w:ascii="Segoe UI" w:eastAsia="Times New Roman" w:hAnsi="Segoe UI" w:cs="Segoe UI"/>
          <w:color w:val="484848"/>
          <w:sz w:val="26"/>
          <w:szCs w:val="26"/>
        </w:rPr>
        <w:t>Horizontal margins add, so the total space between the borders of adjacent elements is equal to the sum of the right margin of one element and the left margin of the adjacent element.</w:t>
      </w:r>
    </w:p>
    <w:p w14:paraId="60BA4FDF" w14:textId="77777777" w:rsidR="00B80BFB" w:rsidRPr="00B80BFB" w:rsidRDefault="00B80BFB" w:rsidP="00B80B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B80BFB">
        <w:rPr>
          <w:rFonts w:ascii="Segoe UI" w:eastAsia="Times New Roman" w:hAnsi="Segoe UI" w:cs="Segoe UI"/>
          <w:color w:val="484848"/>
          <w:sz w:val="26"/>
          <w:szCs w:val="26"/>
        </w:rPr>
        <w:t>Vertical margins collapse, so the space between vertically adjacent elements is equal to the larger margin.</w:t>
      </w:r>
    </w:p>
    <w:p w14:paraId="6697185E" w14:textId="77777777" w:rsidR="00B80BFB" w:rsidRPr="00B80BFB" w:rsidRDefault="00B80BFB" w:rsidP="00B80B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B80BFB">
        <w:rPr>
          <w:rFonts w:ascii="Consolas" w:eastAsia="Times New Roman" w:hAnsi="Consolas" w:cs="Courier New"/>
          <w:color w:val="15141F"/>
          <w:sz w:val="20"/>
          <w:szCs w:val="20"/>
          <w:shd w:val="clear" w:color="auto" w:fill="DFE0E0"/>
        </w:rPr>
        <w:t>margin: 0 auto</w:t>
      </w:r>
      <w:r w:rsidRPr="00B80BFB">
        <w:rPr>
          <w:rFonts w:ascii="Segoe UI" w:eastAsia="Times New Roman" w:hAnsi="Segoe UI" w:cs="Segoe UI"/>
          <w:color w:val="484848"/>
          <w:sz w:val="26"/>
          <w:szCs w:val="26"/>
        </w:rPr>
        <w:t> horizontally centers an element inside of its parent content area, if it has a width.</w:t>
      </w:r>
    </w:p>
    <w:p w14:paraId="4D8EBFBD" w14:textId="77777777" w:rsidR="00B80BFB" w:rsidRPr="00B80BFB" w:rsidRDefault="00B80BFB" w:rsidP="00B80B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B80BFB">
        <w:rPr>
          <w:rFonts w:ascii="Segoe UI" w:eastAsia="Times New Roman" w:hAnsi="Segoe UI" w:cs="Segoe UI"/>
          <w:color w:val="484848"/>
          <w:sz w:val="26"/>
          <w:szCs w:val="26"/>
        </w:rPr>
        <w:lastRenderedPageBreak/>
        <w:t>The </w:t>
      </w:r>
      <w:r w:rsidRPr="00B80BFB">
        <w:rPr>
          <w:rFonts w:ascii="Consolas" w:eastAsia="Times New Roman" w:hAnsi="Consolas" w:cs="Courier New"/>
          <w:color w:val="15141F"/>
          <w:sz w:val="20"/>
          <w:szCs w:val="20"/>
          <w:shd w:val="clear" w:color="auto" w:fill="DFE0E0"/>
        </w:rPr>
        <w:t>overflow</w:t>
      </w:r>
      <w:r w:rsidRPr="00B80BFB">
        <w:rPr>
          <w:rFonts w:ascii="Segoe UI" w:eastAsia="Times New Roman" w:hAnsi="Segoe UI" w:cs="Segoe UI"/>
          <w:color w:val="484848"/>
          <w:sz w:val="26"/>
          <w:szCs w:val="26"/>
        </w:rPr>
        <w:t> property can be set to </w:t>
      </w:r>
      <w:r w:rsidRPr="00B80BFB">
        <w:rPr>
          <w:rFonts w:ascii="Consolas" w:eastAsia="Times New Roman" w:hAnsi="Consolas" w:cs="Courier New"/>
          <w:color w:val="15141F"/>
          <w:sz w:val="20"/>
          <w:szCs w:val="20"/>
          <w:shd w:val="clear" w:color="auto" w:fill="DFE0E0"/>
        </w:rPr>
        <w:t>display</w:t>
      </w:r>
      <w:r w:rsidRPr="00B80BFB">
        <w:rPr>
          <w:rFonts w:ascii="Segoe UI" w:eastAsia="Times New Roman" w:hAnsi="Segoe UI" w:cs="Segoe UI"/>
          <w:color w:val="484848"/>
          <w:sz w:val="26"/>
          <w:szCs w:val="26"/>
        </w:rPr>
        <w:t>, </w:t>
      </w:r>
      <w:r w:rsidRPr="00B80BFB">
        <w:rPr>
          <w:rFonts w:ascii="Consolas" w:eastAsia="Times New Roman" w:hAnsi="Consolas" w:cs="Courier New"/>
          <w:color w:val="15141F"/>
          <w:sz w:val="20"/>
          <w:szCs w:val="20"/>
          <w:shd w:val="clear" w:color="auto" w:fill="DFE0E0"/>
        </w:rPr>
        <w:t>hide</w:t>
      </w:r>
      <w:r w:rsidRPr="00B80BFB">
        <w:rPr>
          <w:rFonts w:ascii="Segoe UI" w:eastAsia="Times New Roman" w:hAnsi="Segoe UI" w:cs="Segoe UI"/>
          <w:color w:val="484848"/>
          <w:sz w:val="26"/>
          <w:szCs w:val="26"/>
        </w:rPr>
        <w:t>, or </w:t>
      </w:r>
      <w:r w:rsidRPr="00B80BFB">
        <w:rPr>
          <w:rFonts w:ascii="Consolas" w:eastAsia="Times New Roman" w:hAnsi="Consolas" w:cs="Courier New"/>
          <w:color w:val="15141F"/>
          <w:sz w:val="20"/>
          <w:szCs w:val="20"/>
          <w:shd w:val="clear" w:color="auto" w:fill="DFE0E0"/>
        </w:rPr>
        <w:t>scroll</w:t>
      </w:r>
      <w:r w:rsidRPr="00B80BFB">
        <w:rPr>
          <w:rFonts w:ascii="Segoe UI" w:eastAsia="Times New Roman" w:hAnsi="Segoe UI" w:cs="Segoe UI"/>
          <w:color w:val="484848"/>
          <w:sz w:val="26"/>
          <w:szCs w:val="26"/>
        </w:rPr>
        <w:t>, and dictates how HTML will render content that overflows its parent’s content area.</w:t>
      </w:r>
    </w:p>
    <w:p w14:paraId="785E9D95" w14:textId="77777777" w:rsidR="00B80BFB" w:rsidRPr="00B80BFB" w:rsidRDefault="00B80BFB" w:rsidP="00B80B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B80BFB">
        <w:rPr>
          <w:rFonts w:ascii="Segoe UI" w:eastAsia="Times New Roman" w:hAnsi="Segoe UI" w:cs="Segoe UI"/>
          <w:color w:val="484848"/>
          <w:sz w:val="26"/>
          <w:szCs w:val="26"/>
        </w:rPr>
        <w:t>The </w:t>
      </w:r>
      <w:r w:rsidRPr="00B80BFB">
        <w:rPr>
          <w:rFonts w:ascii="Consolas" w:eastAsia="Times New Roman" w:hAnsi="Consolas" w:cs="Courier New"/>
          <w:color w:val="15141F"/>
          <w:sz w:val="20"/>
          <w:szCs w:val="20"/>
          <w:shd w:val="clear" w:color="auto" w:fill="DFE0E0"/>
        </w:rPr>
        <w:t>visibility</w:t>
      </w:r>
      <w:r w:rsidRPr="00B80BFB">
        <w:rPr>
          <w:rFonts w:ascii="Segoe UI" w:eastAsia="Times New Roman" w:hAnsi="Segoe UI" w:cs="Segoe UI"/>
          <w:color w:val="484848"/>
          <w:sz w:val="26"/>
          <w:szCs w:val="26"/>
        </w:rPr>
        <w:t> property can hide or show elements.</w:t>
      </w:r>
    </w:p>
    <w:p w14:paraId="4AE34E4E" w14:textId="77777777" w:rsidR="00762155" w:rsidRDefault="00762155"/>
    <w:sectPr w:rsidR="0076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76BC"/>
    <w:multiLevelType w:val="multilevel"/>
    <w:tmpl w:val="AAE2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4A"/>
    <w:rsid w:val="001128F7"/>
    <w:rsid w:val="003F694A"/>
    <w:rsid w:val="00762155"/>
    <w:rsid w:val="00B80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FAAB"/>
  <w15:chartTrackingRefBased/>
  <w15:docId w15:val="{842DD2EE-1471-420F-9D9C-DB1A5274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B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0B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8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Yong M.</dc:creator>
  <cp:keywords/>
  <dc:description/>
  <cp:lastModifiedBy>Chen, Yong M.</cp:lastModifiedBy>
  <cp:revision>3</cp:revision>
  <dcterms:created xsi:type="dcterms:W3CDTF">2019-07-06T06:01:00Z</dcterms:created>
  <dcterms:modified xsi:type="dcterms:W3CDTF">2019-07-06T06:09:00Z</dcterms:modified>
</cp:coreProperties>
</file>