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015AA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  <w:lang w:val="en-US" w:eastAsia="zh-CN"/>
        </w:rPr>
        <w:t>经济与管理</w:t>
      </w:r>
      <w:r>
        <w:rPr>
          <w:rFonts w:hint="eastAsia"/>
          <w:b/>
          <w:sz w:val="32"/>
          <w:szCs w:val="32"/>
        </w:rPr>
        <w:t>学院毕业设计（论文）周记         第</w:t>
      </w:r>
      <w:r>
        <w:rPr>
          <w:rFonts w:hint="eastAsia"/>
          <w:b/>
          <w:sz w:val="32"/>
          <w:szCs w:val="32"/>
          <w:lang w:val="en-US" w:eastAsia="zh-CN"/>
        </w:rPr>
        <w:t>十</w:t>
      </w:r>
      <w:r>
        <w:rPr>
          <w:rFonts w:hint="eastAsia"/>
          <w:b/>
          <w:sz w:val="32"/>
          <w:szCs w:val="32"/>
        </w:rPr>
        <w:t>周</w:t>
      </w:r>
    </w:p>
    <w:tbl>
      <w:tblPr>
        <w:tblStyle w:val="5"/>
        <w:tblW w:w="900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3060"/>
        <w:gridCol w:w="720"/>
        <w:gridCol w:w="1980"/>
        <w:gridCol w:w="1080"/>
        <w:gridCol w:w="1260"/>
      </w:tblGrid>
      <w:tr w14:paraId="222CCCC3">
        <w:trPr>
          <w:trHeight w:val="607" w:hRule="atLeast"/>
        </w:trPr>
        <w:tc>
          <w:tcPr>
            <w:tcW w:w="900" w:type="dxa"/>
            <w:vAlign w:val="center"/>
          </w:tcPr>
          <w:p w14:paraId="6DBBB139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3D7271FE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信息管理与信息系统</w:t>
            </w:r>
          </w:p>
        </w:tc>
        <w:tc>
          <w:tcPr>
            <w:tcW w:w="720" w:type="dxa"/>
            <w:vAlign w:val="center"/>
          </w:tcPr>
          <w:p w14:paraId="6C3A9AB2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40BD871B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不同在线社交线索下的社会科学数据复用行为特征研究</w:t>
            </w:r>
          </w:p>
        </w:tc>
      </w:tr>
      <w:tr w14:paraId="0DC9246D">
        <w:trPr>
          <w:trHeight w:val="607" w:hRule="atLeast"/>
        </w:trPr>
        <w:tc>
          <w:tcPr>
            <w:tcW w:w="900" w:type="dxa"/>
            <w:vAlign w:val="center"/>
          </w:tcPr>
          <w:p w14:paraId="141ECD93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0D244327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赵红玉</w:t>
            </w:r>
          </w:p>
        </w:tc>
        <w:tc>
          <w:tcPr>
            <w:tcW w:w="720" w:type="dxa"/>
            <w:vAlign w:val="center"/>
          </w:tcPr>
          <w:p w14:paraId="388FF965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7964770B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21069100225</w:t>
            </w:r>
          </w:p>
        </w:tc>
        <w:tc>
          <w:tcPr>
            <w:tcW w:w="1080" w:type="dxa"/>
            <w:vAlign w:val="center"/>
          </w:tcPr>
          <w:p w14:paraId="3EC87BE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0112CAA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053C2241">
            <w:pPr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马续补</w:t>
            </w:r>
          </w:p>
        </w:tc>
      </w:tr>
      <w:tr w14:paraId="6797F200">
        <w:trPr>
          <w:trHeight w:val="384" w:hRule="atLeast"/>
        </w:trPr>
        <w:tc>
          <w:tcPr>
            <w:tcW w:w="9000" w:type="dxa"/>
            <w:gridSpan w:val="6"/>
            <w:vAlign w:val="center"/>
          </w:tcPr>
          <w:p w14:paraId="7883315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1、主要工作内容和进展</w:t>
            </w:r>
          </w:p>
        </w:tc>
      </w:tr>
      <w:tr w14:paraId="458A8BD6">
        <w:trPr>
          <w:trHeight w:val="2687" w:hRule="atLeast"/>
        </w:trPr>
        <w:tc>
          <w:tcPr>
            <w:tcW w:w="9000" w:type="dxa"/>
            <w:gridSpan w:val="6"/>
            <w:vAlign w:val="center"/>
          </w:tcPr>
          <w:p w14:paraId="22E6BF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（</w:t>
            </w:r>
            <w:r>
              <w:rPr>
                <w:rFonts w:hint="eastAsia"/>
                <w:sz w:val="24"/>
                <w:lang w:val="en-US" w:eastAsia="zh-CN"/>
              </w:rPr>
              <w:t>1）</w:t>
            </w:r>
            <w:r>
              <w:rPr>
                <w:rFonts w:hint="eastAsia"/>
                <w:sz w:val="24"/>
                <w:lang w:eastAsia="zh-CN"/>
              </w:rPr>
              <w:t>数据分析收尾与报告撰写</w:t>
            </w:r>
          </w:p>
          <w:p w14:paraId="65C7DB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eastAsia="zh-CN"/>
              </w:rPr>
              <w:t>详细描述统计模型，SEM（结构方程模型）。说明采用最大似然估计法，模型适配度指标；ANOVA与协方差分析。明确因变量（感知有用性、复用效率）、自变量（组别）；中介效应检验：Bootstrap法（5000次抽样）验证间接效应。</w:t>
            </w:r>
          </w:p>
          <w:p w14:paraId="0E8F07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20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eastAsia="zh-CN"/>
              </w:rPr>
              <w:t>（</w:t>
            </w:r>
            <w:r>
              <w:rPr>
                <w:rFonts w:hint="eastAsia"/>
                <w:sz w:val="24"/>
                <w:lang w:val="en-US" w:eastAsia="zh-CN"/>
              </w:rPr>
              <w:t>2）</w:t>
            </w:r>
            <w:r>
              <w:rPr>
                <w:rFonts w:hint="eastAsia"/>
                <w:sz w:val="24"/>
              </w:rPr>
              <w:t>行为模式数据整合</w:t>
            </w:r>
          </w:p>
          <w:p w14:paraId="2A90F3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20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录屏信息人工转录</w:t>
            </w:r>
            <w:r>
              <w:rPr>
                <w:rFonts w:hint="eastAsia"/>
                <w:sz w:val="24"/>
                <w:lang w:eastAsia="zh-CN"/>
              </w:rPr>
              <w:t>。</w:t>
            </w:r>
            <w:r>
              <w:rPr>
                <w:rFonts w:hint="eastAsia"/>
                <w:sz w:val="24"/>
              </w:rPr>
              <w:t>将60名被试的录屏行为日志（点击、滚动、收藏等）逐帧转录为文字记录；制定统一转录规则。</w:t>
            </w:r>
          </w:p>
          <w:p w14:paraId="07A7CE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20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行为编码框架构建</w:t>
            </w:r>
            <w:r>
              <w:rPr>
                <w:rFonts w:hint="eastAsia"/>
                <w:sz w:val="24"/>
                <w:lang w:eastAsia="zh-CN"/>
              </w:rPr>
              <w:t>。</w:t>
            </w:r>
            <w:r>
              <w:rPr>
                <w:rFonts w:hint="eastAsia"/>
                <w:sz w:val="24"/>
              </w:rPr>
              <w:t>定义行为标签</w:t>
            </w:r>
            <w:r>
              <w:rPr>
                <w:rFonts w:hint="eastAsia"/>
                <w:sz w:val="24"/>
                <w:lang w:eastAsia="zh-CN"/>
              </w:rPr>
              <w:t>。</w:t>
            </w:r>
            <w:r>
              <w:rPr>
                <w:rFonts w:hint="eastAsia"/>
                <w:sz w:val="24"/>
              </w:rPr>
              <w:t>开发动态编码手册（含操作示例与歧义处理规则）。编码一致性检验</w:t>
            </w:r>
            <w:r>
              <w:rPr>
                <w:rFonts w:hint="eastAsia"/>
                <w:sz w:val="24"/>
                <w:lang w:eastAsia="zh-CN"/>
              </w:rPr>
              <w:t>。</w:t>
            </w:r>
            <w:r>
              <w:rPr>
                <w:rFonts w:hint="eastAsia"/>
                <w:sz w:val="24"/>
              </w:rPr>
              <w:t>随机抽取10%样本（6人），由两名编码员独立操作，Kappa系数=0.82（p&lt;0.001），信度达标。</w:t>
            </w:r>
          </w:p>
        </w:tc>
      </w:tr>
      <w:tr w14:paraId="6ABB4CFB">
        <w:trPr>
          <w:trHeight w:val="419" w:hRule="atLeast"/>
        </w:trPr>
        <w:tc>
          <w:tcPr>
            <w:tcW w:w="9000" w:type="dxa"/>
            <w:gridSpan w:val="6"/>
            <w:vAlign w:val="center"/>
          </w:tcPr>
          <w:p w14:paraId="48B2B01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2、存在的主要问题和解决办法与思路</w:t>
            </w:r>
          </w:p>
        </w:tc>
      </w:tr>
      <w:tr w14:paraId="45BF0A81">
        <w:trPr>
          <w:trHeight w:val="1540" w:hRule="atLeast"/>
        </w:trPr>
        <w:tc>
          <w:tcPr>
            <w:tcW w:w="9000" w:type="dxa"/>
            <w:gridSpan w:val="6"/>
            <w:vAlign w:val="center"/>
          </w:tcPr>
          <w:p w14:paraId="26E5706D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问题：行为编码过程中主观偏差显著</w:t>
            </w:r>
          </w:p>
          <w:p w14:paraId="502624D2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具体表现：编码</w:t>
            </w:r>
            <w:r>
              <w:rPr>
                <w:rFonts w:hint="eastAsia"/>
                <w:sz w:val="24"/>
                <w:lang w:val="en-US" w:eastAsia="zh-CN"/>
              </w:rPr>
              <w:t>时</w:t>
            </w:r>
            <w:r>
              <w:rPr>
                <w:rFonts w:hint="eastAsia"/>
                <w:sz w:val="24"/>
              </w:rPr>
              <w:t>对“浏览评论”行为的判定标准不一致：</w:t>
            </w:r>
          </w:p>
          <w:p w14:paraId="0AD1C099">
            <w:pPr>
              <w:spacing w:line="40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解决思路：</w:t>
            </w:r>
          </w:p>
          <w:p w14:paraId="7AFC082B">
            <w:pPr>
              <w:spacing w:line="400" w:lineRule="exact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修订编码手册</w:t>
            </w:r>
            <w:r>
              <w:rPr>
                <w:rFonts w:hint="eastAsia"/>
                <w:sz w:val="24"/>
                <w:lang w:eastAsia="zh-CN"/>
              </w:rPr>
              <w:t>。</w:t>
            </w:r>
            <w:r>
              <w:rPr>
                <w:rFonts w:hint="eastAsia"/>
                <w:sz w:val="24"/>
              </w:rPr>
              <w:t>明确定义行为标签的操作阈值</w:t>
            </w:r>
            <w:r>
              <w:rPr>
                <w:rFonts w:hint="eastAsia"/>
                <w:sz w:val="24"/>
                <w:lang w:eastAsia="zh-CN"/>
              </w:rPr>
              <w:t>，</w:t>
            </w:r>
            <w:r>
              <w:rPr>
                <w:rFonts w:hint="eastAsia"/>
                <w:sz w:val="24"/>
                <w:lang w:val="en-US" w:eastAsia="zh-CN"/>
              </w:rPr>
              <w:t>每一行为均有独特的</w:t>
            </w:r>
            <w:r>
              <w:rPr>
                <w:rFonts w:hint="eastAsia"/>
                <w:sz w:val="24"/>
              </w:rPr>
              <w:t>行为标签</w:t>
            </w:r>
            <w:r>
              <w:rPr>
                <w:rFonts w:hint="eastAsia"/>
                <w:sz w:val="24"/>
                <w:lang w:eastAsia="zh-CN"/>
              </w:rPr>
              <w:t>，</w:t>
            </w:r>
            <w:r>
              <w:rPr>
                <w:rFonts w:hint="eastAsia"/>
                <w:sz w:val="24"/>
                <w:lang w:val="en-US" w:eastAsia="zh-CN"/>
              </w:rPr>
              <w:t>且整个过程的行为不超过所给的行为标签</w:t>
            </w:r>
            <w:r>
              <w:rPr>
                <w:rFonts w:hint="eastAsia"/>
                <w:sz w:val="24"/>
                <w:lang w:eastAsia="zh-CN"/>
              </w:rPr>
              <w:t>。</w:t>
            </w:r>
          </w:p>
        </w:tc>
      </w:tr>
      <w:tr w14:paraId="6CD79060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3B08DF72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3、下周工作计划</w:t>
            </w:r>
          </w:p>
        </w:tc>
      </w:tr>
      <w:tr w14:paraId="45D9232A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603F56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default" w:eastAsia="宋体"/>
                <w:sz w:val="24"/>
                <w:lang w:val="en-US" w:eastAsia="zh-CN"/>
              </w:rPr>
              <w:t>数据预处理与特征提取</w:t>
            </w:r>
            <w:r>
              <w:rPr>
                <w:rFonts w:hint="eastAsia"/>
                <w:sz w:val="24"/>
                <w:lang w:val="en-US" w:eastAsia="zh-CN"/>
              </w:rPr>
              <w:t>。</w:t>
            </w:r>
            <w:r>
              <w:rPr>
                <w:rFonts w:hint="default" w:eastAsia="宋体"/>
                <w:sz w:val="24"/>
                <w:lang w:val="en-US" w:eastAsia="zh-CN"/>
              </w:rPr>
              <w:t>行为序列标准化</w:t>
            </w:r>
            <w:r>
              <w:rPr>
                <w:rFonts w:hint="eastAsia"/>
                <w:sz w:val="24"/>
                <w:lang w:val="en-US" w:eastAsia="zh-CN"/>
              </w:rPr>
              <w:t>。</w:t>
            </w:r>
            <w:r>
              <w:rPr>
                <w:rFonts w:hint="default" w:eastAsia="宋体"/>
                <w:sz w:val="24"/>
                <w:lang w:val="en-US" w:eastAsia="zh-CN"/>
              </w:rPr>
              <w:t>将转录后的行为日志（如“搜索→点击评分→收藏”）转化为时序编码（例：A1→B2→C3），统一符号体系；提取关键特征</w:t>
            </w:r>
            <w:r>
              <w:rPr>
                <w:rFonts w:hint="eastAsia"/>
                <w:sz w:val="24"/>
                <w:lang w:val="en-US" w:eastAsia="zh-CN"/>
              </w:rPr>
              <w:t>，</w:t>
            </w:r>
            <w:r>
              <w:rPr>
                <w:rFonts w:hint="default" w:eastAsia="宋体"/>
                <w:sz w:val="24"/>
                <w:lang w:val="en-US" w:eastAsia="zh-CN"/>
              </w:rPr>
              <w:t>构建转移矩阵</w:t>
            </w:r>
            <w:r>
              <w:rPr>
                <w:rFonts w:hint="eastAsia"/>
                <w:sz w:val="24"/>
                <w:lang w:val="en-US" w:eastAsia="zh-CN"/>
              </w:rPr>
              <w:t>。</w:t>
            </w:r>
          </w:p>
          <w:p w14:paraId="6D2648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eastAsia="宋体"/>
                <w:sz w:val="24"/>
                <w:lang w:val="en-US" w:eastAsia="zh-CN"/>
              </w:rPr>
              <w:t>聚类方法实施</w:t>
            </w:r>
            <w:r>
              <w:rPr>
                <w:rFonts w:hint="eastAsia"/>
                <w:sz w:val="24"/>
                <w:lang w:val="en-US" w:eastAsia="zh-CN"/>
              </w:rPr>
              <w:t>。先采用</w:t>
            </w:r>
            <w:r>
              <w:rPr>
                <w:rFonts w:hint="default" w:eastAsia="宋体"/>
                <w:sz w:val="24"/>
                <w:lang w:val="en-US" w:eastAsia="zh-CN"/>
              </w:rPr>
              <w:t>层次聚类（Ward法）</w:t>
            </w:r>
            <w:r>
              <w:rPr>
                <w:rFonts w:hint="eastAsia"/>
                <w:sz w:val="24"/>
                <w:lang w:val="en-US" w:eastAsia="zh-CN"/>
              </w:rPr>
              <w:t>分析，再用</w:t>
            </w:r>
            <w:r>
              <w:rPr>
                <w:rFonts w:hint="default" w:eastAsia="宋体"/>
                <w:sz w:val="24"/>
                <w:lang w:val="en-US" w:eastAsia="zh-CN"/>
              </w:rPr>
              <w:t>K-means补充验证</w:t>
            </w:r>
            <w:r>
              <w:rPr>
                <w:rFonts w:hint="eastAsia"/>
                <w:sz w:val="24"/>
                <w:lang w:val="en-US" w:eastAsia="zh-CN"/>
              </w:rPr>
              <w:t>。</w:t>
            </w:r>
            <w:r>
              <w:rPr>
                <w:rFonts w:hint="default" w:eastAsia="宋体"/>
                <w:sz w:val="24"/>
                <w:lang w:val="en-US" w:eastAsia="zh-CN"/>
              </w:rPr>
              <w:t>对比两种方法结果，选择解释性更强的方案。</w:t>
            </w:r>
            <w:bookmarkStart w:id="0" w:name="_GoBack"/>
            <w:bookmarkEnd w:id="0"/>
          </w:p>
        </w:tc>
      </w:tr>
      <w:tr w14:paraId="54AF3454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07CFFB3C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4、导师意见</w:t>
            </w:r>
          </w:p>
        </w:tc>
      </w:tr>
      <w:tr w14:paraId="067A6891">
        <w:trPr>
          <w:trHeight w:val="406" w:hRule="atLeast"/>
        </w:trPr>
        <w:tc>
          <w:tcPr>
            <w:tcW w:w="9000" w:type="dxa"/>
            <w:gridSpan w:val="6"/>
            <w:vAlign w:val="center"/>
          </w:tcPr>
          <w:p w14:paraId="24821DC2">
            <w:pPr>
              <w:spacing w:line="400" w:lineRule="exact"/>
              <w:ind w:leftChars="200"/>
              <w:rPr>
                <w:b/>
                <w:sz w:val="24"/>
              </w:rPr>
            </w:pP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4516755</wp:posOffset>
                  </wp:positionH>
                  <wp:positionV relativeFrom="paragraph">
                    <wp:posOffset>111760</wp:posOffset>
                  </wp:positionV>
                  <wp:extent cx="1038860" cy="647700"/>
                  <wp:effectExtent l="0" t="0" r="0" b="10160"/>
                  <wp:wrapSquare wrapText="bothSides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clrChange>
                              <a:clrFrom>
                                <a:srgbClr val="BDB8AC"/>
                              </a:clrFrom>
                              <a:clrTo>
                                <a:srgbClr val="BDB8AC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491" t="36626" r="36823" b="378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6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eastAsia="宋体"/>
                <w:sz w:val="24"/>
                <w:lang w:val="en-US" w:eastAsia="zh-CN"/>
              </w:rPr>
              <w:t>同意。</w:t>
            </w:r>
          </w:p>
          <w:p w14:paraId="5B87EDB2">
            <w:pPr>
              <w:spacing w:line="400" w:lineRule="exact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            指导教师（签名）：</w:t>
            </w:r>
          </w:p>
          <w:p w14:paraId="7E34E8FA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3A82BCDB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t>说明：1. 本表每周由学生填写，导师签署意见。</w:t>
      </w:r>
    </w:p>
    <w:p w14:paraId="2B796AB1">
      <w:pPr>
        <w:ind w:left="840" w:hanging="840" w:hangingChars="400"/>
        <w:rPr>
          <w:szCs w:val="21"/>
        </w:rPr>
      </w:pPr>
      <w:r>
        <w:rPr>
          <w:rFonts w:hint="eastAsia"/>
          <w:szCs w:val="21"/>
        </w:rPr>
        <w:t xml:space="preserve">      2. 此表格作为答辩资格审查材料之一。</w:t>
      </w:r>
    </w:p>
    <w:p w14:paraId="461CBD6E">
      <w:pPr>
        <w:ind w:left="840" w:hanging="840" w:hangingChars="400"/>
        <w:rPr>
          <w:szCs w:val="21"/>
        </w:rPr>
      </w:pPr>
      <w:r>
        <w:rPr>
          <w:rFonts w:hint="eastAsia"/>
          <w:szCs w:val="21"/>
        </w:rPr>
        <w:t xml:space="preserve">      3. 文中字体采用宋体小四号，行间距为固定值20磅。</w:t>
      </w:r>
    </w:p>
    <w:p w14:paraId="787F5C04"/>
    <w:p w14:paraId="6DD9902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123FFE"/>
    <w:rsid w:val="0F8F3712"/>
    <w:rsid w:val="14123FFE"/>
    <w:rsid w:val="2F367CE8"/>
    <w:rsid w:val="67EA5850"/>
    <w:rsid w:val="6DEF8EF8"/>
    <w:rsid w:val="6FC7194A"/>
    <w:rsid w:val="7FDEDB2D"/>
    <w:rsid w:val="E5BD07AF"/>
    <w:rsid w:val="FB9D23DA"/>
    <w:rsid w:val="FFDAC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117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2025-01-04T00:49:00Z</dcterms:created>
  <dc:creator>浮云看彩虹</dc:creator>
  <cp:lastModifiedBy>ぇッャ</cp:lastModifiedBy>
  <dcterms:modified xsi:type="dcterms:W3CDTF">2025-04-05T06:28:21Z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508C2C70D74D83A70956F067BCC696C1_43</vt:lpwstr>
  </property>
  <property fmtid="{D5CDD505-2E9C-101B-9397-08002B2CF9AE}" pid="4" name="KSOTemplateDocerSaveRecord">
    <vt:lpwstr>eyJoZGlkIjoiYzZkNzQ4ZWFiZmQ4NTRhOWRkZTk3YTMwMjlmMmZhYmUiLCJ1c2VySWQiOiIxMjYzNTcxMzIzIn0=</vt:lpwstr>
  </property>
</Properties>
</file>