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015AA">
      <w:pPr>
        <w:jc w:val="center"/>
        <w:rPr>
          <w:b/>
          <w:sz w:val="32"/>
          <w:szCs w:val="32"/>
        </w:rPr>
      </w:pPr>
      <w:r>
        <w:rPr>
          <w:rFonts w:hint="eastAsia"/>
          <w:b/>
          <w:sz w:val="32"/>
          <w:szCs w:val="32"/>
          <w:u w:val="single"/>
          <w:lang w:val="en-US" w:eastAsia="zh-CN"/>
        </w:rPr>
        <w:t>经济与管理</w:t>
      </w:r>
      <w:r>
        <w:rPr>
          <w:rFonts w:hint="eastAsia"/>
          <w:b/>
          <w:sz w:val="32"/>
          <w:szCs w:val="32"/>
        </w:rPr>
        <w:t>学院毕业设计（论文）周记         第</w:t>
      </w:r>
      <w:r>
        <w:rPr>
          <w:rFonts w:hint="eastAsia"/>
          <w:b/>
          <w:sz w:val="32"/>
          <w:szCs w:val="32"/>
          <w:lang w:val="en-US" w:eastAsia="zh-CN"/>
        </w:rPr>
        <w:t>三</w:t>
      </w:r>
      <w:r>
        <w:rPr>
          <w:rFonts w:hint="eastAsia"/>
          <w:b/>
          <w:sz w:val="32"/>
          <w:szCs w:val="32"/>
        </w:rPr>
        <w:t>周</w:t>
      </w:r>
    </w:p>
    <w:tbl>
      <w:tblPr>
        <w:tblStyle w:val="3"/>
        <w:tblW w:w="90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60"/>
        <w:gridCol w:w="720"/>
        <w:gridCol w:w="1980"/>
        <w:gridCol w:w="1080"/>
        <w:gridCol w:w="1260"/>
      </w:tblGrid>
      <w:tr w14:paraId="222CCCC3">
        <w:trPr>
          <w:trHeight w:val="607" w:hRule="atLeast"/>
        </w:trPr>
        <w:tc>
          <w:tcPr>
            <w:tcW w:w="900" w:type="dxa"/>
            <w:vAlign w:val="center"/>
          </w:tcPr>
          <w:p w14:paraId="6DBBB139">
            <w:pPr>
              <w:jc w:val="center"/>
              <w:rPr>
                <w:b/>
                <w:sz w:val="24"/>
              </w:rPr>
            </w:pPr>
            <w:r>
              <w:rPr>
                <w:rFonts w:hint="eastAsia"/>
                <w:b/>
                <w:sz w:val="24"/>
              </w:rPr>
              <w:t>专业</w:t>
            </w:r>
          </w:p>
        </w:tc>
        <w:tc>
          <w:tcPr>
            <w:tcW w:w="3060" w:type="dxa"/>
            <w:vAlign w:val="center"/>
          </w:tcPr>
          <w:p w14:paraId="3D7271FE">
            <w:pPr>
              <w:jc w:val="center"/>
              <w:rPr>
                <w:rFonts w:hint="eastAsia" w:eastAsia="宋体"/>
                <w:b/>
                <w:sz w:val="24"/>
                <w:lang w:val="en-US" w:eastAsia="zh-CN"/>
              </w:rPr>
            </w:pPr>
            <w:r>
              <w:rPr>
                <w:rFonts w:hint="eastAsia"/>
                <w:b/>
                <w:sz w:val="24"/>
                <w:lang w:val="en-US" w:eastAsia="zh-CN"/>
              </w:rPr>
              <w:t>信息管理与信息系统</w:t>
            </w:r>
          </w:p>
        </w:tc>
        <w:tc>
          <w:tcPr>
            <w:tcW w:w="720" w:type="dxa"/>
            <w:vAlign w:val="center"/>
          </w:tcPr>
          <w:p w14:paraId="6C3A9AB2">
            <w:pPr>
              <w:jc w:val="center"/>
              <w:rPr>
                <w:b/>
                <w:sz w:val="24"/>
              </w:rPr>
            </w:pPr>
            <w:r>
              <w:rPr>
                <w:rFonts w:hint="eastAsia"/>
                <w:b/>
                <w:sz w:val="24"/>
              </w:rPr>
              <w:t>题目</w:t>
            </w:r>
          </w:p>
        </w:tc>
        <w:tc>
          <w:tcPr>
            <w:tcW w:w="4320" w:type="dxa"/>
            <w:gridSpan w:val="3"/>
            <w:vAlign w:val="center"/>
          </w:tcPr>
          <w:p w14:paraId="40BD871B">
            <w:pPr>
              <w:jc w:val="center"/>
              <w:rPr>
                <w:b/>
                <w:sz w:val="24"/>
              </w:rPr>
            </w:pPr>
            <w:r>
              <w:rPr>
                <w:rFonts w:hint="eastAsia"/>
                <w:b/>
                <w:sz w:val="24"/>
                <w:lang w:val="en-US" w:eastAsia="zh-CN"/>
              </w:rPr>
              <w:t>不同在线社交线索下的社会科学数据复用行为特征研究</w:t>
            </w:r>
          </w:p>
        </w:tc>
      </w:tr>
      <w:tr w14:paraId="0DC9246D">
        <w:trPr>
          <w:trHeight w:val="607" w:hRule="atLeast"/>
        </w:trPr>
        <w:tc>
          <w:tcPr>
            <w:tcW w:w="900" w:type="dxa"/>
            <w:vAlign w:val="center"/>
          </w:tcPr>
          <w:p w14:paraId="141ECD93">
            <w:pPr>
              <w:jc w:val="center"/>
              <w:rPr>
                <w:b/>
                <w:sz w:val="24"/>
              </w:rPr>
            </w:pPr>
            <w:r>
              <w:rPr>
                <w:rFonts w:hint="eastAsia"/>
                <w:b/>
                <w:sz w:val="24"/>
              </w:rPr>
              <w:t>学生姓名</w:t>
            </w:r>
          </w:p>
        </w:tc>
        <w:tc>
          <w:tcPr>
            <w:tcW w:w="3060" w:type="dxa"/>
            <w:vAlign w:val="center"/>
          </w:tcPr>
          <w:p w14:paraId="0D244327">
            <w:pPr>
              <w:jc w:val="center"/>
              <w:rPr>
                <w:rFonts w:hint="eastAsia" w:eastAsia="宋体"/>
                <w:b/>
                <w:sz w:val="24"/>
                <w:lang w:val="en-US" w:eastAsia="zh-CN"/>
              </w:rPr>
            </w:pPr>
            <w:r>
              <w:rPr>
                <w:rFonts w:hint="eastAsia"/>
                <w:b/>
                <w:sz w:val="24"/>
                <w:lang w:val="en-US" w:eastAsia="zh-CN"/>
              </w:rPr>
              <w:t>赵红玉</w:t>
            </w:r>
          </w:p>
        </w:tc>
        <w:tc>
          <w:tcPr>
            <w:tcW w:w="720" w:type="dxa"/>
            <w:vAlign w:val="center"/>
          </w:tcPr>
          <w:p w14:paraId="388FF965">
            <w:pPr>
              <w:jc w:val="center"/>
              <w:rPr>
                <w:b/>
                <w:sz w:val="24"/>
              </w:rPr>
            </w:pPr>
            <w:r>
              <w:rPr>
                <w:rFonts w:hint="eastAsia"/>
                <w:b/>
                <w:sz w:val="24"/>
              </w:rPr>
              <w:t>学号</w:t>
            </w:r>
          </w:p>
        </w:tc>
        <w:tc>
          <w:tcPr>
            <w:tcW w:w="1980" w:type="dxa"/>
            <w:vAlign w:val="center"/>
          </w:tcPr>
          <w:p w14:paraId="7964770B">
            <w:pPr>
              <w:jc w:val="center"/>
              <w:rPr>
                <w:rFonts w:hint="default" w:eastAsia="宋体"/>
                <w:b/>
                <w:sz w:val="24"/>
                <w:lang w:val="en-US" w:eastAsia="zh-CN"/>
              </w:rPr>
            </w:pPr>
            <w:r>
              <w:rPr>
                <w:rFonts w:hint="eastAsia"/>
                <w:b/>
                <w:sz w:val="24"/>
                <w:lang w:val="en-US" w:eastAsia="zh-CN"/>
              </w:rPr>
              <w:t>21069100225</w:t>
            </w:r>
          </w:p>
        </w:tc>
        <w:tc>
          <w:tcPr>
            <w:tcW w:w="1080" w:type="dxa"/>
            <w:vAlign w:val="center"/>
          </w:tcPr>
          <w:p w14:paraId="6F9633DA">
            <w:pPr>
              <w:jc w:val="center"/>
              <w:rPr>
                <w:b/>
                <w:sz w:val="24"/>
              </w:rPr>
            </w:pPr>
            <w:r>
              <w:rPr>
                <w:rFonts w:hint="eastAsia"/>
                <w:b/>
                <w:sz w:val="24"/>
              </w:rPr>
              <w:t>指导</w:t>
            </w:r>
          </w:p>
          <w:p w14:paraId="162A11A6">
            <w:pPr>
              <w:jc w:val="center"/>
              <w:rPr>
                <w:b/>
                <w:sz w:val="24"/>
              </w:rPr>
            </w:pPr>
            <w:r>
              <w:rPr>
                <w:rFonts w:hint="eastAsia"/>
                <w:b/>
                <w:sz w:val="24"/>
              </w:rPr>
              <w:t>教师</w:t>
            </w:r>
          </w:p>
        </w:tc>
        <w:tc>
          <w:tcPr>
            <w:tcW w:w="1260" w:type="dxa"/>
            <w:vAlign w:val="center"/>
          </w:tcPr>
          <w:p w14:paraId="053C2241">
            <w:pPr>
              <w:jc w:val="center"/>
              <w:rPr>
                <w:rFonts w:hint="default" w:eastAsia="宋体"/>
                <w:b/>
                <w:sz w:val="24"/>
                <w:lang w:val="en-US" w:eastAsia="zh-CN"/>
              </w:rPr>
            </w:pPr>
            <w:r>
              <w:rPr>
                <w:rFonts w:hint="eastAsia"/>
                <w:b/>
                <w:sz w:val="24"/>
                <w:lang w:val="en-US" w:eastAsia="zh-CN"/>
              </w:rPr>
              <w:t>马续补</w:t>
            </w:r>
          </w:p>
        </w:tc>
      </w:tr>
      <w:tr w14:paraId="6797F200">
        <w:trPr>
          <w:trHeight w:val="384" w:hRule="atLeast"/>
        </w:trPr>
        <w:tc>
          <w:tcPr>
            <w:tcW w:w="9000" w:type="dxa"/>
            <w:gridSpan w:val="6"/>
            <w:vAlign w:val="center"/>
          </w:tcPr>
          <w:p w14:paraId="78833151">
            <w:pPr>
              <w:rPr>
                <w:b/>
                <w:szCs w:val="21"/>
              </w:rPr>
            </w:pPr>
            <w:r>
              <w:rPr>
                <w:rFonts w:hint="eastAsia"/>
                <w:b/>
                <w:szCs w:val="21"/>
              </w:rPr>
              <w:t>1、主要工作内容和进展</w:t>
            </w:r>
          </w:p>
        </w:tc>
      </w:tr>
      <w:tr w14:paraId="458A8BD6">
        <w:trPr>
          <w:trHeight w:val="2687" w:hRule="atLeast"/>
        </w:trPr>
        <w:tc>
          <w:tcPr>
            <w:tcW w:w="9000" w:type="dxa"/>
            <w:gridSpan w:val="6"/>
            <w:vAlign w:val="center"/>
          </w:tcPr>
          <w:p w14:paraId="61CDF24A">
            <w:pPr>
              <w:spacing w:line="400" w:lineRule="exact"/>
              <w:ind w:firstLine="480" w:firstLineChars="200"/>
              <w:rPr>
                <w:rFonts w:hint="eastAsia" w:eastAsia="宋体"/>
                <w:sz w:val="24"/>
              </w:rPr>
            </w:pPr>
            <w:r>
              <w:rPr>
                <w:rFonts w:hint="eastAsia" w:eastAsia="宋体"/>
                <w:sz w:val="24"/>
                <w:lang w:eastAsia="zh-CN"/>
              </w:rPr>
              <w:t>（</w:t>
            </w:r>
            <w:r>
              <w:rPr>
                <w:rFonts w:hint="eastAsia" w:eastAsia="宋体"/>
                <w:sz w:val="24"/>
                <w:lang w:val="en-US" w:eastAsia="zh-CN"/>
              </w:rPr>
              <w:t>1）</w:t>
            </w:r>
            <w:r>
              <w:rPr>
                <w:rFonts w:hint="eastAsia" w:eastAsia="宋体"/>
                <w:sz w:val="24"/>
              </w:rPr>
              <w:t>完成理论框架构建</w:t>
            </w:r>
          </w:p>
          <w:p w14:paraId="506B7025">
            <w:pPr>
              <w:spacing w:line="400" w:lineRule="exact"/>
              <w:ind w:firstLine="480" w:firstLineChars="200"/>
              <w:rPr>
                <w:rFonts w:hint="eastAsia"/>
                <w:sz w:val="24"/>
              </w:rPr>
            </w:pPr>
            <w:r>
              <w:rPr>
                <w:rFonts w:hint="eastAsia" w:eastAsia="宋体"/>
                <w:sz w:val="24"/>
              </w:rPr>
              <w:t>本周，我集中精力完成了理论框架的构建。基于之前两周对技术接受模型（TAM）、计划行为理论（TPB）和SOR模型的研究，以及从文献中提取的相关理论元</w:t>
            </w:r>
            <w:r>
              <w:rPr>
                <w:rFonts w:hint="eastAsia"/>
                <w:sz w:val="24"/>
              </w:rPr>
              <w:t>素，已经形成了一个较为完整的理论框架草案。这个框架不仅涵盖了上述三种模型的核心概念，还特别强调了社交线索的独特属性（如线索类型、呈现方式等）如何融入到这些模型中。通过整合不同理论视角，我尝试解释用户在面对不同类型社交线索时的心理认知过程及其对数据复用行为的影响机制。</w:t>
            </w:r>
          </w:p>
          <w:p w14:paraId="71C87006">
            <w:pPr>
              <w:spacing w:line="400" w:lineRule="exact"/>
              <w:ind w:firstLine="480" w:firstLineChars="200"/>
              <w:rPr>
                <w:rFonts w:hint="eastAsia"/>
                <w:sz w:val="24"/>
              </w:rPr>
            </w:pPr>
            <w:r>
              <w:rPr>
                <w:rFonts w:hint="eastAsia"/>
                <w:sz w:val="24"/>
                <w:lang w:eastAsia="zh-CN"/>
              </w:rPr>
              <w:t>（</w:t>
            </w:r>
            <w:r>
              <w:rPr>
                <w:rFonts w:hint="eastAsia"/>
                <w:sz w:val="24"/>
                <w:lang w:val="en-US" w:eastAsia="zh-CN"/>
              </w:rPr>
              <w:t>2）</w:t>
            </w:r>
            <w:r>
              <w:rPr>
                <w:rFonts w:hint="eastAsia"/>
                <w:sz w:val="24"/>
              </w:rPr>
              <w:t>推进实验设计</w:t>
            </w:r>
          </w:p>
          <w:p w14:paraId="299F1C1E">
            <w:pPr>
              <w:spacing w:line="400" w:lineRule="exact"/>
              <w:ind w:firstLine="480" w:firstLineChars="200"/>
              <w:rPr>
                <w:rFonts w:hint="eastAsia"/>
                <w:sz w:val="24"/>
              </w:rPr>
            </w:pPr>
            <w:r>
              <w:rPr>
                <w:rFonts w:hint="eastAsia"/>
                <w:sz w:val="24"/>
              </w:rPr>
              <w:t>功能需求细化：进一步讨论模拟平台的具体功能需求和技术实现路径。确定了交互元素（如浏览、点击、收藏等）的具体实现方式，并明确了如何记录用户的操作行为。此外，针对眼动追踪设备的数据采集方案也进行了优化，确保其能够捕捉到用户在查看不同类型信息时的眼球移动路径。</w:t>
            </w:r>
          </w:p>
          <w:p w14:paraId="32A24954">
            <w:pPr>
              <w:spacing w:line="400" w:lineRule="exact"/>
              <w:ind w:firstLine="480" w:firstLineChars="200"/>
              <w:rPr>
                <w:rFonts w:hint="eastAsia"/>
                <w:sz w:val="24"/>
              </w:rPr>
            </w:pPr>
            <w:r>
              <w:rPr>
                <w:rFonts w:hint="eastAsia"/>
                <w:sz w:val="24"/>
              </w:rPr>
              <w:t>问卷设计：根据前期调研结果，着手编写并优化了一份简短但有效的用户调查问卷。确保问题设置逻辑清晰、针对性强，既能获取用户对不同类型社交线索的认知评价，也能了解他们对数据复用的态度和实际行为。参考已有的成熟问卷模板，结合本研究的特点进行了适当调整。</w:t>
            </w:r>
          </w:p>
          <w:p w14:paraId="4EE7381D">
            <w:pPr>
              <w:spacing w:line="400" w:lineRule="exact"/>
              <w:ind w:firstLine="480" w:firstLineChars="200"/>
              <w:rPr>
                <w:rFonts w:hint="eastAsia"/>
                <w:sz w:val="24"/>
              </w:rPr>
            </w:pPr>
            <w:r>
              <w:rPr>
                <w:rFonts w:hint="eastAsia"/>
                <w:sz w:val="24"/>
                <w:lang w:eastAsia="zh-CN"/>
              </w:rPr>
              <w:t>（</w:t>
            </w:r>
            <w:r>
              <w:rPr>
                <w:rFonts w:hint="eastAsia"/>
                <w:sz w:val="24"/>
                <w:lang w:val="en-US" w:eastAsia="zh-CN"/>
              </w:rPr>
              <w:t>3）</w:t>
            </w:r>
            <w:r>
              <w:rPr>
                <w:rFonts w:hint="eastAsia"/>
                <w:sz w:val="24"/>
              </w:rPr>
              <w:t>定期进度汇报</w:t>
            </w:r>
          </w:p>
          <w:p w14:paraId="6FEACB89">
            <w:pPr>
              <w:spacing w:line="400" w:lineRule="exact"/>
              <w:ind w:firstLine="480" w:firstLineChars="200"/>
              <w:rPr>
                <w:b/>
                <w:szCs w:val="21"/>
              </w:rPr>
            </w:pPr>
            <w:r>
              <w:rPr>
                <w:rFonts w:hint="eastAsia"/>
                <w:sz w:val="24"/>
              </w:rPr>
              <w:t>每周固定时间与导师沟通本周进展，听取指导意见，确保研究方向正确无误。在本周的交流中，导师对我提出的理论框架表示认可，并建议可以在未来的研究中引入更多跨学科视角</w:t>
            </w:r>
            <w:r>
              <w:rPr>
                <w:rFonts w:hint="eastAsia"/>
                <w:sz w:val="24"/>
                <w:lang w:eastAsia="zh-CN"/>
              </w:rPr>
              <w:t>，</w:t>
            </w:r>
            <w:r>
              <w:rPr>
                <w:rFonts w:hint="eastAsia"/>
                <w:sz w:val="24"/>
              </w:rPr>
              <w:t>来丰富研究成果。</w:t>
            </w:r>
          </w:p>
        </w:tc>
      </w:tr>
      <w:tr w14:paraId="6ABB4CFB">
        <w:trPr>
          <w:trHeight w:val="419" w:hRule="atLeast"/>
        </w:trPr>
        <w:tc>
          <w:tcPr>
            <w:tcW w:w="9000" w:type="dxa"/>
            <w:gridSpan w:val="6"/>
            <w:vAlign w:val="center"/>
          </w:tcPr>
          <w:p w14:paraId="48B2B01B">
            <w:pPr>
              <w:rPr>
                <w:b/>
                <w:szCs w:val="21"/>
              </w:rPr>
            </w:pPr>
            <w:r>
              <w:rPr>
                <w:rFonts w:hint="eastAsia"/>
                <w:b/>
                <w:szCs w:val="21"/>
              </w:rPr>
              <w:t>2、存在的主要问题和解决办法与思路</w:t>
            </w:r>
          </w:p>
        </w:tc>
      </w:tr>
      <w:tr w14:paraId="45BF0A81">
        <w:trPr>
          <w:trHeight w:val="1540" w:hRule="atLeast"/>
        </w:trPr>
        <w:tc>
          <w:tcPr>
            <w:tcW w:w="9000" w:type="dxa"/>
            <w:gridSpan w:val="6"/>
            <w:vAlign w:val="center"/>
          </w:tcPr>
          <w:p w14:paraId="7BCE4325">
            <w:pPr>
              <w:spacing w:line="400" w:lineRule="exact"/>
              <w:rPr>
                <w:rFonts w:hint="eastAsia"/>
                <w:sz w:val="24"/>
              </w:rPr>
            </w:pPr>
            <w:r>
              <w:rPr>
                <w:rFonts w:hint="eastAsia"/>
                <w:sz w:val="24"/>
              </w:rPr>
              <w:t>问题一：</w:t>
            </w:r>
            <w:r>
              <w:rPr>
                <w:rFonts w:hint="eastAsia"/>
                <w:sz w:val="24"/>
                <w:lang w:val="en-US" w:eastAsia="zh-CN"/>
              </w:rPr>
              <w:t>理论框架的细节还需打磨</w:t>
            </w:r>
          </w:p>
          <w:p w14:paraId="4FA2630A">
            <w:pPr>
              <w:spacing w:line="400" w:lineRule="exact"/>
              <w:rPr>
                <w:rFonts w:hint="eastAsia"/>
                <w:sz w:val="24"/>
                <w:lang w:val="en-US" w:eastAsia="zh-CN"/>
              </w:rPr>
            </w:pPr>
            <w:r>
              <w:rPr>
                <w:rFonts w:hint="eastAsia"/>
                <w:sz w:val="24"/>
                <w:lang w:val="en-US" w:eastAsia="zh-CN"/>
              </w:rPr>
              <w:t>解决方案：继续查阅相关文献，寻找更多关于社交线索影响用户行为的具体案例和实证研究，以充实理论框架的内容。同时，积极参加学术会议或研讨会，与其他研究者交流心得，获取更多灵感和反馈意见，不断完善理论框架。</w:t>
            </w:r>
          </w:p>
          <w:p w14:paraId="7E9C6D02">
            <w:pPr>
              <w:spacing w:line="400" w:lineRule="exact"/>
              <w:rPr>
                <w:rFonts w:hint="eastAsia"/>
                <w:sz w:val="24"/>
              </w:rPr>
            </w:pPr>
            <w:r>
              <w:rPr>
                <w:rFonts w:hint="eastAsia"/>
                <w:sz w:val="24"/>
              </w:rPr>
              <w:t>问题二：</w:t>
            </w:r>
            <w:r>
              <w:rPr>
                <w:rFonts w:hint="eastAsia"/>
                <w:sz w:val="24"/>
                <w:lang w:val="en-US" w:eastAsia="zh-CN"/>
              </w:rPr>
              <w:t>问卷设计需要更多实证检验</w:t>
            </w:r>
          </w:p>
          <w:p w14:paraId="3B886574">
            <w:pPr>
              <w:keepNext w:val="0"/>
              <w:keepLines w:val="0"/>
              <w:widowControl/>
              <w:suppressLineNumbers w:val="0"/>
              <w:jc w:val="left"/>
              <w:rPr>
                <w:rFonts w:hint="eastAsia"/>
                <w:sz w:val="24"/>
              </w:rPr>
            </w:pPr>
            <w:r>
              <w:rPr>
                <w:rFonts w:hint="eastAsia"/>
                <w:sz w:val="24"/>
              </w:rPr>
              <w:t>解决方案：</w:t>
            </w:r>
            <w:r>
              <w:rPr>
                <w:rFonts w:hint="eastAsia" w:eastAsia="宋体"/>
                <w:sz w:val="24"/>
                <w:lang w:val="en-US" w:eastAsia="zh-CN"/>
              </w:rPr>
              <w:t>通过更多的预测试和小范围试点，收集更多反馈意见，不断优化问卷设计。此外，还可以参考其他类似研究的成功经验，借鉴其问卷设计的优点，确保最终问卷的质量和有效性。</w:t>
            </w:r>
          </w:p>
        </w:tc>
      </w:tr>
      <w:tr w14:paraId="6CD79060">
        <w:trPr>
          <w:trHeight w:val="406" w:hRule="atLeast"/>
        </w:trPr>
        <w:tc>
          <w:tcPr>
            <w:tcW w:w="9000" w:type="dxa"/>
            <w:gridSpan w:val="6"/>
            <w:vAlign w:val="center"/>
          </w:tcPr>
          <w:p w14:paraId="3B08DF72">
            <w:pPr>
              <w:rPr>
                <w:b/>
                <w:szCs w:val="21"/>
              </w:rPr>
            </w:pPr>
            <w:r>
              <w:rPr>
                <w:rFonts w:hint="eastAsia"/>
                <w:b/>
                <w:szCs w:val="21"/>
              </w:rPr>
              <w:t>3、下周工作计划</w:t>
            </w:r>
          </w:p>
        </w:tc>
      </w:tr>
      <w:tr w14:paraId="45D9232A">
        <w:trPr>
          <w:trHeight w:val="406" w:hRule="atLeast"/>
        </w:trPr>
        <w:tc>
          <w:tcPr>
            <w:tcW w:w="9000" w:type="dxa"/>
            <w:gridSpan w:val="6"/>
            <w:vAlign w:val="center"/>
          </w:tcPr>
          <w:p w14:paraId="2A3321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我将进一步完善文献综述的内容，确保综述的全面性和准确性。同时，我将对文献综述进行润色和修改，以提高其可读性和学术性。整合现有文献综述成果，形成一个较为完整的理论框架草案，明确各组成部分之间的逻辑关系，并准备好向导师汇报以获取进一步修改意见。</w:t>
            </w:r>
          </w:p>
          <w:p w14:paraId="76BBF9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b/>
                <w:szCs w:val="21"/>
              </w:rPr>
            </w:pPr>
            <w:r>
              <w:rPr>
                <w:rFonts w:hint="eastAsia"/>
                <w:sz w:val="24"/>
              </w:rPr>
              <w:t>根据预测试的结果，继续优化问卷设计，确保其能够准确捕捉用户的认知和行为特征。制定详细的调查计划，确定调查对象、方式和时间表，为未来可能的正式发放问卷做好充分准备。</w:t>
            </w:r>
          </w:p>
        </w:tc>
      </w:tr>
      <w:tr w14:paraId="54AF3454">
        <w:trPr>
          <w:trHeight w:val="406" w:hRule="atLeast"/>
        </w:trPr>
        <w:tc>
          <w:tcPr>
            <w:tcW w:w="9000" w:type="dxa"/>
            <w:gridSpan w:val="6"/>
            <w:vAlign w:val="center"/>
          </w:tcPr>
          <w:p w14:paraId="07CFFB3C">
            <w:pPr>
              <w:rPr>
                <w:b/>
                <w:szCs w:val="21"/>
              </w:rPr>
            </w:pPr>
            <w:r>
              <w:rPr>
                <w:rFonts w:hint="eastAsia"/>
                <w:b/>
                <w:szCs w:val="21"/>
              </w:rPr>
              <w:t>4、导师意见</w:t>
            </w:r>
          </w:p>
        </w:tc>
      </w:tr>
      <w:tr w14:paraId="067A6891">
        <w:trPr>
          <w:trHeight w:val="406" w:hRule="atLeast"/>
        </w:trPr>
        <w:tc>
          <w:tcPr>
            <w:tcW w:w="9000" w:type="dxa"/>
            <w:gridSpan w:val="6"/>
            <w:vAlign w:val="center"/>
          </w:tcPr>
          <w:p w14:paraId="6F63E089">
            <w:pPr>
              <w:spacing w:line="400" w:lineRule="exact"/>
              <w:ind w:leftChars="200"/>
              <w:rPr>
                <w:b/>
                <w:sz w:val="24"/>
              </w:rPr>
            </w:pPr>
            <w:r>
              <w:drawing>
                <wp:anchor distT="0" distB="0" distL="0" distR="0" simplePos="0" relativeHeight="251659264" behindDoc="0" locked="0" layoutInCell="1" allowOverlap="1">
                  <wp:simplePos x="0" y="0"/>
                  <wp:positionH relativeFrom="column">
                    <wp:posOffset>4516755</wp:posOffset>
                  </wp:positionH>
                  <wp:positionV relativeFrom="paragraph">
                    <wp:posOffset>111760</wp:posOffset>
                  </wp:positionV>
                  <wp:extent cx="1038860" cy="647700"/>
                  <wp:effectExtent l="0" t="0" r="0"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clrChange>
                              <a:clrFrom>
                                <a:srgbClr val="BDB8AC"/>
                              </a:clrFrom>
                              <a:clrTo>
                                <a:srgbClr val="BDB8AC">
                                  <a:alpha val="0"/>
                                </a:srgbClr>
                              </a:clrTo>
                            </a:clrChange>
                            <a:extLst>
                              <a:ext uri="{28A0092B-C50C-407E-A947-70E740481C1C}">
                                <a14:useLocalDpi xmlns:a14="http://schemas.microsoft.com/office/drawing/2010/main" val="0"/>
                              </a:ext>
                            </a:extLst>
                          </a:blip>
                          <a:srcRect l="32491" t="36626" r="36823" b="37831"/>
                          <a:stretch>
                            <a:fillRect/>
                          </a:stretch>
                        </pic:blipFill>
                        <pic:spPr>
                          <a:xfrm>
                            <a:off x="0" y="0"/>
                            <a:ext cx="1038860" cy="647700"/>
                          </a:xfrm>
                          <a:prstGeom prst="rect">
                            <a:avLst/>
                          </a:prstGeom>
                          <a:noFill/>
                          <a:ln>
                            <a:noFill/>
                          </a:ln>
                        </pic:spPr>
                      </pic:pic>
                    </a:graphicData>
                  </a:graphic>
                </wp:anchor>
              </w:drawing>
            </w:r>
            <w:r>
              <w:rPr>
                <w:rFonts w:hint="eastAsia" w:eastAsia="宋体"/>
                <w:sz w:val="24"/>
                <w:lang w:val="en-US" w:eastAsia="zh-CN"/>
              </w:rPr>
              <w:t>同意。</w:t>
            </w:r>
          </w:p>
          <w:p w14:paraId="5B87EDB2">
            <w:pPr>
              <w:spacing w:line="400" w:lineRule="exact"/>
              <w:rPr>
                <w:rFonts w:hint="eastAsia"/>
                <w:b/>
                <w:szCs w:val="21"/>
              </w:rPr>
            </w:pPr>
            <w:r>
              <w:rPr>
                <w:rFonts w:hint="eastAsia"/>
                <w:b/>
                <w:szCs w:val="21"/>
              </w:rPr>
              <w:t xml:space="preserve">                                                  指导教师（签名）：</w:t>
            </w:r>
          </w:p>
          <w:p w14:paraId="0D39B432">
            <w:pPr>
              <w:spacing w:line="400" w:lineRule="exact"/>
              <w:rPr>
                <w:b/>
                <w:szCs w:val="21"/>
              </w:rPr>
            </w:pPr>
          </w:p>
        </w:tc>
      </w:tr>
    </w:tbl>
    <w:p w14:paraId="3A82BCDB">
      <w:pPr>
        <w:tabs>
          <w:tab w:val="left" w:pos="3507"/>
        </w:tabs>
        <w:rPr>
          <w:szCs w:val="21"/>
        </w:rPr>
      </w:pPr>
      <w:r>
        <w:rPr>
          <w:rFonts w:hint="eastAsia"/>
          <w:szCs w:val="21"/>
        </w:rPr>
        <w:t>说明：1. 本表每周由学生填写，导师签署意见。</w:t>
      </w:r>
    </w:p>
    <w:p w14:paraId="2B796AB1">
      <w:pPr>
        <w:ind w:left="840" w:hanging="840" w:hangingChars="400"/>
        <w:rPr>
          <w:szCs w:val="21"/>
        </w:rPr>
      </w:pPr>
      <w:r>
        <w:rPr>
          <w:rFonts w:hint="eastAsia"/>
          <w:szCs w:val="21"/>
        </w:rPr>
        <w:t xml:space="preserve">      2. 此表格作为答辩资格审查材料之一。</w:t>
      </w:r>
    </w:p>
    <w:p w14:paraId="461CBD6E">
      <w:pPr>
        <w:ind w:left="840" w:hanging="840" w:hangingChars="400"/>
        <w:rPr>
          <w:szCs w:val="21"/>
        </w:rPr>
      </w:pPr>
      <w:r>
        <w:rPr>
          <w:rFonts w:hint="eastAsia"/>
          <w:szCs w:val="21"/>
        </w:rPr>
        <w:t xml:space="preserve">      3. 文中字体采用宋体小四号，行间距为固定值20</w:t>
      </w:r>
      <w:bookmarkStart w:id="0" w:name="_GoBack"/>
      <w:bookmarkEnd w:id="0"/>
      <w:r>
        <w:rPr>
          <w:rFonts w:hint="eastAsia"/>
          <w:szCs w:val="21"/>
        </w:rPr>
        <w:t>磅。</w:t>
      </w:r>
    </w:p>
    <w:p w14:paraId="787F5C04"/>
    <w:p w14:paraId="2A23C8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604B81"/>
    <w:rsid w:val="24710ED7"/>
    <w:rsid w:val="6F604B81"/>
    <w:rsid w:val="FEFBC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2025-01-02T16:49:00Z</dcterms:created>
  <dc:creator>浮云看彩虹</dc:creator>
  <cp:lastModifiedBy>ぇッャ</cp:lastModifiedBy>
  <dcterms:modified xsi:type="dcterms:W3CDTF">2025-01-05T03:52:37Z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C114732FE40F8FA585917967B711E1CE_43</vt:lpwstr>
  </property>
  <property fmtid="{D5CDD505-2E9C-101B-9397-08002B2CF9AE}" pid="4" name="KSOTemplateDocerSaveRecord">
    <vt:lpwstr>eyJoZGlkIjoiYzZkNzQ4ZWFiZmQ4NTRhOWRkZTk3YTMwMjlmMmZhYmUiLCJ1c2VySWQiOiIxMjYzNTcxMzIzIn0=</vt:lpwstr>
  </property>
</Properties>
</file>