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15AA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>经济与管理</w:t>
      </w:r>
      <w:r>
        <w:rPr>
          <w:rFonts w:hint="eastAsia"/>
          <w:b/>
          <w:sz w:val="32"/>
          <w:szCs w:val="32"/>
        </w:rPr>
        <w:t>学院毕业设计（论文）周记         第</w:t>
      </w:r>
      <w:r>
        <w:rPr>
          <w:rFonts w:hint="eastAsia"/>
          <w:b/>
          <w:sz w:val="32"/>
          <w:szCs w:val="32"/>
          <w:lang w:val="en-US" w:eastAsia="zh-CN"/>
        </w:rPr>
        <w:t>八</w:t>
      </w:r>
      <w:r>
        <w:rPr>
          <w:rFonts w:hint="eastAsia"/>
          <w:b/>
          <w:sz w:val="32"/>
          <w:szCs w:val="32"/>
        </w:rPr>
        <w:t>周</w:t>
      </w:r>
    </w:p>
    <w:tbl>
      <w:tblPr>
        <w:tblStyle w:val="5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60"/>
        <w:gridCol w:w="720"/>
        <w:gridCol w:w="1980"/>
        <w:gridCol w:w="1080"/>
        <w:gridCol w:w="1260"/>
      </w:tblGrid>
      <w:tr w14:paraId="222CCCC3">
        <w:trPr>
          <w:trHeight w:val="607" w:hRule="atLeast"/>
        </w:trPr>
        <w:tc>
          <w:tcPr>
            <w:tcW w:w="900" w:type="dxa"/>
            <w:vAlign w:val="center"/>
          </w:tcPr>
          <w:p w14:paraId="6DBBB13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3D7271FE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信息管理与信息系统</w:t>
            </w:r>
          </w:p>
        </w:tc>
        <w:tc>
          <w:tcPr>
            <w:tcW w:w="720" w:type="dxa"/>
            <w:vAlign w:val="center"/>
          </w:tcPr>
          <w:p w14:paraId="6C3A9A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40BD871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不同在线社交线索下的社会科学数据复用行为特征研究</w:t>
            </w:r>
          </w:p>
        </w:tc>
      </w:tr>
      <w:tr w14:paraId="0DC9246D">
        <w:trPr>
          <w:trHeight w:val="607" w:hRule="atLeast"/>
        </w:trPr>
        <w:tc>
          <w:tcPr>
            <w:tcW w:w="900" w:type="dxa"/>
            <w:vAlign w:val="center"/>
          </w:tcPr>
          <w:p w14:paraId="141ECD9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D244327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赵红玉</w:t>
            </w:r>
          </w:p>
        </w:tc>
        <w:tc>
          <w:tcPr>
            <w:tcW w:w="720" w:type="dxa"/>
            <w:vAlign w:val="center"/>
          </w:tcPr>
          <w:p w14:paraId="388FF9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7964770B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21069100225</w:t>
            </w:r>
          </w:p>
        </w:tc>
        <w:tc>
          <w:tcPr>
            <w:tcW w:w="1080" w:type="dxa"/>
            <w:vAlign w:val="center"/>
          </w:tcPr>
          <w:p w14:paraId="3EC87BE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0112CAA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53C2241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马续补</w:t>
            </w:r>
          </w:p>
        </w:tc>
      </w:tr>
      <w:tr w14:paraId="6797F200"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7883315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458A8BD6"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6946AB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正式实验数据采集完成</w:t>
            </w:r>
          </w:p>
          <w:p w14:paraId="1C907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样本覆盖：完成60名被试招募，按拉丁方设计分配至三组（每组20人），确保学科与组别交叉平衡；</w:t>
            </w:r>
          </w:p>
          <w:p w14:paraId="50AEBC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数据完整性：行为日志完整率98.2%（剔除1名因设备故障数据丢失的被试）；</w:t>
            </w:r>
            <w:r>
              <w:rPr>
                <w:rFonts w:hint="eastAsia"/>
                <w:sz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lang w:val="en-US" w:eastAsia="zh-CN"/>
              </w:rPr>
              <w:t>眼动数据有效率为92.3%（5名被试因校准偏差部分数据需插值处理）；问卷回收率100%，Cronbach's α均高于0.82，信度达标。</w:t>
            </w:r>
          </w:p>
          <w:p w14:paraId="293FE7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异常处理：部署自动化备份脚本，实时同步数据至云端，避免实验中断风险。</w:t>
            </w:r>
          </w:p>
          <w:p w14:paraId="3E40DD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数据分析优化与初步结果</w:t>
            </w:r>
          </w:p>
          <w:p w14:paraId="07A7CE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行为日志清洗。利用Pandas剔除无效操作（如连续点击间隔&lt;0.1秒的误触记录），清洗后有效行为路径占比89.5%；</w:t>
            </w:r>
            <w:r>
              <w:rPr>
                <w:rFonts w:hint="eastAsia"/>
                <w:sz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lang w:val="en-US" w:eastAsia="zh-CN"/>
              </w:rPr>
              <w:t>眼动数据分析。使用眼动仪记录AOI（兴趣区域）注视时长。</w:t>
            </w:r>
            <w:r>
              <w:rPr>
                <w:rFonts w:hint="eastAsia"/>
                <w:sz w:val="24"/>
                <w:lang w:val="en-US" w:eastAsia="zh-CN"/>
              </w:rPr>
              <w:br w:type="textWrapping"/>
            </w:r>
            <w:r>
              <w:rPr>
                <w:rFonts w:hint="eastAsia"/>
                <w:sz w:val="24"/>
                <w:lang w:val="en-US" w:eastAsia="zh-CN"/>
              </w:rPr>
              <w:t>假设检验：方差分析（ANOVA）显示组间感知有用性差异显著（F(2,57)=5.34, p=0.007, η²=0.16），支持H1-H3；中介效应验证H4，感知有用性在“线索类型→复用绩效”路径中的中介效应显著（β=0.62, p=0.003）。</w:t>
            </w:r>
          </w:p>
        </w:tc>
      </w:tr>
      <w:tr w14:paraId="6ABB4CFB"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48B2B0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2、存在的主要问题和解决办法与思路</w:t>
            </w:r>
          </w:p>
        </w:tc>
      </w:tr>
      <w:tr w14:paraId="45BF0A81"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2C1E7A13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问题一：实验设计的生态效度不足</w:t>
            </w:r>
          </w:p>
          <w:p w14:paraId="5DDF0FCB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具体表现：</w:t>
            </w:r>
            <w:r>
              <w:rPr>
                <w:rFonts w:hint="eastAsia"/>
                <w:sz w:val="24"/>
              </w:rPr>
              <w:br w:type="textWrapping"/>
            </w:r>
            <w:r>
              <w:rPr>
                <w:rFonts w:hint="eastAsia"/>
                <w:sz w:val="24"/>
              </w:rPr>
              <w:t>实验采用单一线索控制（如组1仅显示评分、组2仅显示评论），但真实科研场景中用户通常综合参考多线索（如同时查看评分、评论和发布者信息）。现有设计难以反映实际决策复杂性。</w:t>
            </w:r>
          </w:p>
          <w:p w14:paraId="322A6EE3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解决思路：</w:t>
            </w:r>
          </w:p>
          <w:p w14:paraId="4B96B378">
            <w:pPr>
              <w:spacing w:line="400" w:lineRule="exac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开发模拟平台为仅提供评分线索，仅提供评论线索，仅提供身份信息线索，为被试提供单一的变量，不被干扰。</w:t>
            </w:r>
          </w:p>
          <w:p w14:paraId="349EC357">
            <w:pPr>
              <w:spacing w:line="400" w:lineRule="exac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问题二：主观测量与客观行为指标脱节</w:t>
            </w:r>
          </w:p>
          <w:p w14:paraId="7AB78F5B">
            <w:pPr>
              <w:spacing w:line="400" w:lineRule="exac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具体表现：感知有用性量表与行为效率的相关系数较低，两者未能有效协同验证假设。</w:t>
            </w:r>
          </w:p>
          <w:p w14:paraId="507C4EAF">
            <w:pPr>
              <w:spacing w:line="400" w:lineRule="exac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解决思路：</w:t>
            </w:r>
          </w:p>
          <w:p w14:paraId="6FFA9138">
            <w:pPr>
              <w:spacing w:line="400" w:lineRule="exac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引入中介分析：检验“感知有用性→</w:t>
            </w:r>
            <w:r>
              <w:rPr>
                <w:rFonts w:hint="eastAsia"/>
                <w:sz w:val="24"/>
                <w:lang w:val="en-US" w:eastAsia="zh-CN"/>
              </w:rPr>
              <w:t>复用</w:t>
            </w:r>
            <w:r>
              <w:rPr>
                <w:rFonts w:hint="default"/>
                <w:sz w:val="24"/>
                <w:lang w:val="en-US" w:eastAsia="zh-CN"/>
              </w:rPr>
              <w:t>效率”的路径是否显著，若否，则需重新定义变量关系；</w:t>
            </w:r>
          </w:p>
          <w:p w14:paraId="2505A31D">
            <w:pPr>
              <w:spacing w:line="400" w:lineRule="exac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补充眼动数据佐证：将注视时长（客观认知投入）作为中介变量，构建“感知有用性→注视时长→行为效率”的链式中介模型；</w:t>
            </w:r>
          </w:p>
          <w:p w14:paraId="7AFC082B">
            <w:pPr>
              <w:spacing w:line="400" w:lineRule="exac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default"/>
                <w:sz w:val="24"/>
                <w:lang w:val="en-US" w:eastAsia="zh-CN"/>
              </w:rPr>
              <w:t>优化量表题项：删除语义模糊的题项（如“复用数据使我更有效”），替换为更具体的表述（如“复用数据减少了我的文献调研时间”）。</w:t>
            </w:r>
          </w:p>
        </w:tc>
      </w:tr>
      <w:tr w14:paraId="6CD79060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B08DF72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45D9232A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7AFCAB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eastAsia="宋体"/>
                <w:sz w:val="24"/>
                <w:lang w:val="en-US" w:eastAsia="zh-CN"/>
              </w:rPr>
              <w:t>数据可视化与分析整合</w:t>
            </w:r>
            <w:r>
              <w:rPr>
                <w:rFonts w:hint="eastAsia" w:eastAsia="宋体"/>
                <w:sz w:val="24"/>
                <w:lang w:val="en-US" w:eastAsia="zh-CN"/>
              </w:rPr>
              <w:t>。</w:t>
            </w:r>
            <w:r>
              <w:rPr>
                <w:rFonts w:hint="default" w:eastAsia="宋体"/>
                <w:sz w:val="24"/>
                <w:lang w:val="en-US" w:eastAsia="zh-CN"/>
              </w:rPr>
              <w:t>使用SPSS生成箱线图，展示三组（评分及下载量组、评论组、身份信息组）在感知有用性、复用效率等变量的分布差异，标注显著性水平。</w:t>
            </w:r>
          </w:p>
          <w:p w14:paraId="196FBC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eastAsia="宋体"/>
                <w:sz w:val="24"/>
                <w:lang w:val="en-US" w:eastAsia="zh-CN"/>
              </w:rPr>
              <w:t>根据中介效应分析结果，</w:t>
            </w:r>
            <w:bookmarkStart w:id="0" w:name="_GoBack"/>
            <w:bookmarkEnd w:id="0"/>
            <w:r>
              <w:rPr>
                <w:rFonts w:hint="default" w:eastAsia="宋体"/>
                <w:sz w:val="24"/>
                <w:lang w:val="en-US" w:eastAsia="zh-CN"/>
              </w:rPr>
              <w:t>绘制“社交线索→感知有用性→复用绩效”的路径图，标注标准化系数（β值）及置信区间（95% CI）。</w:t>
            </w:r>
          </w:p>
          <w:p w14:paraId="76BBF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b/>
                <w:szCs w:val="21"/>
              </w:rPr>
            </w:pPr>
            <w:r>
              <w:rPr>
                <w:rFonts w:hint="default" w:eastAsia="宋体"/>
                <w:sz w:val="24"/>
                <w:lang w:val="en-US" w:eastAsia="zh-CN"/>
              </w:rPr>
              <w:t>整合图表结论，撰写初步分析报告，确保图表标题、坐标轴标签、图例、显著性标识符合学术规范。</w:t>
            </w:r>
          </w:p>
        </w:tc>
      </w:tr>
      <w:tr w14:paraId="54AF3454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7CFFB3C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067A6891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24821DC2">
            <w:pPr>
              <w:spacing w:line="400" w:lineRule="exact"/>
              <w:ind w:leftChars="200"/>
              <w:rPr>
                <w:b/>
                <w:sz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4516755</wp:posOffset>
                  </wp:positionH>
                  <wp:positionV relativeFrom="paragraph">
                    <wp:posOffset>111760</wp:posOffset>
                  </wp:positionV>
                  <wp:extent cx="1038860" cy="647700"/>
                  <wp:effectExtent l="0" t="0" r="0" b="1016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BDB8AC"/>
                              </a:clrFrom>
                              <a:clrTo>
                                <a:srgbClr val="BDB8AC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91" t="36626" r="36823" b="37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宋体"/>
                <w:sz w:val="24"/>
                <w:lang w:val="en-US" w:eastAsia="zh-CN"/>
              </w:rPr>
              <w:t>同意。</w:t>
            </w:r>
          </w:p>
          <w:p w14:paraId="5B87EDB2">
            <w:pPr>
              <w:spacing w:line="400" w:lineRule="exac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指导教师（签名）：</w:t>
            </w:r>
          </w:p>
          <w:p w14:paraId="7E34E8FA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3A82BCDB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2B796AB1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461CBD6E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</w:p>
    <w:p w14:paraId="787F5C04"/>
    <w:p w14:paraId="6DD990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DE0F51"/>
    <w:multiLevelType w:val="singleLevel"/>
    <w:tmpl w:val="F3DE0F5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123FFE"/>
    <w:rsid w:val="0F8F3712"/>
    <w:rsid w:val="14123FFE"/>
    <w:rsid w:val="2F367CE8"/>
    <w:rsid w:val="67EA5850"/>
    <w:rsid w:val="6DEF8EF8"/>
    <w:rsid w:val="6FC7194A"/>
    <w:rsid w:val="FB9D23DA"/>
    <w:rsid w:val="FFDAC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101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2025-01-03T16:49:00Z</dcterms:created>
  <dc:creator>浮云看彩虹</dc:creator>
  <cp:lastModifiedBy>ぇッャ</cp:lastModifiedBy>
  <dcterms:modified xsi:type="dcterms:W3CDTF">2025-03-22T23:13:39Z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8019EC11089789B373CCDE6737FD9FDA_43</vt:lpwstr>
  </property>
  <property fmtid="{D5CDD505-2E9C-101B-9397-08002B2CF9AE}" pid="4" name="KSOTemplateDocerSaveRecord">
    <vt:lpwstr>eyJoZGlkIjoiYzZkNzQ4ZWFiZmQ4NTRhOWRkZTk3YTMwMjlmMmZhYmUiLCJ1c2VySWQiOiIxMjYzNTcxMzIzIn0=</vt:lpwstr>
  </property>
</Properties>
</file>