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015AA">
      <w:pPr>
        <w:jc w:val="center"/>
        <w:rPr>
          <w:b/>
          <w:sz w:val="32"/>
          <w:szCs w:val="32"/>
        </w:rPr>
      </w:pPr>
      <w:r>
        <w:rPr>
          <w:rFonts w:hint="eastAsia"/>
          <w:b/>
          <w:sz w:val="32"/>
          <w:szCs w:val="32"/>
          <w:u w:val="single"/>
          <w:lang w:val="en-US" w:eastAsia="zh-CN"/>
        </w:rPr>
        <w:t>经济与管理</w:t>
      </w:r>
      <w:r>
        <w:rPr>
          <w:rFonts w:hint="eastAsia"/>
          <w:b/>
          <w:sz w:val="32"/>
          <w:szCs w:val="32"/>
        </w:rPr>
        <w:t>学院毕业设计（论文）周记         第</w:t>
      </w:r>
      <w:r>
        <w:rPr>
          <w:rFonts w:hint="eastAsia"/>
          <w:b/>
          <w:sz w:val="32"/>
          <w:szCs w:val="32"/>
          <w:lang w:val="en-US" w:eastAsia="zh-CN"/>
        </w:rPr>
        <w:t>四</w:t>
      </w:r>
      <w:r>
        <w:rPr>
          <w:rFonts w:hint="eastAsia"/>
          <w:b/>
          <w:sz w:val="32"/>
          <w:szCs w:val="32"/>
        </w:rPr>
        <w:t>周</w:t>
      </w:r>
    </w:p>
    <w:tbl>
      <w:tblPr>
        <w:tblStyle w:val="3"/>
        <w:tblW w:w="900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3060"/>
        <w:gridCol w:w="720"/>
        <w:gridCol w:w="1980"/>
        <w:gridCol w:w="1080"/>
        <w:gridCol w:w="1260"/>
      </w:tblGrid>
      <w:tr w14:paraId="222CCCC3">
        <w:trPr>
          <w:trHeight w:val="607" w:hRule="atLeast"/>
        </w:trPr>
        <w:tc>
          <w:tcPr>
            <w:tcW w:w="900" w:type="dxa"/>
            <w:vAlign w:val="center"/>
          </w:tcPr>
          <w:p w14:paraId="6DBBB139">
            <w:pPr>
              <w:jc w:val="center"/>
              <w:rPr>
                <w:b/>
                <w:sz w:val="24"/>
              </w:rPr>
            </w:pPr>
            <w:r>
              <w:rPr>
                <w:rFonts w:hint="eastAsia"/>
                <w:b/>
                <w:sz w:val="24"/>
              </w:rPr>
              <w:t>专业</w:t>
            </w:r>
          </w:p>
        </w:tc>
        <w:tc>
          <w:tcPr>
            <w:tcW w:w="3060" w:type="dxa"/>
            <w:vAlign w:val="center"/>
          </w:tcPr>
          <w:p w14:paraId="3D7271FE">
            <w:pPr>
              <w:jc w:val="center"/>
              <w:rPr>
                <w:rFonts w:hint="eastAsia" w:eastAsia="宋体"/>
                <w:b/>
                <w:sz w:val="24"/>
                <w:lang w:val="en-US" w:eastAsia="zh-CN"/>
              </w:rPr>
            </w:pPr>
            <w:r>
              <w:rPr>
                <w:rFonts w:hint="eastAsia"/>
                <w:b/>
                <w:sz w:val="24"/>
                <w:lang w:val="en-US" w:eastAsia="zh-CN"/>
              </w:rPr>
              <w:t>信息管理与信息系统</w:t>
            </w:r>
          </w:p>
        </w:tc>
        <w:tc>
          <w:tcPr>
            <w:tcW w:w="720" w:type="dxa"/>
            <w:vAlign w:val="center"/>
          </w:tcPr>
          <w:p w14:paraId="6C3A9AB2">
            <w:pPr>
              <w:jc w:val="center"/>
              <w:rPr>
                <w:b/>
                <w:sz w:val="24"/>
              </w:rPr>
            </w:pPr>
            <w:r>
              <w:rPr>
                <w:rFonts w:hint="eastAsia"/>
                <w:b/>
                <w:sz w:val="24"/>
              </w:rPr>
              <w:t>题目</w:t>
            </w:r>
          </w:p>
        </w:tc>
        <w:tc>
          <w:tcPr>
            <w:tcW w:w="4320" w:type="dxa"/>
            <w:gridSpan w:val="3"/>
            <w:vAlign w:val="center"/>
          </w:tcPr>
          <w:p w14:paraId="40BD871B">
            <w:pPr>
              <w:jc w:val="center"/>
              <w:rPr>
                <w:b/>
                <w:sz w:val="24"/>
              </w:rPr>
            </w:pPr>
            <w:r>
              <w:rPr>
                <w:rFonts w:hint="eastAsia"/>
                <w:b/>
                <w:sz w:val="24"/>
                <w:lang w:val="en-US" w:eastAsia="zh-CN"/>
              </w:rPr>
              <w:t>不同在线社交线索下的社会科学数据复用行为特征研究</w:t>
            </w:r>
          </w:p>
        </w:tc>
      </w:tr>
      <w:tr w14:paraId="0DC9246D">
        <w:trPr>
          <w:trHeight w:val="607" w:hRule="atLeast"/>
        </w:trPr>
        <w:tc>
          <w:tcPr>
            <w:tcW w:w="900" w:type="dxa"/>
            <w:vAlign w:val="center"/>
          </w:tcPr>
          <w:p w14:paraId="141ECD93">
            <w:pPr>
              <w:jc w:val="center"/>
              <w:rPr>
                <w:b/>
                <w:sz w:val="24"/>
              </w:rPr>
            </w:pPr>
            <w:r>
              <w:rPr>
                <w:rFonts w:hint="eastAsia"/>
                <w:b/>
                <w:sz w:val="24"/>
              </w:rPr>
              <w:t>学生姓名</w:t>
            </w:r>
          </w:p>
        </w:tc>
        <w:tc>
          <w:tcPr>
            <w:tcW w:w="3060" w:type="dxa"/>
            <w:vAlign w:val="center"/>
          </w:tcPr>
          <w:p w14:paraId="0D244327">
            <w:pPr>
              <w:jc w:val="center"/>
              <w:rPr>
                <w:rFonts w:hint="eastAsia" w:eastAsia="宋体"/>
                <w:b/>
                <w:sz w:val="24"/>
                <w:lang w:val="en-US" w:eastAsia="zh-CN"/>
              </w:rPr>
            </w:pPr>
            <w:r>
              <w:rPr>
                <w:rFonts w:hint="eastAsia"/>
                <w:b/>
                <w:sz w:val="24"/>
                <w:lang w:val="en-US" w:eastAsia="zh-CN"/>
              </w:rPr>
              <w:t>赵红玉</w:t>
            </w:r>
          </w:p>
        </w:tc>
        <w:tc>
          <w:tcPr>
            <w:tcW w:w="720" w:type="dxa"/>
            <w:vAlign w:val="center"/>
          </w:tcPr>
          <w:p w14:paraId="388FF965">
            <w:pPr>
              <w:jc w:val="center"/>
              <w:rPr>
                <w:b/>
                <w:sz w:val="24"/>
              </w:rPr>
            </w:pPr>
            <w:r>
              <w:rPr>
                <w:rFonts w:hint="eastAsia"/>
                <w:b/>
                <w:sz w:val="24"/>
              </w:rPr>
              <w:t>学号</w:t>
            </w:r>
          </w:p>
        </w:tc>
        <w:tc>
          <w:tcPr>
            <w:tcW w:w="1980" w:type="dxa"/>
            <w:vAlign w:val="center"/>
          </w:tcPr>
          <w:p w14:paraId="7964770B">
            <w:pPr>
              <w:jc w:val="center"/>
              <w:rPr>
                <w:rFonts w:hint="default" w:eastAsia="宋体"/>
                <w:b/>
                <w:sz w:val="24"/>
                <w:lang w:val="en-US" w:eastAsia="zh-CN"/>
              </w:rPr>
            </w:pPr>
            <w:r>
              <w:rPr>
                <w:rFonts w:hint="eastAsia"/>
                <w:b/>
                <w:sz w:val="24"/>
                <w:lang w:val="en-US" w:eastAsia="zh-CN"/>
              </w:rPr>
              <w:t>21069100225</w:t>
            </w:r>
          </w:p>
        </w:tc>
        <w:tc>
          <w:tcPr>
            <w:tcW w:w="1080" w:type="dxa"/>
            <w:vAlign w:val="center"/>
          </w:tcPr>
          <w:p w14:paraId="2A03B931">
            <w:pPr>
              <w:jc w:val="center"/>
              <w:rPr>
                <w:b/>
                <w:sz w:val="24"/>
              </w:rPr>
            </w:pPr>
            <w:r>
              <w:rPr>
                <w:rFonts w:hint="eastAsia"/>
                <w:b/>
                <w:sz w:val="24"/>
              </w:rPr>
              <w:t>指导</w:t>
            </w:r>
          </w:p>
          <w:p w14:paraId="7C00A74A">
            <w:pPr>
              <w:jc w:val="center"/>
              <w:rPr>
                <w:b/>
                <w:sz w:val="24"/>
              </w:rPr>
            </w:pPr>
            <w:r>
              <w:rPr>
                <w:rFonts w:hint="eastAsia"/>
                <w:b/>
                <w:sz w:val="24"/>
              </w:rPr>
              <w:t>教师</w:t>
            </w:r>
          </w:p>
        </w:tc>
        <w:tc>
          <w:tcPr>
            <w:tcW w:w="1260" w:type="dxa"/>
            <w:vAlign w:val="center"/>
          </w:tcPr>
          <w:p w14:paraId="053C2241">
            <w:pPr>
              <w:jc w:val="center"/>
              <w:rPr>
                <w:rFonts w:hint="default" w:eastAsia="宋体"/>
                <w:b/>
                <w:sz w:val="24"/>
                <w:lang w:val="en-US" w:eastAsia="zh-CN"/>
              </w:rPr>
            </w:pPr>
            <w:r>
              <w:rPr>
                <w:rFonts w:hint="eastAsia"/>
                <w:b/>
                <w:sz w:val="24"/>
                <w:lang w:val="en-US" w:eastAsia="zh-CN"/>
              </w:rPr>
              <w:t>马续补</w:t>
            </w:r>
          </w:p>
        </w:tc>
      </w:tr>
      <w:tr w14:paraId="6797F200">
        <w:trPr>
          <w:trHeight w:val="384" w:hRule="atLeast"/>
        </w:trPr>
        <w:tc>
          <w:tcPr>
            <w:tcW w:w="9000" w:type="dxa"/>
            <w:gridSpan w:val="6"/>
            <w:vAlign w:val="center"/>
          </w:tcPr>
          <w:p w14:paraId="78833151">
            <w:pPr>
              <w:rPr>
                <w:b/>
                <w:szCs w:val="21"/>
              </w:rPr>
            </w:pPr>
            <w:r>
              <w:rPr>
                <w:rFonts w:hint="eastAsia"/>
                <w:b/>
                <w:szCs w:val="21"/>
              </w:rPr>
              <w:t>1、主要工作内容和进展</w:t>
            </w:r>
          </w:p>
        </w:tc>
      </w:tr>
      <w:tr w14:paraId="458A8BD6">
        <w:trPr>
          <w:trHeight w:val="2687" w:hRule="atLeast"/>
        </w:trPr>
        <w:tc>
          <w:tcPr>
            <w:tcW w:w="9000" w:type="dxa"/>
            <w:gridSpan w:val="6"/>
            <w:vAlign w:val="center"/>
          </w:tcPr>
          <w:p w14:paraId="08D25349">
            <w:pPr>
              <w:spacing w:line="400" w:lineRule="exact"/>
              <w:ind w:firstLine="480" w:firstLineChars="200"/>
              <w:rPr>
                <w:rFonts w:hint="eastAsia"/>
                <w:sz w:val="24"/>
              </w:rPr>
            </w:pPr>
            <w:r>
              <w:rPr>
                <w:rFonts w:hint="eastAsia"/>
                <w:sz w:val="24"/>
                <w:lang w:eastAsia="zh-CN"/>
              </w:rPr>
              <w:t>（</w:t>
            </w:r>
            <w:r>
              <w:rPr>
                <w:rFonts w:hint="eastAsia"/>
                <w:sz w:val="24"/>
              </w:rPr>
              <w:t>1</w:t>
            </w:r>
            <w:r>
              <w:rPr>
                <w:rFonts w:hint="eastAsia"/>
                <w:sz w:val="24"/>
                <w:lang w:eastAsia="zh-CN"/>
              </w:rPr>
              <w:t>）</w:t>
            </w:r>
            <w:r>
              <w:rPr>
                <w:rFonts w:hint="eastAsia"/>
                <w:sz w:val="24"/>
              </w:rPr>
              <w:t>开题报告撰写启动</w:t>
            </w:r>
          </w:p>
          <w:p w14:paraId="131E3EDE">
            <w:pPr>
              <w:spacing w:line="400" w:lineRule="exact"/>
              <w:ind w:firstLine="480" w:firstLineChars="200"/>
              <w:rPr>
                <w:rFonts w:hint="eastAsia"/>
                <w:sz w:val="24"/>
              </w:rPr>
            </w:pPr>
            <w:r>
              <w:rPr>
                <w:rFonts w:hint="eastAsia"/>
                <w:sz w:val="24"/>
              </w:rPr>
              <w:t>明确报告结构：根据导师的建议和学校的要求，明确了开题报告的基本结构，包括引言、文献综述、研究问题、理论框架、研究方法、预期成果及时间安排等部分。确保每个部分都有清晰的目标和内容。</w:t>
            </w:r>
          </w:p>
          <w:p w14:paraId="26A91F23">
            <w:pPr>
              <w:spacing w:line="400" w:lineRule="exact"/>
              <w:ind w:firstLine="480" w:firstLineChars="200"/>
              <w:rPr>
                <w:rFonts w:hint="eastAsia"/>
                <w:sz w:val="24"/>
              </w:rPr>
            </w:pPr>
            <w:r>
              <w:rPr>
                <w:rFonts w:hint="eastAsia"/>
                <w:sz w:val="24"/>
              </w:rPr>
              <w:t>细化各部分内容：</w:t>
            </w:r>
          </w:p>
          <w:p w14:paraId="4324CD8D">
            <w:pPr>
              <w:spacing w:line="400" w:lineRule="exact"/>
              <w:ind w:firstLine="480" w:firstLineChars="200"/>
              <w:rPr>
                <w:rFonts w:hint="eastAsia"/>
                <w:sz w:val="24"/>
              </w:rPr>
            </w:pPr>
            <w:r>
              <w:rPr>
                <w:rFonts w:hint="eastAsia"/>
                <w:sz w:val="24"/>
              </w:rPr>
              <w:t>引言：阐述了本研究的背景、目的和意义，解释了为什么选择这个题目以及它在当前学术界的重要性。</w:t>
            </w:r>
          </w:p>
          <w:p w14:paraId="098F17C2">
            <w:pPr>
              <w:spacing w:line="400" w:lineRule="exact"/>
              <w:ind w:firstLine="480" w:firstLineChars="200"/>
              <w:rPr>
                <w:rFonts w:hint="eastAsia"/>
                <w:sz w:val="24"/>
              </w:rPr>
            </w:pPr>
            <w:r>
              <w:rPr>
                <w:rFonts w:hint="eastAsia"/>
                <w:sz w:val="24"/>
              </w:rPr>
              <w:t>文献综述：整合前期收集到的大量文献资料，系统梳理了国内外关于在线社交线索和社会科学数据复用行为的研究现状，找出了现有研究中的空白点和不足之处，为后续研究提供了理论依据。</w:t>
            </w:r>
          </w:p>
          <w:p w14:paraId="24F5C01D">
            <w:pPr>
              <w:spacing w:line="400" w:lineRule="exact"/>
              <w:ind w:firstLine="480" w:firstLineChars="200"/>
              <w:rPr>
                <w:rFonts w:hint="eastAsia"/>
                <w:sz w:val="24"/>
              </w:rPr>
            </w:pPr>
            <w:r>
              <w:rPr>
                <w:rFonts w:hint="eastAsia"/>
                <w:sz w:val="24"/>
              </w:rPr>
              <w:t>研究问题：基于文献综述的结果，明确了本研究的核心问题，即不同类型的在线社交线索及其呈现方式如何影响用户的数据复用行为，并提出了具体的研究假设。</w:t>
            </w:r>
          </w:p>
          <w:p w14:paraId="16044A59">
            <w:pPr>
              <w:spacing w:line="400" w:lineRule="exact"/>
              <w:ind w:firstLine="480" w:firstLineChars="200"/>
              <w:rPr>
                <w:rFonts w:hint="eastAsia"/>
                <w:sz w:val="24"/>
              </w:rPr>
            </w:pPr>
            <w:r>
              <w:rPr>
                <w:rFonts w:hint="eastAsia"/>
                <w:sz w:val="24"/>
              </w:rPr>
              <w:t>理论框架：结合技术接受模型（TAM）、计划行为理论（TPB）和SOR模型，构建了一个综合性的理论框架，详细描述了该框架中各变量之间的关系及其对用户行为的影响机制。</w:t>
            </w:r>
          </w:p>
          <w:p w14:paraId="4DFF5B78">
            <w:pPr>
              <w:spacing w:line="400" w:lineRule="exact"/>
              <w:ind w:firstLine="480" w:firstLineChars="200"/>
              <w:rPr>
                <w:rFonts w:hint="eastAsia"/>
                <w:sz w:val="24"/>
              </w:rPr>
            </w:pPr>
            <w:r>
              <w:rPr>
                <w:rFonts w:hint="eastAsia"/>
                <w:sz w:val="24"/>
                <w:lang w:eastAsia="zh-CN"/>
              </w:rPr>
              <w:t>（</w:t>
            </w:r>
            <w:r>
              <w:rPr>
                <w:rFonts w:hint="eastAsia"/>
                <w:sz w:val="24"/>
              </w:rPr>
              <w:t>2</w:t>
            </w:r>
            <w:r>
              <w:rPr>
                <w:rFonts w:hint="eastAsia"/>
                <w:sz w:val="24"/>
                <w:lang w:eastAsia="zh-CN"/>
              </w:rPr>
              <w:t>）</w:t>
            </w:r>
            <w:r>
              <w:rPr>
                <w:rFonts w:hint="eastAsia"/>
                <w:sz w:val="24"/>
              </w:rPr>
              <w:t>深化理论框架与研究假设</w:t>
            </w:r>
          </w:p>
          <w:p w14:paraId="097C47DE">
            <w:pPr>
              <w:spacing w:line="400" w:lineRule="exact"/>
              <w:ind w:firstLine="480" w:firstLineChars="200"/>
              <w:rPr>
                <w:rFonts w:hint="eastAsia"/>
                <w:sz w:val="24"/>
              </w:rPr>
            </w:pPr>
            <w:r>
              <w:rPr>
                <w:rFonts w:hint="eastAsia"/>
                <w:sz w:val="24"/>
              </w:rPr>
              <w:t>理论框架优化：进一步完善了之前构建的理论框架，确保其逻辑严密且具有较强的解释力。特别是针对不同类型社交线索（交互型、印象型、发布者线索）和呈现位置（搜索结果页、详情页），探讨它们如何共同作用于用户的认知过程和行为决策。</w:t>
            </w:r>
          </w:p>
          <w:p w14:paraId="012B995A">
            <w:pPr>
              <w:spacing w:line="400" w:lineRule="exact"/>
              <w:ind w:firstLine="480" w:firstLineChars="200"/>
              <w:rPr>
                <w:rFonts w:hint="eastAsia"/>
                <w:sz w:val="24"/>
              </w:rPr>
            </w:pPr>
            <w:r>
              <w:rPr>
                <w:rFonts w:hint="eastAsia"/>
                <w:sz w:val="24"/>
              </w:rPr>
              <w:t>研究假设确立：根据理论框架，提出了几个关键的研究假设，例如“印象型发布者线索在结果详情页上能够显著提高用户的信任感，从而促进数据复用行为”；“交互型数据线索在搜索结果页上更容易吸引用户的注意力，增加点击率”。</w:t>
            </w:r>
          </w:p>
          <w:p w14:paraId="598E7EE2">
            <w:pPr>
              <w:spacing w:line="400" w:lineRule="exact"/>
              <w:ind w:firstLine="480" w:firstLineChars="200"/>
              <w:rPr>
                <w:rFonts w:hint="eastAsia"/>
                <w:sz w:val="24"/>
              </w:rPr>
            </w:pPr>
            <w:r>
              <w:rPr>
                <w:rFonts w:hint="eastAsia"/>
                <w:sz w:val="24"/>
                <w:lang w:eastAsia="zh-CN"/>
              </w:rPr>
              <w:t>（</w:t>
            </w:r>
            <w:bookmarkStart w:id="0" w:name="_GoBack"/>
            <w:bookmarkEnd w:id="0"/>
            <w:r>
              <w:rPr>
                <w:rFonts w:hint="eastAsia"/>
                <w:sz w:val="24"/>
              </w:rPr>
              <w:t>3</w:t>
            </w:r>
            <w:r>
              <w:rPr>
                <w:rFonts w:hint="eastAsia"/>
                <w:sz w:val="24"/>
                <w:lang w:eastAsia="zh-CN"/>
              </w:rPr>
              <w:t>）</w:t>
            </w:r>
            <w:r>
              <w:rPr>
                <w:rFonts w:hint="eastAsia"/>
                <w:sz w:val="24"/>
              </w:rPr>
              <w:t>定期进度汇报与交流学习</w:t>
            </w:r>
          </w:p>
          <w:p w14:paraId="6FEACB89">
            <w:pPr>
              <w:spacing w:line="400" w:lineRule="exact"/>
              <w:ind w:firstLine="480" w:firstLineChars="200"/>
              <w:rPr>
                <w:b/>
                <w:szCs w:val="21"/>
              </w:rPr>
            </w:pPr>
            <w:r>
              <w:rPr>
                <w:rFonts w:hint="eastAsia"/>
                <w:sz w:val="24"/>
              </w:rPr>
              <w:t>每周固定时间与导师沟通本周进展，听取指导意见，确保研究方向正确无误。在本周的交流中，重点汇报了开题报告撰写的进展情况及遇到的问题，寻求导师的专业建议和支持。导师对报告的整体结构表示满意，并就某些细节提出了修改意见。</w:t>
            </w:r>
          </w:p>
        </w:tc>
      </w:tr>
      <w:tr w14:paraId="6ABB4CFB">
        <w:trPr>
          <w:trHeight w:val="419" w:hRule="atLeast"/>
        </w:trPr>
        <w:tc>
          <w:tcPr>
            <w:tcW w:w="9000" w:type="dxa"/>
            <w:gridSpan w:val="6"/>
            <w:vAlign w:val="center"/>
          </w:tcPr>
          <w:p w14:paraId="48B2B01B">
            <w:pPr>
              <w:rPr>
                <w:b/>
                <w:szCs w:val="21"/>
              </w:rPr>
            </w:pPr>
            <w:r>
              <w:rPr>
                <w:rFonts w:hint="eastAsia"/>
                <w:b/>
                <w:szCs w:val="21"/>
              </w:rPr>
              <w:t>2、存在的主要问题和解决办法与思路</w:t>
            </w:r>
          </w:p>
        </w:tc>
      </w:tr>
      <w:tr w14:paraId="45BF0A81">
        <w:trPr>
          <w:trHeight w:val="1540" w:hRule="atLeast"/>
        </w:trPr>
        <w:tc>
          <w:tcPr>
            <w:tcW w:w="9000" w:type="dxa"/>
            <w:gridSpan w:val="6"/>
            <w:vAlign w:val="center"/>
          </w:tcPr>
          <w:p w14:paraId="7560B40F">
            <w:pPr>
              <w:spacing w:line="400" w:lineRule="exact"/>
              <w:rPr>
                <w:rFonts w:hint="eastAsia"/>
                <w:sz w:val="24"/>
                <w:lang w:val="en-US" w:eastAsia="zh-CN"/>
              </w:rPr>
            </w:pPr>
            <w:r>
              <w:rPr>
                <w:rFonts w:hint="eastAsia"/>
                <w:sz w:val="24"/>
                <w:lang w:val="en-US" w:eastAsia="zh-CN"/>
              </w:rPr>
              <w:t>问题一：文献综述范围广，难以聚焦</w:t>
            </w:r>
          </w:p>
          <w:p w14:paraId="134CD029">
            <w:pPr>
              <w:spacing w:line="400" w:lineRule="exact"/>
              <w:rPr>
                <w:rFonts w:hint="eastAsia"/>
                <w:sz w:val="24"/>
                <w:lang w:val="en-US" w:eastAsia="zh-CN"/>
              </w:rPr>
            </w:pPr>
            <w:r>
              <w:rPr>
                <w:rFonts w:hint="eastAsia"/>
                <w:sz w:val="24"/>
                <w:lang w:val="en-US" w:eastAsia="zh-CN"/>
              </w:rPr>
              <w:t>解决方案：重新审视研究主题，明确核心关注点，筛选出最相关的文献进行深入分析。同时，借助文献管理工具（如EndNote、Zotero）来组织和整理文献资料，确保引用准确无误。</w:t>
            </w:r>
          </w:p>
          <w:p w14:paraId="00CB7BD7">
            <w:pPr>
              <w:spacing w:line="400" w:lineRule="exact"/>
              <w:rPr>
                <w:rFonts w:hint="eastAsia"/>
                <w:sz w:val="24"/>
                <w:lang w:val="en-US" w:eastAsia="zh-CN"/>
              </w:rPr>
            </w:pPr>
            <w:r>
              <w:rPr>
                <w:rFonts w:hint="eastAsia"/>
                <w:sz w:val="24"/>
                <w:lang w:val="en-US" w:eastAsia="zh-CN"/>
              </w:rPr>
              <w:t>问题二：理论框架复杂度高，理解困难</w:t>
            </w:r>
          </w:p>
          <w:p w14:paraId="3B886574">
            <w:pPr>
              <w:spacing w:line="400" w:lineRule="exact"/>
              <w:rPr>
                <w:rFonts w:hint="eastAsia"/>
                <w:sz w:val="24"/>
              </w:rPr>
            </w:pPr>
            <w:r>
              <w:rPr>
                <w:rFonts w:hint="eastAsia"/>
                <w:sz w:val="24"/>
                <w:lang w:val="en-US" w:eastAsia="zh-CN"/>
              </w:rPr>
              <w:t>解决方案：通过查阅更多基础性文献，逐步加深对各个理论模型的理解；积极向导师请教，获取专业的指导和支持，确保理论框架既具有科学性又贴近实际需求。</w:t>
            </w:r>
          </w:p>
        </w:tc>
      </w:tr>
      <w:tr w14:paraId="6CD79060">
        <w:trPr>
          <w:trHeight w:val="406" w:hRule="atLeast"/>
        </w:trPr>
        <w:tc>
          <w:tcPr>
            <w:tcW w:w="9000" w:type="dxa"/>
            <w:gridSpan w:val="6"/>
            <w:vAlign w:val="center"/>
          </w:tcPr>
          <w:p w14:paraId="3B08DF72">
            <w:pPr>
              <w:rPr>
                <w:b/>
                <w:szCs w:val="21"/>
              </w:rPr>
            </w:pPr>
            <w:r>
              <w:rPr>
                <w:rFonts w:hint="eastAsia"/>
                <w:b/>
                <w:szCs w:val="21"/>
              </w:rPr>
              <w:t>3、下周工作计划</w:t>
            </w:r>
          </w:p>
        </w:tc>
      </w:tr>
      <w:tr w14:paraId="45D9232A">
        <w:trPr>
          <w:trHeight w:val="406" w:hRule="atLeast"/>
        </w:trPr>
        <w:tc>
          <w:tcPr>
            <w:tcW w:w="9000" w:type="dxa"/>
            <w:gridSpan w:val="6"/>
            <w:vAlign w:val="center"/>
          </w:tcPr>
          <w:p w14:paraId="2F7D21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完成开题报告终稿。根据导师的意见，对开题报告进行最后的润色和完善，特别是针对文献综述部分进行精简和提炼，确保每一段文字都能为论证研究问题服务。</w:t>
            </w:r>
          </w:p>
          <w:p w14:paraId="76BBF9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深化交流与讨论。继续保持与导师密切沟通，及时汇报研究进展，听取他们的意见和建议，不断完善开题报告的内容。</w:t>
            </w:r>
          </w:p>
          <w:p w14:paraId="62AFDA0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lang w:val="en-US" w:eastAsia="zh-CN"/>
              </w:rPr>
            </w:pPr>
          </w:p>
        </w:tc>
      </w:tr>
      <w:tr w14:paraId="54AF3454">
        <w:trPr>
          <w:trHeight w:val="406" w:hRule="atLeast"/>
        </w:trPr>
        <w:tc>
          <w:tcPr>
            <w:tcW w:w="9000" w:type="dxa"/>
            <w:gridSpan w:val="6"/>
            <w:vAlign w:val="center"/>
          </w:tcPr>
          <w:p w14:paraId="07CFFB3C">
            <w:pPr>
              <w:rPr>
                <w:b/>
                <w:szCs w:val="21"/>
              </w:rPr>
            </w:pPr>
            <w:r>
              <w:rPr>
                <w:rFonts w:hint="eastAsia"/>
                <w:b/>
                <w:szCs w:val="21"/>
              </w:rPr>
              <w:t>4、导师意见</w:t>
            </w:r>
          </w:p>
        </w:tc>
      </w:tr>
      <w:tr w14:paraId="067A6891">
        <w:trPr>
          <w:trHeight w:val="406" w:hRule="atLeast"/>
        </w:trPr>
        <w:tc>
          <w:tcPr>
            <w:tcW w:w="9000" w:type="dxa"/>
            <w:gridSpan w:val="6"/>
            <w:vAlign w:val="center"/>
          </w:tcPr>
          <w:p w14:paraId="78A56F7A">
            <w:pPr>
              <w:spacing w:line="400" w:lineRule="exact"/>
              <w:ind w:leftChars="200"/>
              <w:rPr>
                <w:b/>
                <w:sz w:val="24"/>
              </w:rPr>
            </w:pPr>
            <w:r>
              <w:drawing>
                <wp:anchor distT="0" distB="0" distL="0" distR="0" simplePos="0" relativeHeight="251659264" behindDoc="0" locked="0" layoutInCell="1" allowOverlap="1">
                  <wp:simplePos x="0" y="0"/>
                  <wp:positionH relativeFrom="column">
                    <wp:posOffset>4516755</wp:posOffset>
                  </wp:positionH>
                  <wp:positionV relativeFrom="paragraph">
                    <wp:posOffset>111760</wp:posOffset>
                  </wp:positionV>
                  <wp:extent cx="1038860" cy="647700"/>
                  <wp:effectExtent l="0" t="0" r="0" b="1016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cstate="print">
                            <a:clrChange>
                              <a:clrFrom>
                                <a:srgbClr val="BDB8AC"/>
                              </a:clrFrom>
                              <a:clrTo>
                                <a:srgbClr val="BDB8AC">
                                  <a:alpha val="0"/>
                                </a:srgbClr>
                              </a:clrTo>
                            </a:clrChange>
                            <a:extLst>
                              <a:ext uri="{28A0092B-C50C-407E-A947-70E740481C1C}">
                                <a14:useLocalDpi xmlns:a14="http://schemas.microsoft.com/office/drawing/2010/main" val="0"/>
                              </a:ext>
                            </a:extLst>
                          </a:blip>
                          <a:srcRect l="32491" t="36626" r="36823" b="37831"/>
                          <a:stretch>
                            <a:fillRect/>
                          </a:stretch>
                        </pic:blipFill>
                        <pic:spPr>
                          <a:xfrm>
                            <a:off x="0" y="0"/>
                            <a:ext cx="1038860" cy="647700"/>
                          </a:xfrm>
                          <a:prstGeom prst="rect">
                            <a:avLst/>
                          </a:prstGeom>
                          <a:noFill/>
                          <a:ln>
                            <a:noFill/>
                          </a:ln>
                        </pic:spPr>
                      </pic:pic>
                    </a:graphicData>
                  </a:graphic>
                </wp:anchor>
              </w:drawing>
            </w:r>
            <w:r>
              <w:rPr>
                <w:rFonts w:hint="eastAsia" w:eastAsia="宋体"/>
                <w:sz w:val="24"/>
                <w:lang w:val="en-US" w:eastAsia="zh-CN"/>
              </w:rPr>
              <w:t>同意。</w:t>
            </w:r>
          </w:p>
          <w:p w14:paraId="4B645515">
            <w:pPr>
              <w:spacing w:line="400" w:lineRule="exact"/>
              <w:rPr>
                <w:rFonts w:hint="eastAsia"/>
                <w:b/>
                <w:szCs w:val="21"/>
              </w:rPr>
            </w:pPr>
            <w:r>
              <w:rPr>
                <w:rFonts w:hint="eastAsia"/>
                <w:b/>
                <w:szCs w:val="21"/>
              </w:rPr>
              <w:t xml:space="preserve">                                                  指导教师（签名）：</w:t>
            </w:r>
          </w:p>
          <w:p w14:paraId="799BF172">
            <w:pPr>
              <w:spacing w:line="400" w:lineRule="exact"/>
              <w:rPr>
                <w:b/>
                <w:szCs w:val="21"/>
              </w:rPr>
            </w:pPr>
          </w:p>
        </w:tc>
      </w:tr>
    </w:tbl>
    <w:p w14:paraId="3A82BCDB">
      <w:pPr>
        <w:tabs>
          <w:tab w:val="left" w:pos="3507"/>
        </w:tabs>
        <w:rPr>
          <w:szCs w:val="21"/>
        </w:rPr>
      </w:pPr>
      <w:r>
        <w:rPr>
          <w:rFonts w:hint="eastAsia"/>
          <w:szCs w:val="21"/>
        </w:rPr>
        <w:t>说明：1. 本表每周由学生填写，导师签署意见。</w:t>
      </w:r>
    </w:p>
    <w:p w14:paraId="2B796AB1">
      <w:pPr>
        <w:ind w:left="840" w:hanging="840" w:hangingChars="400"/>
        <w:rPr>
          <w:szCs w:val="21"/>
        </w:rPr>
      </w:pPr>
      <w:r>
        <w:rPr>
          <w:rFonts w:hint="eastAsia"/>
          <w:szCs w:val="21"/>
        </w:rPr>
        <w:t xml:space="preserve">      2. 此表格作为答辩资格审查材料之一。</w:t>
      </w:r>
    </w:p>
    <w:p w14:paraId="461CBD6E">
      <w:pPr>
        <w:ind w:left="840" w:hanging="840" w:hangingChars="400"/>
        <w:rPr>
          <w:szCs w:val="21"/>
        </w:rPr>
      </w:pPr>
      <w:r>
        <w:rPr>
          <w:rFonts w:hint="eastAsia"/>
          <w:szCs w:val="21"/>
        </w:rPr>
        <w:t xml:space="preserve">      3. 文中字体采用宋体小四号，行间距为固定值20磅。</w:t>
      </w:r>
    </w:p>
    <w:p w14:paraId="787F5C04"/>
    <w:p w14:paraId="2A23C8A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604B81"/>
    <w:rsid w:val="24710ED7"/>
    <w:rsid w:val="269508F6"/>
    <w:rsid w:val="33D25C91"/>
    <w:rsid w:val="6ACA1D9B"/>
    <w:rsid w:val="6F604B81"/>
    <w:rsid w:val="F6E67F77"/>
    <w:rsid w:val="FE7BA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874</Words>
  <Characters>888</Characters>
  <Lines>0</Lines>
  <Paragraphs>0</Paragraphs>
  <TotalTime>8</TotalTime>
  <ScaleCrop>false</ScaleCrop>
  <LinksUpToDate>false</LinksUpToDate>
  <CharactersWithSpaces>967</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2025-01-02T16:49:00Z</dcterms:created>
  <dc:creator>浮云看彩虹</dc:creator>
  <cp:lastModifiedBy>ぇッャ</cp:lastModifiedBy>
  <dcterms:modified xsi:type="dcterms:W3CDTF">2025-01-12T23:43:29Z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A603068016CB3F9ADAE283679AE016D5_43</vt:lpwstr>
  </property>
  <property fmtid="{D5CDD505-2E9C-101B-9397-08002B2CF9AE}" pid="4" name="KSOTemplateDocerSaveRecord">
    <vt:lpwstr>eyJoZGlkIjoiYzZkNzQ4ZWFiZmQ4NTRhOWRkZTk3YTMwMjlmMmZhYmUiLCJ1c2VySWQiOiIxMjYzNTcxMzIzIn0=</vt:lpwstr>
  </property>
</Properties>
</file>