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i w:val="0"/>
          <w:iCs w:val="0"/>
          <w:caps w:val="0"/>
          <w:color w:val="444444"/>
          <w:spacing w:val="0"/>
          <w:sz w:val="30"/>
          <w:szCs w:val="30"/>
          <w:u w:val="none"/>
        </w:rPr>
      </w:pPr>
      <w:r>
        <w:rPr>
          <w:rFonts w:hint="eastAsia"/>
          <w:lang w:val="en-US" w:eastAsia="zh-CN"/>
        </w:rPr>
        <w:t>1.</w:t>
      </w:r>
      <w:r>
        <w:rPr>
          <w:i w:val="0"/>
          <w:iCs w:val="0"/>
          <w:caps w:val="0"/>
          <w:color w:val="444444"/>
          <w:spacing w:val="0"/>
          <w:sz w:val="30"/>
          <w:szCs w:val="30"/>
          <w:u w:val="none"/>
          <w:shd w:val="clear" w:fill="FFFFFF"/>
        </w:rPr>
        <w:t>登录图书馆购买的wos-JCR数据库、cnki数据库或者其他文献数据库（选一个即可），查看关于老化的指标。采用了哪些指标？如何定义的，如何计算的？</w:t>
      </w:r>
    </w:p>
    <w:p>
      <w:pPr>
        <w:jc w:val="left"/>
      </w:pPr>
      <w:r>
        <w:rPr>
          <w:rFonts w:hint="eastAsia"/>
          <w:lang w:val="en-US" w:eastAsia="zh-CN"/>
        </w:rPr>
        <w:t>一．登陆并查看：</w:t>
      </w:r>
      <w:r>
        <w:drawing>
          <wp:inline distT="0" distB="0" distL="114300" distR="114300">
            <wp:extent cx="5266690" cy="3363595"/>
            <wp:effectExtent l="0" t="0" r="16510" b="146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6690" cy="3363595"/>
                    </a:xfrm>
                    <a:prstGeom prst="rect">
                      <a:avLst/>
                    </a:prstGeom>
                    <a:noFill/>
                    <a:ln>
                      <a:noFill/>
                    </a:ln>
                  </pic:spPr>
                </pic:pic>
              </a:graphicData>
            </a:graphic>
          </wp:inline>
        </w:drawing>
      </w:r>
    </w:p>
    <w:p>
      <w:pPr>
        <w:jc w:val="left"/>
        <w:rPr>
          <w:rFonts w:hint="eastAsia"/>
          <w:lang w:val="en-US" w:eastAsia="zh-CN"/>
        </w:rPr>
      </w:pPr>
      <w:r>
        <w:rPr>
          <w:rFonts w:hint="eastAsia"/>
          <w:lang w:val="en-US" w:eastAsia="zh-CN"/>
        </w:rPr>
        <w:t>二．各老化指标的定义及计算：</w:t>
      </w:r>
    </w:p>
    <w:p>
      <w:pPr>
        <w:jc w:val="left"/>
        <w:rPr>
          <w:rFonts w:hint="eastAsia"/>
          <w:lang w:val="en-US" w:eastAsia="zh-CN"/>
        </w:rPr>
      </w:pPr>
      <w:r>
        <w:rPr>
          <w:rFonts w:hint="eastAsia"/>
          <w:lang w:val="en-US" w:eastAsia="zh-CN"/>
        </w:rPr>
        <w:t>1）半衰期</w:t>
      </w:r>
    </w:p>
    <w:p>
      <w:pPr>
        <w:jc w:val="left"/>
        <w:rPr>
          <w:rFonts w:hint="eastAsia"/>
          <w:lang w:val="en-US" w:eastAsia="zh-CN"/>
        </w:rPr>
      </w:pPr>
      <w:r>
        <w:rPr>
          <w:rFonts w:hint="eastAsia"/>
          <w:lang w:val="en-US" w:eastAsia="zh-CN"/>
        </w:rPr>
        <w:t>定义：</w:t>
      </w:r>
    </w:p>
    <w:p>
      <w:pPr>
        <w:keepNext w:val="0"/>
        <w:keepLines w:val="0"/>
        <w:widowControl/>
        <w:suppressLineNumbers w:val="0"/>
        <w:jc w:val="left"/>
      </w:pPr>
      <w:r>
        <w:rPr>
          <w:rFonts w:hint="eastAsia"/>
          <w:lang w:val="en-US" w:eastAsia="zh-CN"/>
        </w:rPr>
        <w:t>所谓文献的半衰期是指某学科(领域)尚在利用的全部文献中较新的一半是在多长一段时间内发表的</w:t>
      </w:r>
      <w:r>
        <w:rPr>
          <w:rFonts w:hint="default"/>
          <w:lang w:val="en-US" w:eastAsia="zh-CN"/>
        </w:rPr>
        <w:t>。</w:t>
      </w:r>
    </w:p>
    <w:p>
      <w:pPr>
        <w:jc w:val="left"/>
        <w:rPr>
          <w:rFonts w:hint="eastAsia"/>
          <w:lang w:val="en-US" w:eastAsia="zh-CN"/>
        </w:rPr>
      </w:pPr>
      <w:r>
        <w:rPr>
          <w:rFonts w:hint="eastAsia"/>
          <w:lang w:val="en-US" w:eastAsia="zh-CN"/>
        </w:rPr>
        <w:t>计算方法：</w:t>
      </w:r>
    </w:p>
    <w:p>
      <w:pPr>
        <w:pStyle w:val="3"/>
        <w:keepNext w:val="0"/>
        <w:keepLines w:val="0"/>
        <w:widowControl/>
        <w:suppressLineNumbers w:val="0"/>
        <w:spacing w:before="0" w:beforeAutospacing="0" w:after="0" w:afterAutospacing="0"/>
        <w:ind w:left="0" w:right="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C(t) = C(0) * e^(-λ*t)</w:t>
      </w:r>
    </w:p>
    <w:p>
      <w:pPr>
        <w:pStyle w:val="3"/>
        <w:keepNext w:val="0"/>
        <w:keepLines w:val="0"/>
        <w:widowControl/>
        <w:suppressLineNumbers w:val="0"/>
        <w:spacing w:before="0" w:beforeAutospacing="0" w:after="0" w:afterAutospacing="0"/>
        <w:ind w:left="0" w:right="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其中，C(t)是时间t时刻文献的引用量，C(0)是文献发表后初始的引用量，λ是一个与半衰期相关的常数。</w:t>
      </w:r>
    </w:p>
    <w:p>
      <w:pPr>
        <w:pStyle w:val="3"/>
        <w:keepNext w:val="0"/>
        <w:keepLines w:val="0"/>
        <w:widowControl/>
        <w:suppressLineNumbers w:val="0"/>
        <w:spacing w:before="0" w:beforeAutospacing="0" w:after="0" w:afterAutospacing="0"/>
        <w:ind w:left="0" w:right="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根据这个模型，半衰期(t_1/2)可以通过以下公式进行计算：</w:t>
      </w:r>
    </w:p>
    <w:p>
      <w:pPr>
        <w:pStyle w:val="3"/>
        <w:keepNext w:val="0"/>
        <w:keepLines w:val="0"/>
        <w:widowControl/>
        <w:suppressLineNumbers w:val="0"/>
        <w:spacing w:before="0" w:beforeAutospacing="0" w:after="0" w:afterAutospacing="0"/>
        <w:ind w:left="2760" w:right="0"/>
        <w:jc w:val="left"/>
        <w:rPr>
          <w:rFonts w:hint="eastAsia"/>
          <w:lang w:val="en-US" w:eastAsia="zh-CN"/>
        </w:rPr>
      </w:pPr>
      <w:r>
        <w:rPr>
          <w:rFonts w:hint="default" w:asciiTheme="minorHAnsi" w:hAnsiTheme="minorHAnsi" w:eastAsiaTheme="minorEastAsia" w:cstheme="minorBidi"/>
          <w:kern w:val="2"/>
          <w:sz w:val="21"/>
          <w:szCs w:val="24"/>
          <w:lang w:val="en-US" w:eastAsia="zh-CN" w:bidi="ar-SA"/>
        </w:rPr>
        <w:t>t_1/2 = ln(2) / λ</w:t>
      </w:r>
    </w:p>
    <w:p>
      <w:pPr>
        <w:jc w:val="left"/>
        <w:rPr>
          <w:rFonts w:hint="eastAsia"/>
          <w:lang w:val="en-US" w:eastAsia="zh-CN"/>
        </w:rPr>
      </w:pPr>
      <w:r>
        <w:drawing>
          <wp:inline distT="0" distB="0" distL="114300" distR="114300">
            <wp:extent cx="5265420" cy="3861435"/>
            <wp:effectExtent l="0" t="0" r="17780" b="2476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5420" cy="3861435"/>
                    </a:xfrm>
                    <a:prstGeom prst="rect">
                      <a:avLst/>
                    </a:prstGeom>
                    <a:noFill/>
                    <a:ln>
                      <a:noFill/>
                    </a:ln>
                  </pic:spPr>
                </pic:pic>
              </a:graphicData>
            </a:graphic>
          </wp:inline>
        </w:drawing>
      </w:r>
    </w:p>
    <w:p>
      <w:pPr>
        <w:jc w:val="left"/>
        <w:rPr>
          <w:rFonts w:hint="eastAsia"/>
          <w:lang w:val="en-US" w:eastAsia="zh-CN"/>
        </w:rPr>
      </w:pPr>
      <w:r>
        <w:rPr>
          <w:rFonts w:hint="eastAsia"/>
          <w:lang w:val="en-US" w:eastAsia="zh-CN"/>
        </w:rPr>
        <w:t>参考文献：</w:t>
      </w:r>
    </w:p>
    <w:p>
      <w:pPr>
        <w:jc w:val="left"/>
        <w:rPr>
          <w:rFonts w:hint="default"/>
          <w:lang w:val="en-US" w:eastAsia="zh-CN"/>
        </w:rPr>
      </w:pPr>
      <w:r>
        <w:rPr>
          <w:rFonts w:hint="default"/>
          <w:lang w:val="en-US" w:eastAsia="zh-CN"/>
        </w:rPr>
        <w:t>[1]陈云鹏,张宝林.标准文献半衰期算法及实证研究[J].情报杂志,2012,31(08):94-97.</w:t>
      </w:r>
    </w:p>
    <w:p>
      <w:pPr>
        <w:widowControl w:val="0"/>
        <w:numPr>
          <w:ilvl w:val="0"/>
          <w:numId w:val="0"/>
        </w:numPr>
        <w:jc w:val="left"/>
        <w:rPr>
          <w:rFonts w:hint="eastAsia"/>
          <w:lang w:val="en-US" w:eastAsia="zh-CN"/>
        </w:rPr>
      </w:pPr>
    </w:p>
    <w:p>
      <w:pPr>
        <w:numPr>
          <w:ilvl w:val="0"/>
          <w:numId w:val="1"/>
        </w:numPr>
        <w:jc w:val="left"/>
        <w:rPr>
          <w:rFonts w:hint="eastAsia"/>
          <w:lang w:val="en-US" w:eastAsia="zh-CN"/>
        </w:rPr>
      </w:pPr>
      <w:r>
        <w:rPr>
          <w:rFonts w:hint="eastAsia"/>
          <w:lang w:val="en-US" w:eastAsia="zh-CN"/>
        </w:rPr>
        <w:t>引文峰值年龄</w:t>
      </w:r>
    </w:p>
    <w:p>
      <w:pPr>
        <w:widowControl w:val="0"/>
        <w:numPr>
          <w:ilvl w:val="0"/>
          <w:numId w:val="0"/>
        </w:numPr>
        <w:jc w:val="left"/>
        <w:rPr>
          <w:rFonts w:hint="eastAsia"/>
          <w:lang w:val="en-US" w:eastAsia="zh-CN"/>
        </w:rPr>
      </w:pPr>
      <w:r>
        <w:rPr>
          <w:rFonts w:hint="eastAsia"/>
          <w:lang w:val="en-US" w:eastAsia="zh-CN"/>
        </w:rPr>
        <w:t>也称“最大引文年限”。</w:t>
      </w:r>
    </w:p>
    <w:p>
      <w:pPr>
        <w:widowControl w:val="0"/>
        <w:numPr>
          <w:ilvl w:val="0"/>
          <w:numId w:val="0"/>
        </w:numPr>
        <w:jc w:val="left"/>
        <w:rPr>
          <w:rFonts w:hint="default"/>
          <w:lang w:val="en-US" w:eastAsia="zh-CN"/>
        </w:rPr>
      </w:pPr>
      <w:r>
        <w:rPr>
          <w:rFonts w:hint="eastAsia"/>
          <w:lang w:val="en-US" w:eastAsia="zh-CN"/>
        </w:rPr>
        <w:t>定义：</w:t>
      </w:r>
    </w:p>
    <w:p>
      <w:pPr>
        <w:widowControl w:val="0"/>
        <w:numPr>
          <w:ilvl w:val="0"/>
          <w:numId w:val="0"/>
        </w:numPr>
        <w:jc w:val="left"/>
        <w:rPr>
          <w:rFonts w:hint="eastAsia"/>
          <w:lang w:val="en-US" w:eastAsia="zh-CN"/>
        </w:rPr>
      </w:pPr>
      <w:r>
        <w:rPr>
          <w:rFonts w:hint="eastAsia"/>
          <w:lang w:val="en-US" w:eastAsia="zh-CN"/>
        </w:rPr>
        <w:t>引文峰值年龄即指引文数量达到最大值时对应的时间。</w:t>
      </w:r>
    </w:p>
    <w:p>
      <w:pPr>
        <w:jc w:val="left"/>
        <w:rPr>
          <w:rFonts w:hint="eastAsia"/>
          <w:lang w:val="en-US" w:eastAsia="zh-CN"/>
        </w:rPr>
      </w:pPr>
      <w:r>
        <w:rPr>
          <w:rFonts w:hint="eastAsia"/>
          <w:lang w:val="en-US" w:eastAsia="zh-CN"/>
        </w:rPr>
        <w:t>计算方法：</w:t>
      </w:r>
    </w:p>
    <w:p>
      <w:pPr>
        <w:widowControl w:val="0"/>
        <w:numPr>
          <w:ilvl w:val="0"/>
          <w:numId w:val="0"/>
        </w:numPr>
        <w:jc w:val="left"/>
        <w:rPr>
          <w:rFonts w:hint="eastAsia"/>
          <w:lang w:val="en-US" w:eastAsia="zh-CN"/>
        </w:rPr>
      </w:pPr>
      <w:r>
        <w:rPr>
          <w:rFonts w:hint="eastAsia"/>
          <w:lang w:val="en-US" w:eastAsia="zh-CN"/>
        </w:rPr>
        <w:t>引文峰值年龄为某刊在统计年得到的全部被引中，被引文献发表时间出现最多的那一年与统计年之间的时间差;引证分析中，引文峰值年龄为某刊在统计年的全部参考文献中，参考文献发表时间出现最多的那一年与统计年之间的时间差。</w:t>
      </w:r>
    </w:p>
    <w:p>
      <w:pPr>
        <w:widowControl w:val="0"/>
        <w:numPr>
          <w:ilvl w:val="0"/>
          <w:numId w:val="0"/>
        </w:numPr>
        <w:jc w:val="left"/>
        <w:rPr>
          <w:rFonts w:hint="eastAsia"/>
          <w:lang w:val="en-US" w:eastAsia="zh-CN"/>
        </w:rPr>
      </w:pPr>
    </w:p>
    <w:p>
      <w:pPr>
        <w:numPr>
          <w:ilvl w:val="0"/>
          <w:numId w:val="1"/>
        </w:numPr>
        <w:jc w:val="left"/>
        <w:rPr>
          <w:rFonts w:hint="eastAsia"/>
          <w:lang w:val="en-US" w:eastAsia="zh-CN"/>
        </w:rPr>
      </w:pPr>
      <w:r>
        <w:rPr>
          <w:rFonts w:hint="eastAsia"/>
          <w:lang w:val="en-US" w:eastAsia="zh-CN"/>
        </w:rPr>
        <w:t>普赖斯指数</w:t>
      </w:r>
    </w:p>
    <w:p>
      <w:pPr>
        <w:widowControl w:val="0"/>
        <w:numPr>
          <w:ilvl w:val="0"/>
          <w:numId w:val="0"/>
        </w:numPr>
        <w:jc w:val="left"/>
        <w:rPr>
          <w:rFonts w:hint="eastAsia"/>
          <w:lang w:val="en-US" w:eastAsia="zh-CN"/>
        </w:rPr>
      </w:pPr>
      <w:r>
        <w:rPr>
          <w:rFonts w:hint="eastAsia"/>
          <w:lang w:val="en-US" w:eastAsia="zh-CN"/>
        </w:rPr>
        <w:t>定义：</w:t>
      </w:r>
    </w:p>
    <w:p>
      <w:pPr>
        <w:pStyle w:val="3"/>
        <w:keepNext w:val="0"/>
        <w:keepLines w:val="0"/>
        <w:widowControl/>
        <w:suppressLineNumbers w:val="0"/>
        <w:spacing w:before="0" w:beforeAutospacing="0" w:after="0" w:afterAutospacing="0"/>
        <w:ind w:left="0" w:right="0"/>
        <w:jc w:val="left"/>
        <w:rPr>
          <w:rFonts w:hint="eastAsia"/>
          <w:lang w:val="en-US" w:eastAsia="zh-CN"/>
        </w:rPr>
      </w:pPr>
      <w:r>
        <w:rPr>
          <w:rFonts w:hint="eastAsia" w:asciiTheme="minorHAnsi" w:hAnsiTheme="minorHAnsi" w:eastAsiaTheme="minorEastAsia" w:cstheme="minorBidi"/>
          <w:kern w:val="2"/>
          <w:sz w:val="21"/>
          <w:szCs w:val="24"/>
          <w:lang w:val="en-US" w:eastAsia="zh-CN" w:bidi="ar-SA"/>
        </w:rPr>
        <w:t>普赖斯指数表示在某一时间点上，被引用的文献相对于在该时间点之前发表的文献的平均被引用次数的比值。</w:t>
      </w:r>
    </w:p>
    <w:p>
      <w:pPr>
        <w:widowControl w:val="0"/>
        <w:numPr>
          <w:ilvl w:val="0"/>
          <w:numId w:val="0"/>
        </w:numPr>
        <w:jc w:val="left"/>
        <w:rPr>
          <w:rFonts w:hint="eastAsia"/>
          <w:lang w:val="en-US" w:eastAsia="zh-CN"/>
        </w:rPr>
      </w:pPr>
      <w:r>
        <w:rPr>
          <w:rFonts w:hint="eastAsia"/>
          <w:lang w:val="en-US" w:eastAsia="zh-CN"/>
        </w:rPr>
        <w:t>根据 Price 的定义，普赖斯指数的意义为当前被使用的文献中，近5年文献占总数的百分比。</w:t>
      </w:r>
    </w:p>
    <w:p>
      <w:pPr>
        <w:jc w:val="left"/>
        <w:rPr>
          <w:rFonts w:hint="eastAsia"/>
          <w:lang w:val="en-US" w:eastAsia="zh-CN"/>
        </w:rPr>
      </w:pPr>
      <w:r>
        <w:rPr>
          <w:rFonts w:hint="eastAsia"/>
          <w:lang w:val="en-US" w:eastAsia="zh-CN"/>
        </w:rPr>
        <w:t>计算方法：</w:t>
      </w:r>
    </w:p>
    <w:p>
      <w:pPr>
        <w:widowControl w:val="0"/>
        <w:numPr>
          <w:ilvl w:val="0"/>
          <w:numId w:val="0"/>
        </w:numPr>
        <w:jc w:val="left"/>
        <w:rPr>
          <w:rFonts w:hint="eastAsia"/>
          <w:lang w:val="en-US" w:eastAsia="zh-CN"/>
        </w:rPr>
      </w:pPr>
      <w:r>
        <w:rPr>
          <w:rFonts w:hint="eastAsia"/>
          <w:lang w:val="en-US" w:eastAsia="zh-CN"/>
        </w:rPr>
        <w:t>Price 基于其当年的研究数据和结果确定了5年的数值范围，而在后人的研究中,具体以多少年为划分标准实则可以根据研究需要自行确定。统计年的引文年龄计为0(即发表当年)，取引文年龄为5时对应的引文累积百分比为普赖斯指数，表示发表后五年内的引文数量占全部引文数量的比。</w:t>
      </w:r>
    </w:p>
    <w:p>
      <w:pPr>
        <w:widowControl w:val="0"/>
        <w:numPr>
          <w:ilvl w:val="0"/>
          <w:numId w:val="0"/>
        </w:numPr>
        <w:jc w:val="left"/>
        <w:rPr>
          <w:rFonts w:hint="eastAsia"/>
          <w:lang w:val="en-US" w:eastAsia="zh-CN"/>
        </w:rPr>
      </w:pPr>
      <w:r>
        <w:rPr>
          <w:rFonts w:hint="eastAsia"/>
          <w:lang w:val="en-US" w:eastAsia="zh-CN"/>
        </w:rPr>
        <w:t>Pr=出版年限不超过5年的被引文献数量/ 被引文献总数量*100%    </w:t>
      </w:r>
    </w:p>
    <w:p>
      <w:pPr>
        <w:widowControl w:val="0"/>
        <w:numPr>
          <w:ilvl w:val="0"/>
          <w:numId w:val="0"/>
        </w:numPr>
        <w:jc w:val="left"/>
        <w:rPr>
          <w:rFonts w:hint="eastAsia"/>
          <w:lang w:val="en-US" w:eastAsia="zh-CN"/>
        </w:rPr>
      </w:pPr>
      <w:r>
        <w:rPr>
          <w:rFonts w:hint="eastAsia"/>
          <w:lang w:val="en-US" w:eastAsia="zh-CN"/>
        </w:rPr>
        <w:t>2）3）的参考文献：</w:t>
      </w:r>
    </w:p>
    <w:p>
      <w:pPr>
        <w:widowControl w:val="0"/>
        <w:numPr>
          <w:ilvl w:val="0"/>
          <w:numId w:val="2"/>
        </w:numPr>
        <w:jc w:val="left"/>
        <w:rPr>
          <w:rFonts w:hint="default"/>
          <w:lang w:val="en-US" w:eastAsia="zh-CN"/>
        </w:rPr>
      </w:pPr>
      <w:r>
        <w:rPr>
          <w:rFonts w:hint="default"/>
          <w:lang w:val="en-US" w:eastAsia="zh-CN"/>
        </w:rPr>
        <w:t>丁喆. 科学文献老化的信息计量测度研究[D].浙江大学,2014.</w:t>
      </w:r>
    </w:p>
    <w:p>
      <w:pPr>
        <w:widowControl w:val="0"/>
        <w:numPr>
          <w:ilvl w:val="0"/>
          <w:numId w:val="0"/>
        </w:numPr>
        <w:jc w:val="left"/>
        <w:rPr>
          <w:rFonts w:hint="default"/>
          <w:lang w:val="en-US" w:eastAsia="zh-CN"/>
        </w:rPr>
      </w:pPr>
    </w:p>
    <w:p>
      <w:pPr>
        <w:keepNext w:val="0"/>
        <w:keepLines w:val="0"/>
        <w:widowControl/>
        <w:suppressLineNumbers w:val="0"/>
        <w:jc w:val="left"/>
        <w:rPr>
          <w:rFonts w:hint="eastAsia"/>
          <w:lang w:val="en-US" w:eastAsia="zh-CN"/>
        </w:rPr>
      </w:pPr>
      <w:r>
        <w:rPr>
          <w:rFonts w:hint="eastAsia"/>
          <w:lang w:val="en-US" w:eastAsia="zh-CN"/>
        </w:rPr>
        <w:t>4）引文年代分布</w:t>
      </w:r>
    </w:p>
    <w:p>
      <w:pPr>
        <w:keepNext w:val="0"/>
        <w:keepLines w:val="0"/>
        <w:widowControl/>
        <w:suppressLineNumbers w:val="0"/>
        <w:jc w:val="left"/>
        <w:rPr>
          <w:rFonts w:hint="eastAsia"/>
          <w:lang w:val="en-US" w:eastAsia="zh-CN"/>
        </w:rPr>
      </w:pPr>
      <w:r>
        <w:rPr>
          <w:rFonts w:hint="eastAsia"/>
          <w:lang w:val="en-US" w:eastAsia="zh-CN"/>
        </w:rPr>
        <w:t>定义：</w:t>
      </w:r>
    </w:p>
    <w:p>
      <w:pPr>
        <w:pStyle w:val="3"/>
        <w:keepNext w:val="0"/>
        <w:keepLines w:val="0"/>
        <w:widowControl/>
        <w:suppressLineNumbers w:val="0"/>
        <w:spacing w:before="0" w:beforeAutospacing="0" w:after="0" w:afterAutospacing="0"/>
        <w:ind w:left="0" w:right="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引文年代分布是指对某一特定文献或研究领域中的文献进行统计和分析，以了解引用文献在时间上的分布情况。它反映了文献被引用的时间模式和趋势。</w:t>
      </w:r>
    </w:p>
    <w:p>
      <w:pPr>
        <w:pStyle w:val="3"/>
        <w:keepNext w:val="0"/>
        <w:keepLines w:val="0"/>
        <w:widowControl/>
        <w:suppressLineNumbers w:val="0"/>
        <w:spacing w:before="0" w:beforeAutospacing="0" w:after="0" w:afterAutospacing="0"/>
        <w:ind w:right="0"/>
        <w:jc w:val="left"/>
      </w:pPr>
      <w:r>
        <w:rPr>
          <w:rFonts w:hint="eastAsia" w:asciiTheme="minorHAnsi" w:hAnsiTheme="minorHAnsi" w:eastAsiaTheme="minorEastAsia" w:cstheme="minorBidi"/>
          <w:kern w:val="2"/>
          <w:sz w:val="21"/>
          <w:szCs w:val="24"/>
          <w:lang w:val="en-US" w:eastAsia="zh-CN" w:bidi="ar-SA"/>
        </w:rPr>
        <w:t>引文年代分布可以通过统计每个引用文献的引用年份，以及相应引用年份的引用数量或频率来进行分析。通常将引用年份按照时间顺序进行排序，并将其与引用数量或频率进行可视化，以揭示引用的时间模式。</w:t>
      </w:r>
    </w:p>
    <w:p>
      <w:pPr>
        <w:keepNext w:val="0"/>
        <w:keepLines w:val="0"/>
        <w:widowControl/>
        <w:suppressLineNumbers w:val="0"/>
        <w:jc w:val="left"/>
        <w:rPr>
          <w:rFonts w:hint="eastAsia"/>
          <w:lang w:val="en-US" w:eastAsia="zh-CN"/>
        </w:rPr>
      </w:pPr>
      <w:r>
        <w:rPr>
          <w:rFonts w:hint="eastAsia"/>
          <w:lang w:val="en-US" w:eastAsia="zh-CN"/>
        </w:rPr>
        <w:t>计算方法：无</w:t>
      </w:r>
    </w:p>
    <w:p>
      <w:pPr>
        <w:keepNext w:val="0"/>
        <w:keepLines w:val="0"/>
        <w:widowControl/>
        <w:suppressLineNumbers w:val="0"/>
        <w:jc w:val="left"/>
        <w:rPr>
          <w:rFonts w:hint="default"/>
          <w:lang w:val="en-US" w:eastAsia="zh-CN"/>
        </w:rPr>
      </w:pPr>
      <w:r>
        <w:drawing>
          <wp:inline distT="0" distB="0" distL="114300" distR="114300">
            <wp:extent cx="4067175" cy="5762625"/>
            <wp:effectExtent l="0" t="0" r="22225" b="317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6"/>
                    <a:stretch>
                      <a:fillRect/>
                    </a:stretch>
                  </pic:blipFill>
                  <pic:spPr>
                    <a:xfrm>
                      <a:off x="0" y="0"/>
                      <a:ext cx="4067175" cy="5762625"/>
                    </a:xfrm>
                    <a:prstGeom prst="rect">
                      <a:avLst/>
                    </a:prstGeom>
                    <a:noFill/>
                    <a:ln>
                      <a:noFill/>
                    </a:ln>
                  </pic:spPr>
                </pic:pic>
              </a:graphicData>
            </a:graphic>
          </wp:inline>
        </w:drawing>
      </w:r>
    </w:p>
    <w:p>
      <w:pPr>
        <w:keepNext w:val="0"/>
        <w:keepLines w:val="0"/>
        <w:widowControl/>
        <w:numPr>
          <w:numId w:val="0"/>
        </w:numPr>
        <w:suppressLineNumbers w:val="0"/>
        <w:ind w:leftChars="0"/>
        <w:jc w:val="left"/>
        <w:rPr>
          <w:rFonts w:hint="eastAsia"/>
          <w:lang w:val="en-US" w:eastAsia="zh-CN"/>
        </w:rPr>
      </w:pPr>
      <w:r>
        <w:rPr>
          <w:rFonts w:hint="eastAsia"/>
          <w:lang w:val="en-US" w:eastAsia="zh-CN"/>
        </w:rPr>
        <w:t>5）当年指标</w:t>
      </w:r>
    </w:p>
    <w:p>
      <w:pPr>
        <w:keepNext w:val="0"/>
        <w:keepLines w:val="0"/>
        <w:widowControl/>
        <w:numPr>
          <w:ilvl w:val="0"/>
          <w:numId w:val="0"/>
        </w:numPr>
        <w:suppressLineNumbers w:val="0"/>
        <w:jc w:val="left"/>
        <w:rPr>
          <w:rFonts w:hint="eastAsia"/>
          <w:lang w:val="en-US" w:eastAsia="zh-CN"/>
        </w:rPr>
      </w:pPr>
      <w:r>
        <w:rPr>
          <w:rFonts w:hint="eastAsia"/>
          <w:lang w:val="en-US" w:eastAsia="zh-CN"/>
        </w:rPr>
        <w:t>定义：</w:t>
      </w:r>
    </w:p>
    <w:p>
      <w:pPr>
        <w:keepNext w:val="0"/>
        <w:keepLines w:val="0"/>
        <w:widowControl/>
        <w:suppressLineNumbers w:val="0"/>
        <w:jc w:val="left"/>
        <w:rPr>
          <w:rFonts w:hint="default"/>
          <w:lang w:val="en-US" w:eastAsia="zh-CN"/>
        </w:rPr>
      </w:pPr>
      <w:r>
        <w:rPr>
          <w:rFonts w:hint="eastAsia"/>
          <w:lang w:val="en-US" w:eastAsia="zh-CN"/>
        </w:rPr>
        <w:t>也叫快指标。</w:t>
      </w:r>
      <w:r>
        <w:rPr>
          <w:rFonts w:hint="default"/>
          <w:lang w:val="en-US" w:eastAsia="zh-CN"/>
        </w:rPr>
        <w:t>是指在指定年度里（2001年）引文中引及当年的引文数与总引文数之比</w:t>
      </w:r>
      <w:r>
        <w:rPr>
          <w:rFonts w:hint="eastAsia"/>
          <w:lang w:val="en-US" w:eastAsia="zh-CN"/>
        </w:rPr>
        <w:t>。</w:t>
      </w:r>
      <w:r>
        <w:rPr>
          <w:rFonts w:hint="default"/>
          <w:lang w:val="en-US" w:eastAsia="zh-CN"/>
        </w:rPr>
        <w:t>它揭示了研</w:t>
      </w:r>
      <w:r>
        <w:rPr>
          <w:rFonts w:hint="eastAsia"/>
          <w:lang w:val="en-US" w:eastAsia="zh-CN"/>
        </w:rPr>
        <w:t>究</w:t>
      </w:r>
      <w:r>
        <w:rPr>
          <w:rFonts w:hint="default"/>
          <w:lang w:val="en-US" w:eastAsia="zh-CN"/>
        </w:rPr>
        <w:t>者利用当年成果的敏锐程度。</w:t>
      </w:r>
    </w:p>
    <w:p>
      <w:pPr>
        <w:keepNext w:val="0"/>
        <w:keepLines w:val="0"/>
        <w:widowControl/>
        <w:suppressLineNumbers w:val="0"/>
        <w:jc w:val="left"/>
        <w:rPr>
          <w:rFonts w:hint="eastAsia"/>
          <w:lang w:val="en-US" w:eastAsia="zh-CN"/>
        </w:rPr>
      </w:pPr>
      <w:r>
        <w:rPr>
          <w:rFonts w:hint="eastAsia"/>
          <w:lang w:val="en-US" w:eastAsia="zh-CN"/>
        </w:rPr>
        <w:t>计算方法：</w:t>
      </w:r>
    </w:p>
    <w:p>
      <w:pPr>
        <w:pStyle w:val="3"/>
        <w:keepNext w:val="0"/>
        <w:keepLines w:val="0"/>
        <w:widowControl/>
        <w:suppressLineNumbers w:val="0"/>
        <w:spacing w:before="0" w:beforeAutospacing="0" w:after="0" w:afterAutospacing="0"/>
        <w:ind w:right="0"/>
        <w:jc w:val="left"/>
        <w:rPr>
          <w:rFonts w:hint="default" w:asciiTheme="minorHAnsi" w:hAnsiTheme="minorHAnsi" w:eastAsiaTheme="minorEastAsia" w:cstheme="minorBidi"/>
          <w:kern w:val="2"/>
          <w:sz w:val="21"/>
          <w:szCs w:val="24"/>
          <w:lang w:val="en-US" w:eastAsia="zh-CN" w:bidi="ar-SA"/>
        </w:rPr>
      </w:pPr>
      <w:r>
        <w:rPr>
          <w:rFonts w:hint="default" w:asciiTheme="minorHAnsi" w:hAnsiTheme="minorHAnsi" w:eastAsiaTheme="minorEastAsia" w:cstheme="minorBidi"/>
          <w:kern w:val="2"/>
          <w:sz w:val="21"/>
          <w:szCs w:val="24"/>
          <w:lang w:val="en-US" w:eastAsia="zh-CN" w:bidi="ar-SA"/>
        </w:rPr>
        <w:t>当年指标 = 目标年份内被引用的文献数 / 目标年份内所有文献的引用次数总和</w:t>
      </w:r>
    </w:p>
    <w:p>
      <w:pPr>
        <w:keepNext w:val="0"/>
        <w:keepLines w:val="0"/>
        <w:widowControl/>
        <w:suppressLineNumbers w:val="0"/>
        <w:jc w:val="left"/>
        <w:rPr>
          <w:rFonts w:hint="default"/>
          <w:lang w:val="en-US" w:eastAsia="zh-CN"/>
        </w:rPr>
      </w:pPr>
      <w:r>
        <w:rPr>
          <w:rFonts w:hint="eastAsia"/>
          <w:lang w:val="en-US" w:eastAsia="zh-CN"/>
        </w:rPr>
        <w:t>4）5）</w:t>
      </w:r>
      <w:bookmarkStart w:id="0" w:name="_GoBack"/>
      <w:bookmarkEnd w:id="0"/>
      <w:r>
        <w:rPr>
          <w:rFonts w:hint="eastAsia"/>
          <w:lang w:val="en-US" w:eastAsia="zh-CN"/>
        </w:rPr>
        <w:t>的参考文献：</w:t>
      </w:r>
    </w:p>
    <w:p>
      <w:pPr>
        <w:keepNext w:val="0"/>
        <w:keepLines w:val="0"/>
        <w:widowControl/>
        <w:numPr>
          <w:ilvl w:val="0"/>
          <w:numId w:val="2"/>
        </w:numPr>
        <w:suppressLineNumbers w:val="0"/>
        <w:ind w:left="0" w:leftChars="0" w:firstLine="0" w:firstLineChars="0"/>
        <w:jc w:val="left"/>
        <w:rPr>
          <w:rFonts w:hint="default"/>
          <w:lang w:val="en-US" w:eastAsia="zh-CN"/>
        </w:rPr>
      </w:pPr>
      <w:r>
        <w:rPr>
          <w:rFonts w:hint="default"/>
          <w:lang w:val="en-US" w:eastAsia="zh-CN"/>
        </w:rPr>
        <w:t>王春霞.计算机科学文献的老化速度[J].晋图学刊,2004(03):4-6+75.</w:t>
      </w:r>
    </w:p>
    <w:p>
      <w:pPr>
        <w:keepNext w:val="0"/>
        <w:keepLines w:val="0"/>
        <w:widowControl/>
        <w:numPr>
          <w:ilvl w:val="0"/>
          <w:numId w:val="0"/>
        </w:numPr>
        <w:suppressLineNumbers w:val="0"/>
        <w:jc w:val="left"/>
        <w:rPr>
          <w:rFonts w:ascii="HGKT_CNKI" w:hAnsi="HGKT_CNKI" w:eastAsia="HGKT_CNKI" w:cs="HGKT_CNKI"/>
          <w:color w:val="000000"/>
          <w:kern w:val="0"/>
          <w:sz w:val="20"/>
          <w:szCs w:val="20"/>
          <w:lang w:val="en-US" w:eastAsia="zh-CN" w:bidi="ar"/>
        </w:rPr>
      </w:pPr>
    </w:p>
    <w:p>
      <w:pPr>
        <w:keepNext w:val="0"/>
        <w:keepLines w:val="0"/>
        <w:widowControl/>
        <w:numPr>
          <w:ilvl w:val="0"/>
          <w:numId w:val="0"/>
        </w:numPr>
        <w:suppressLineNumbers w:val="0"/>
        <w:jc w:val="left"/>
        <w:rPr>
          <w:rFonts w:hint="default"/>
          <w:lang w:val="en-US" w:eastAsia="zh-CN"/>
        </w:rPr>
      </w:pPr>
    </w:p>
    <w:p>
      <w:pPr>
        <w:widowControl w:val="0"/>
        <w:numPr>
          <w:ilvl w:val="0"/>
          <w:numId w:val="0"/>
        </w:numPr>
        <w:jc w:val="both"/>
        <w:rPr>
          <w:rFonts w:hint="default"/>
          <w:lang w:val="en-US" w:eastAsia="zh-CN"/>
        </w:rPr>
      </w:pPr>
    </w:p>
    <w:p>
      <w:pPr>
        <w:jc w:val="left"/>
        <w:rPr>
          <w:rFonts w:hint="eastAsia"/>
          <w:lang w:val="en-US" w:eastAsia="zh-CN"/>
        </w:rPr>
      </w:pPr>
    </w:p>
    <w:p>
      <w:pPr>
        <w:jc w:val="left"/>
        <w:rPr>
          <w:rFonts w:hint="default"/>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704020202020204"/>
    <w:charset w:val="01"/>
    <w:family w:val="swiss"/>
    <w:pitch w:val="default"/>
    <w:sig w:usb0="E0002AFF" w:usb1="C0007843" w:usb2="00000009" w:usb3="00000000" w:csb0="400001FF" w:csb1="FFFF0000"/>
  </w:font>
  <w:font w:name="黑体">
    <w:altName w:val="汉仪中黑KW"/>
    <w:panose1 w:val="02010609060101010101"/>
    <w:charset w:val="86"/>
    <w:family w:val="auto"/>
    <w:pitch w:val="default"/>
    <w:sig w:usb0="800002BF" w:usb1="38CF7CFA" w:usb2="00000016" w:usb3="00000000" w:csb0="00040001" w:csb1="00000000"/>
  </w:font>
  <w:font w:name="Courier New">
    <w:panose1 w:val="02070609020205020404"/>
    <w:charset w:val="01"/>
    <w:family w:val="modern"/>
    <w:pitch w:val="default"/>
    <w:sig w:usb0="E0002AFF" w:usb1="C0007843" w:usb2="00000009" w:usb3="00000000" w:csb0="400001FF" w:csb1="FFFF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Helvetica Neue">
    <w:panose1 w:val="02000503000000020004"/>
    <w:charset w:val="00"/>
    <w:family w:val="auto"/>
    <w:pitch w:val="default"/>
    <w:sig w:usb0="E50002FF" w:usb1="500079DB" w:usb2="00000010" w:usb3="00000000" w:csb0="00000000" w:csb1="00000000"/>
  </w:font>
  <w:font w:name="pingfang sc">
    <w:panose1 w:val="020B0400000000000000"/>
    <w:charset w:val="86"/>
    <w:family w:val="auto"/>
    <w:pitch w:val="default"/>
    <w:sig w:usb0="A00002FF" w:usb1="7ACFFDFB" w:usb2="00000017" w:usb3="00000000" w:csb0="00040001" w:csb1="00000000"/>
  </w:font>
  <w:font w:name="HGKT_CNKI">
    <w:altName w:val="苹方-简"/>
    <w:panose1 w:val="00000000000000000000"/>
    <w:charset w:val="00"/>
    <w:family w:val="auto"/>
    <w:pitch w:val="default"/>
    <w:sig w:usb0="00000000" w:usb1="00000000" w:usb2="00000000" w:usb3="00000000" w:csb0="00000000"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FEA9857"/>
    <w:multiLevelType w:val="singleLevel"/>
    <w:tmpl w:val="AFEA9857"/>
    <w:lvl w:ilvl="0" w:tentative="0">
      <w:start w:val="2"/>
      <w:numFmt w:val="decimal"/>
      <w:suff w:val="nothing"/>
      <w:lvlText w:val="%1）"/>
      <w:lvlJc w:val="left"/>
    </w:lvl>
  </w:abstractNum>
  <w:abstractNum w:abstractNumId="1">
    <w:nsid w:val="EBB6502D"/>
    <w:multiLevelType w:val="singleLevel"/>
    <w:tmpl w:val="EBB6502D"/>
    <w:lvl w:ilvl="0" w:tentative="0">
      <w:start w:val="2"/>
      <w:numFmt w:val="decimal"/>
      <w:lvlText w:val="[%1]"/>
      <w:lvlJc w:val="left"/>
      <w:pPr>
        <w:tabs>
          <w:tab w:val="left" w:pos="312"/>
        </w:tabs>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3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8F752B9"/>
    <w:rsid w:val="7FEB290E"/>
    <w:rsid w:val="F8F752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paragraph" w:customStyle="1" w:styleId="6">
    <w:name w:val="p1"/>
    <w:basedOn w:val="1"/>
    <w:uiPriority w:val="0"/>
    <w:pPr>
      <w:spacing w:before="0" w:beforeAutospacing="0" w:after="0" w:afterAutospacing="0"/>
      <w:ind w:left="0" w:right="0"/>
      <w:jc w:val="left"/>
    </w:pPr>
    <w:rPr>
      <w:rFonts w:ascii="Helvetica Neue" w:hAnsi="Helvetica Neue" w:eastAsia="Helvetica Neue" w:cs="Helvetica Neue"/>
      <w:kern w:val="0"/>
      <w:sz w:val="26"/>
      <w:szCs w:val="26"/>
      <w:lang w:val="en-US" w:eastAsia="zh-CN" w:bidi="ar"/>
    </w:rPr>
  </w:style>
  <w:style w:type="paragraph" w:customStyle="1" w:styleId="7">
    <w:name w:val="p2"/>
    <w:basedOn w:val="1"/>
    <w:uiPriority w:val="0"/>
    <w:pPr>
      <w:spacing w:before="0" w:beforeAutospacing="0" w:after="0" w:afterAutospacing="0"/>
      <w:ind w:left="0" w:right="0"/>
      <w:jc w:val="both"/>
    </w:pPr>
    <w:rPr>
      <w:rFonts w:ascii="pingfang sc" w:hAnsi="pingfang sc" w:eastAsia="pingfang sc" w:cs="pingfang sc"/>
      <w:kern w:val="0"/>
      <w:sz w:val="26"/>
      <w:szCs w:val="26"/>
      <w:lang w:val="en-US" w:eastAsia="zh-CN" w:bidi="ar"/>
    </w:rPr>
  </w:style>
  <w:style w:type="character" w:customStyle="1" w:styleId="8">
    <w:name w:val="s1"/>
    <w:basedOn w:val="5"/>
    <w:uiPriority w:val="0"/>
    <w:rPr>
      <w:rFonts w:ascii="pingfang sc" w:hAnsi="pingfang sc" w:eastAsia="pingfang sc" w:cs="pingfang sc"/>
      <w:sz w:val="26"/>
      <w:szCs w:val="26"/>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78</TotalTime>
  <ScaleCrop>false</ScaleCrop>
  <LinksUpToDate>false</LinksUpToDate>
  <CharactersWithSpaces>0</CharactersWithSpaces>
  <Application>WPS Office_6.2.0.8299_F1E327BC-269C-435d-A152-05C5408002CA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2023-10-13T03:12:00Z</dcterms:created>
  <dc:creator>something for nothing</dc:creator>
  <cp:lastModifiedBy>something for nothing</cp:lastModifiedBy>
  <dcterms:modified xsi:type="dcterms:W3CDTF">2023-10-13T00:13:41Z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2052-6.2.0.8299</vt:lpwstr>
  </property>
  <property fmtid="{D5CDD505-2E9C-101B-9397-08002B2CF9AE}" pid="3" name="ICV">
    <vt:lpwstr>9A0BF7BB93FDCFFEB2D42765328B4A96_41</vt:lpwstr>
  </property>
</Properties>
</file>