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宋体" w:hAnsi="宋体" w:eastAsia="宋体" w:cs="宋体"/>
          <w:b w:val="0"/>
          <w:bCs w:val="0"/>
          <w:lang w:val="en-US" w:eastAsia="zh-CN"/>
        </w:rPr>
      </w:pPr>
      <w:r>
        <w:rPr>
          <w:rFonts w:hint="default" w:ascii="宋体" w:hAnsi="宋体" w:eastAsia="宋体" w:cs="宋体"/>
          <w:b w:val="0"/>
          <w:bCs w:val="0"/>
          <w:lang w:val="en-US" w:eastAsia="zh-CN"/>
        </w:rPr>
        <w:t>通过实证验证布拉德福定律，选择区域法，</w:t>
      </w:r>
      <w:r>
        <w:rPr>
          <w:rFonts w:hint="eastAsia" w:ascii="宋体" w:hAnsi="宋体" w:eastAsia="宋体" w:cs="宋体"/>
          <w:b w:val="0"/>
          <w:bCs w:val="0"/>
          <w:lang w:val="en-US" w:eastAsia="zh-CN"/>
        </w:rPr>
        <w:t>图像法，</w:t>
      </w:r>
      <w:r>
        <w:rPr>
          <w:rFonts w:hint="default" w:ascii="宋体" w:hAnsi="宋体" w:eastAsia="宋体" w:cs="宋体"/>
          <w:b w:val="0"/>
          <w:bCs w:val="0"/>
          <w:lang w:val="en-US" w:eastAsia="zh-CN"/>
        </w:rPr>
        <w:t>集中和分散广泛存在（二八定律、马太效应），可以选择某领域/学科/话题的相关论文和对于的期刊进行研究。</w:t>
      </w:r>
    </w:p>
    <w:p>
      <w:pPr>
        <w:keepNext w:val="0"/>
        <w:keepLines w:val="0"/>
        <w:widowControl/>
        <w:suppressLineNumbers w:val="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研究：</w:t>
      </w:r>
    </w:p>
    <w:p>
      <w:pPr>
        <w:keepNext w:val="0"/>
        <w:keepLines w:val="0"/>
        <w:widowControl/>
        <w:suppressLineNumbers w:val="0"/>
        <w:jc w:val="left"/>
        <w:rPr>
          <w:rFonts w:hint="default" w:ascii="宋体" w:hAnsi="宋体" w:eastAsia="宋体" w:cs="宋体"/>
          <w:b w:val="0"/>
          <w:bCs w:val="0"/>
          <w:lang w:val="en-US" w:eastAsia="zh-CN"/>
        </w:rPr>
      </w:pPr>
      <w:r>
        <w:rPr>
          <w:rFonts w:hint="eastAsia" w:ascii="宋体" w:hAnsi="宋体" w:eastAsia="宋体" w:cs="宋体"/>
          <w:b w:val="0"/>
          <w:bCs w:val="0"/>
          <w:lang w:val="en-US" w:eastAsia="zh-CN"/>
        </w:rPr>
        <w:t>参考文献：</w:t>
      </w:r>
      <w:r>
        <w:rPr>
          <w:rFonts w:hint="default" w:ascii="宋体" w:hAnsi="宋体" w:eastAsia="宋体" w:cs="宋体"/>
          <w:b w:val="0"/>
          <w:bCs w:val="0"/>
          <w:lang w:val="en-US" w:eastAsia="zh-CN"/>
        </w:rPr>
        <w:t>[1]王晓芳,王健,袁广林等.基于布拉德福定律的Web被引频次分析[J].</w:t>
      </w:r>
      <w:bookmarkStart w:id="0" w:name="_GoBack"/>
      <w:bookmarkEnd w:id="0"/>
      <w:r>
        <w:rPr>
          <w:rFonts w:hint="default" w:ascii="宋体" w:hAnsi="宋体" w:eastAsia="宋体" w:cs="宋体"/>
          <w:b w:val="0"/>
          <w:bCs w:val="0"/>
          <w:lang w:val="en-US" w:eastAsia="zh-CN"/>
        </w:rPr>
        <w:t>计算机科学, 2012, 39(S1): 328-330.</w:t>
      </w:r>
    </w:p>
    <w:p>
      <w:pPr>
        <w:keepNext w:val="0"/>
        <w:keepLines w:val="0"/>
        <w:widowControl/>
        <w:suppressLineNumbers w:val="0"/>
        <w:jc w:val="left"/>
        <w:rPr>
          <w:rFonts w:hint="eastAsia" w:ascii="宋体" w:hAnsi="宋体" w:eastAsia="宋体" w:cs="宋体"/>
          <w:b w:val="0"/>
          <w:bCs w:val="0"/>
          <w:lang w:val="en-US" w:eastAsia="zh-CN"/>
        </w:rPr>
      </w:pPr>
    </w:p>
    <w:p>
      <w:pPr>
        <w:keepNext w:val="0"/>
        <w:keepLines w:val="0"/>
        <w:widowControl/>
        <w:suppressLineNumbers w:val="0"/>
        <w:jc w:val="left"/>
        <w:rPr>
          <w:rFonts w:hint="default" w:ascii="宋体" w:hAnsi="宋体" w:eastAsia="宋体" w:cs="宋体"/>
          <w:b w:val="0"/>
          <w:bCs w:val="0"/>
          <w:lang w:val="en-US" w:eastAsia="zh-CN"/>
        </w:rPr>
      </w:pPr>
      <w:r>
        <w:rPr>
          <w:rFonts w:hint="eastAsia" w:ascii="宋体" w:hAnsi="宋体" w:eastAsia="宋体" w:cs="宋体"/>
          <w:b w:val="0"/>
          <w:bCs w:val="0"/>
          <w:lang w:val="en-US" w:eastAsia="zh-CN"/>
        </w:rPr>
        <w:t>实现：</w:t>
      </w:r>
    </w:p>
    <w:p>
      <w:pPr>
        <w:keepNext w:val="0"/>
        <w:keepLines w:val="0"/>
        <w:widowControl/>
        <w:suppressLineNumbers w:val="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1.在</w:t>
      </w:r>
      <w:r>
        <w:rPr>
          <w:rFonts w:hint="default" w:ascii="宋体" w:hAnsi="宋体" w:eastAsia="宋体" w:cs="宋体"/>
          <w:b w:val="0"/>
          <w:bCs w:val="0"/>
          <w:lang w:val="en-US" w:eastAsia="zh-CN"/>
        </w:rPr>
        <w:t>CNKI中国知网</w:t>
      </w:r>
      <w:r>
        <w:rPr>
          <w:rFonts w:hint="eastAsia" w:ascii="宋体" w:hAnsi="宋体" w:eastAsia="宋体" w:cs="宋体"/>
          <w:b w:val="0"/>
          <w:bCs w:val="0"/>
          <w:lang w:val="en-US" w:eastAsia="zh-CN"/>
        </w:rPr>
        <w:t>搜索主题“数据挖掘算法”</w:t>
      </w:r>
    </w:p>
    <w:p>
      <w:pPr>
        <w:widowControl w:val="0"/>
        <w:numPr>
          <w:numId w:val="0"/>
        </w:numPr>
        <w:jc w:val="both"/>
        <w:rPr>
          <w:rFonts w:hint="eastAsia" w:eastAsiaTheme="minorEastAsia"/>
          <w:lang w:val="en-US" w:eastAsia="zh-CN"/>
        </w:rPr>
      </w:pPr>
      <w:r>
        <w:rPr>
          <w:rFonts w:hint="eastAsia" w:eastAsiaTheme="minorEastAsia"/>
          <w:lang w:val="en-US" w:eastAsia="zh-CN"/>
        </w:rPr>
        <w:drawing>
          <wp:inline distT="0" distB="0" distL="114300" distR="114300">
            <wp:extent cx="3826510" cy="2381250"/>
            <wp:effectExtent l="0" t="0" r="8890" b="6350"/>
            <wp:docPr id="1" name="图片 1" descr="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索1"/>
                    <pic:cNvPicPr>
                      <a:picLocks noChangeAspect="1"/>
                    </pic:cNvPicPr>
                  </pic:nvPicPr>
                  <pic:blipFill>
                    <a:blip r:embed="rId4"/>
                    <a:stretch>
                      <a:fillRect/>
                    </a:stretch>
                  </pic:blipFill>
                  <pic:spPr>
                    <a:xfrm>
                      <a:off x="0" y="0"/>
                      <a:ext cx="3826510" cy="2381250"/>
                    </a:xfrm>
                    <a:prstGeom prst="rect">
                      <a:avLst/>
                    </a:prstGeom>
                  </pic:spPr>
                </pic:pic>
              </a:graphicData>
            </a:graphic>
          </wp:inline>
        </w:drawing>
      </w:r>
      <w:r>
        <w:rPr>
          <w:rFonts w:hint="eastAsia" w:eastAsiaTheme="minorEastAsia"/>
          <w:lang w:val="en-US" w:eastAsia="zh-CN"/>
        </w:rPr>
        <w:drawing>
          <wp:inline distT="0" distB="0" distL="114300" distR="114300">
            <wp:extent cx="3834130" cy="2449830"/>
            <wp:effectExtent l="0" t="0" r="1270" b="13970"/>
            <wp:docPr id="2" name="图片 2" descr="搜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搜索2"/>
                    <pic:cNvPicPr>
                      <a:picLocks noChangeAspect="1"/>
                    </pic:cNvPicPr>
                  </pic:nvPicPr>
                  <pic:blipFill>
                    <a:blip r:embed="rId5"/>
                    <a:stretch>
                      <a:fillRect/>
                    </a:stretch>
                  </pic:blipFill>
                  <pic:spPr>
                    <a:xfrm>
                      <a:off x="0" y="0"/>
                      <a:ext cx="3834130" cy="2449830"/>
                    </a:xfrm>
                    <a:prstGeom prst="rect">
                      <a:avLst/>
                    </a:prstGeom>
                  </pic:spPr>
                </pic:pic>
              </a:graphicData>
            </a:graphic>
          </wp:inline>
        </w:drawing>
      </w:r>
    </w:p>
    <w:p>
      <w:pPr>
        <w:keepNext w:val="0"/>
        <w:keepLines w:val="0"/>
        <w:widowControl/>
        <w:suppressLineNumbers w:val="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检索到学术论文728篇，其中有被引频次的论文537篇，按被引频次递减顺序排列。</w:t>
      </w:r>
    </w:p>
    <w:p>
      <w:pPr>
        <w:keepNext w:val="0"/>
        <w:keepLines w:val="0"/>
        <w:widowControl/>
        <w:suppressLineNumbers w:val="0"/>
        <w:jc w:val="left"/>
        <w:rPr>
          <w:rFonts w:hint="default" w:ascii="宋体" w:hAnsi="宋体" w:eastAsia="宋体" w:cs="宋体"/>
          <w:b w:val="0"/>
          <w:bCs w:val="0"/>
          <w:lang w:val="en-US" w:eastAsia="zh-CN"/>
        </w:rPr>
      </w:pPr>
      <w:r>
        <w:rPr>
          <w:rFonts w:hint="eastAsia" w:ascii="宋体" w:hAnsi="宋体" w:eastAsia="宋体" w:cs="宋体"/>
          <w:b w:val="0"/>
          <w:bCs w:val="0"/>
          <w:lang w:val="en-US" w:eastAsia="zh-CN"/>
        </w:rPr>
        <w:t>将数据导出。</w:t>
      </w:r>
    </w:p>
    <w:p>
      <w:pPr>
        <w:keepNext w:val="0"/>
        <w:keepLines w:val="0"/>
        <w:widowControl/>
        <w:numPr>
          <w:ilvl w:val="0"/>
          <w:numId w:val="1"/>
        </w:numPr>
        <w:suppressLineNumbers w:val="0"/>
        <w:jc w:val="left"/>
        <w:rPr>
          <w:rFonts w:hint="eastAsia" w:ascii="宋体" w:hAnsi="宋体" w:eastAsia="宋体" w:cs="宋体"/>
          <w:b w:val="0"/>
          <w:bCs w:val="0"/>
          <w:lang w:val="en-US" w:eastAsia="zh-CN"/>
        </w:rPr>
      </w:pPr>
      <w:r>
        <w:rPr>
          <w:rFonts w:hint="eastAsia" w:ascii="宋体" w:hAnsi="宋体" w:eastAsia="宋体" w:cs="宋体"/>
          <w:b w:val="0"/>
          <w:bCs w:val="0"/>
          <w:lang w:val="en-US" w:eastAsia="zh-CN"/>
        </w:rPr>
        <w:t>关键词为“数据</w:t>
      </w:r>
      <w:r>
        <w:rPr>
          <w:rFonts w:hint="eastAsia" w:ascii="宋体" w:hAnsi="宋体" w:eastAsia="宋体" w:cs="宋体"/>
          <w:b w:val="0"/>
          <w:bCs w:val="0"/>
          <w:lang w:val="en-US" w:eastAsia="zh-CN"/>
        </w:rPr>
        <w:t>挖掘算法”的论文被引频次降序表</w:t>
      </w:r>
    </w:p>
    <w:p>
      <w:pPr>
        <w:keepNext w:val="0"/>
        <w:keepLines w:val="0"/>
        <w:widowControl/>
        <w:numPr>
          <w:numId w:val="0"/>
        </w:numPr>
        <w:suppressLineNumbers w:val="0"/>
        <w:jc w:val="left"/>
      </w:pPr>
      <w:r>
        <w:drawing>
          <wp:inline distT="0" distB="0" distL="114300" distR="114300">
            <wp:extent cx="5264785" cy="2964815"/>
            <wp:effectExtent l="0" t="0" r="1841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4785" cy="2964815"/>
                    </a:xfrm>
                    <a:prstGeom prst="rect">
                      <a:avLst/>
                    </a:prstGeom>
                    <a:noFill/>
                    <a:ln>
                      <a:noFill/>
                    </a:ln>
                  </pic:spPr>
                </pic:pic>
              </a:graphicData>
            </a:graphic>
          </wp:inline>
        </w:drawing>
      </w:r>
      <w:r>
        <w:drawing>
          <wp:inline distT="0" distB="0" distL="114300" distR="114300">
            <wp:extent cx="5267960" cy="2859405"/>
            <wp:effectExtent l="0" t="0" r="1524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7960" cy="2859405"/>
                    </a:xfrm>
                    <a:prstGeom prst="rect">
                      <a:avLst/>
                    </a:prstGeom>
                    <a:noFill/>
                    <a:ln>
                      <a:noFill/>
                    </a:ln>
                  </pic:spPr>
                </pic:pic>
              </a:graphicData>
            </a:graphic>
          </wp:inline>
        </w:drawing>
      </w:r>
    </w:p>
    <w:p>
      <w:pPr>
        <w:keepNext w:val="0"/>
        <w:keepLines w:val="0"/>
        <w:widowControl/>
        <w:numPr>
          <w:ilvl w:val="0"/>
          <w:numId w:val="1"/>
        </w:numPr>
        <w:suppressLineNumbers w:val="0"/>
        <w:ind w:left="0" w:leftChars="0" w:firstLine="0" w:firstLineChars="0"/>
        <w:jc w:val="left"/>
        <w:rPr>
          <w:rFonts w:hint="eastAsia"/>
          <w:lang w:val="en-US" w:eastAsia="zh-CN"/>
        </w:rPr>
      </w:pPr>
      <w:r>
        <w:rPr>
          <w:rFonts w:hint="eastAsia"/>
          <w:lang w:val="en-US" w:eastAsia="zh-CN"/>
        </w:rPr>
        <w:t>区域法</w:t>
      </w:r>
    </w:p>
    <w:p>
      <w:pPr>
        <w:keepNext w:val="0"/>
        <w:keepLines w:val="0"/>
        <w:widowControl/>
        <w:numPr>
          <w:numId w:val="0"/>
        </w:numPr>
        <w:suppressLineNumbers w:val="0"/>
        <w:ind w:leftChars="0"/>
        <w:jc w:val="left"/>
        <w:rPr>
          <w:rFonts w:hint="eastAsia"/>
          <w:lang w:val="en-US" w:eastAsia="zh-CN"/>
        </w:rPr>
      </w:pPr>
      <w:r>
        <w:rPr>
          <w:rFonts w:hint="eastAsia"/>
          <w:lang w:val="en-US" w:eastAsia="zh-CN"/>
        </w:rPr>
        <w:t>设布拉德福分区数为m，当m=5时 ，把上表的数据空间分5个区，令每区被引频次累积数相等，得平均值为A／m= 1689／5=337.8，按此平均值计算各区的论文累积数Xn (n=1，2，3，4，5)，得到分区的结果，如下表所列。其中核心区划分以X(x19)=340为界限，即核心区含6篇论文，该区论文被引频次累积数是m为5时的平均值。</w:t>
      </w:r>
    </w:p>
    <w:p>
      <w:pPr>
        <w:keepNext w:val="0"/>
        <w:keepLines w:val="0"/>
        <w:widowControl/>
        <w:numPr>
          <w:numId w:val="0"/>
        </w:numPr>
        <w:suppressLineNumbers w:val="0"/>
        <w:ind w:leftChars="0"/>
        <w:jc w:val="left"/>
        <w:rPr>
          <w:rFonts w:hint="eastAsia"/>
          <w:lang w:val="en-US" w:eastAsia="zh-CN"/>
        </w:rPr>
      </w:pP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m=5时被引频次区域划分表</w:t>
      </w:r>
    </w:p>
    <w:p>
      <w:pPr>
        <w:keepNext w:val="0"/>
        <w:keepLines w:val="0"/>
        <w:widowControl/>
        <w:numPr>
          <w:numId w:val="0"/>
        </w:numPr>
        <w:suppressLineNumbers w:val="0"/>
        <w:ind w:leftChars="0"/>
        <w:jc w:val="left"/>
        <w:rPr>
          <w:rFonts w:hint="eastAsia"/>
          <w:lang w:val="en-US" w:eastAsia="zh-CN"/>
        </w:rPr>
      </w:pPr>
      <w:r>
        <w:drawing>
          <wp:inline distT="0" distB="0" distL="114300" distR="114300">
            <wp:extent cx="5271770" cy="990600"/>
            <wp:effectExtent l="0" t="0" r="1143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990600"/>
                    </a:xfrm>
                    <a:prstGeom prst="rect">
                      <a:avLst/>
                    </a:prstGeom>
                    <a:noFill/>
                    <a:ln>
                      <a:noFill/>
                    </a:ln>
                  </pic:spPr>
                </pic:pic>
              </a:graphicData>
            </a:graphic>
          </wp:inline>
        </w:drawing>
      </w:r>
    </w:p>
    <w:p>
      <w:pPr>
        <w:keepNext w:val="0"/>
        <w:keepLines w:val="0"/>
        <w:widowControl/>
        <w:numPr>
          <w:numId w:val="0"/>
        </w:numPr>
        <w:suppressLineNumbers w:val="0"/>
        <w:ind w:leftChars="0"/>
        <w:jc w:val="left"/>
        <w:rPr>
          <w:rFonts w:hint="eastAsia"/>
          <w:lang w:val="en-US" w:eastAsia="zh-CN"/>
        </w:rPr>
      </w:pPr>
    </w:p>
    <w:p>
      <w:pPr>
        <w:keepNext w:val="0"/>
        <w:keepLines w:val="0"/>
        <w:widowControl/>
        <w:numPr>
          <w:numId w:val="0"/>
        </w:numPr>
        <w:suppressLineNumbers w:val="0"/>
        <w:ind w:leftChars="0"/>
        <w:jc w:val="left"/>
        <w:rPr>
          <w:rFonts w:hint="eastAsia"/>
          <w:lang w:val="en-US" w:eastAsia="zh-CN"/>
        </w:rPr>
      </w:pPr>
    </w:p>
    <w:p>
      <w:pPr>
        <w:keepNext w:val="0"/>
        <w:keepLines w:val="0"/>
        <w:widowControl/>
        <w:numPr>
          <w:numId w:val="0"/>
        </w:numPr>
        <w:suppressLineNumbers w:val="0"/>
        <w:ind w:leftChars="0"/>
        <w:jc w:val="left"/>
        <w:rPr>
          <w:rFonts w:hint="eastAsia"/>
          <w:lang w:val="en-US" w:eastAsia="zh-CN"/>
        </w:rPr>
      </w:pPr>
    </w:p>
    <w:p>
      <w:pPr>
        <w:keepNext w:val="0"/>
        <w:keepLines w:val="0"/>
        <w:widowControl/>
        <w:numPr>
          <w:numId w:val="0"/>
        </w:numPr>
        <w:suppressLineNumbers w:val="0"/>
        <w:ind w:leftChars="0"/>
        <w:jc w:val="left"/>
        <w:rPr>
          <w:rFonts w:hint="eastAsia"/>
          <w:lang w:val="en-US" w:eastAsia="zh-CN"/>
        </w:rPr>
      </w:pPr>
    </w:p>
    <w:p>
      <w:pPr>
        <w:bidi w:val="0"/>
        <w:rPr>
          <w:rFonts w:hint="eastAsia"/>
          <w:lang w:val="en-US" w:eastAsia="zh-CN"/>
        </w:rPr>
      </w:pPr>
      <w:r>
        <w:rPr>
          <w:rFonts w:hint="default"/>
          <w:lang w:val="en-US" w:eastAsia="zh-CN"/>
        </w:rPr>
        <w:t>布拉德福定律指出，绝大多数的引用集中在少数核心文献上，而大部分文献只有很少的引用量。</w:t>
      </w:r>
    </w:p>
    <w:p>
      <w:pPr>
        <w:bidi w:val="0"/>
        <w:rPr>
          <w:rFonts w:hint="eastAsia"/>
          <w:lang w:val="en-US" w:eastAsia="zh-CN"/>
        </w:rPr>
      </w:pPr>
      <w:r>
        <w:rPr>
          <w:rFonts w:hint="default"/>
          <w:lang w:val="en-US" w:eastAsia="zh-CN"/>
        </w:rPr>
        <w:t>根据给出的布拉德福常数值：</w:t>
      </w:r>
    </w:p>
    <w:p>
      <w:pPr>
        <w:bidi w:val="0"/>
        <w:rPr>
          <w:rFonts w:hint="eastAsia"/>
          <w:lang w:val="en-US" w:eastAsia="zh-CN"/>
        </w:rPr>
      </w:pPr>
      <w:r>
        <w:rPr>
          <w:rFonts w:hint="default"/>
          <w:lang w:val="en-US" w:eastAsia="zh-CN"/>
        </w:rPr>
        <w:t>布拉德福常数为 2.263157895。这个数值较大，说明引用量较为集中。少数核心文献集中拥有较多的引用量，符合布拉德福定律的特点。</w:t>
      </w:r>
    </w:p>
    <w:p>
      <w:pPr>
        <w:bidi w:val="0"/>
        <w:rPr>
          <w:rFonts w:hint="eastAsia"/>
          <w:lang w:val="en-US" w:eastAsia="zh-CN"/>
        </w:rPr>
      </w:pPr>
      <w:r>
        <w:rPr>
          <w:rFonts w:hint="default"/>
          <w:lang w:val="en-US" w:eastAsia="zh-CN"/>
        </w:rPr>
        <w:t>布拉德福常数为 1.674418605。这个数值较小，说明引用量相对较为分散。虽然还是存在较高排名的文献集中拥有一部分引用量，但整体上引用量分散在更多的文献中，与布拉德福定律的集中度要求略有差异。</w:t>
      </w:r>
    </w:p>
    <w:p>
      <w:pPr>
        <w:bidi w:val="0"/>
        <w:rPr>
          <w:rFonts w:hint="eastAsia"/>
          <w:lang w:val="en-US" w:eastAsia="zh-CN"/>
        </w:rPr>
      </w:pPr>
      <w:r>
        <w:rPr>
          <w:rFonts w:hint="default"/>
          <w:lang w:val="en-US" w:eastAsia="zh-CN"/>
        </w:rPr>
        <w:t>布拉德福常数为 1.805555556。这个数值较小，说明引用量相对较为分散。引用量分散在更多的文献中，同样与布拉德福定律的集中度要求略有差异。</w:t>
      </w:r>
    </w:p>
    <w:p>
      <w:pPr>
        <w:bidi w:val="0"/>
        <w:rPr>
          <w:rFonts w:hint="eastAsia"/>
          <w:lang w:val="en-US" w:eastAsia="zh-CN"/>
        </w:rPr>
      </w:pPr>
      <w:r>
        <w:rPr>
          <w:rFonts w:hint="default"/>
          <w:lang w:val="en-US" w:eastAsia="zh-CN"/>
        </w:rPr>
        <w:t>布拉德福常数为 2.169230769。这个数值较大，说明引用量较为集中。少数核心文献集中拥有较多的引用量，与布拉德福定律的集中度要求相符。</w:t>
      </w:r>
    </w:p>
    <w:p>
      <w:pPr>
        <w:bidi w:val="0"/>
        <w:rPr>
          <w:rFonts w:hint="eastAsia"/>
          <w:lang w:val="en-US" w:eastAsia="zh-CN"/>
        </w:rPr>
      </w:pPr>
      <w:r>
        <w:rPr>
          <w:rFonts w:hint="default"/>
          <w:lang w:val="en-US" w:eastAsia="zh-CN"/>
        </w:rPr>
        <w:t>综上所述，根据给出的布拉德福常数值来验证布拉德福定律在数据挖掘算法领域的引用分布情况，可以发现其中有些情况符合布拉德福定律的集中度要求，即少数核心文献拥有较多的引用量，而有些情况则稍有差异，引用量分散在更多的文献中。</w:t>
      </w:r>
    </w:p>
    <w:p>
      <w:pPr>
        <w:keepNext w:val="0"/>
        <w:keepLines w:val="0"/>
        <w:widowControl/>
        <w:numPr>
          <w:ilvl w:val="0"/>
          <w:numId w:val="1"/>
        </w:numPr>
        <w:suppressLineNumbers w:val="0"/>
        <w:ind w:left="0" w:leftChars="0" w:firstLine="0" w:firstLineChars="0"/>
        <w:jc w:val="left"/>
        <w:rPr>
          <w:rFonts w:hint="default"/>
          <w:lang w:val="en-US" w:eastAsia="zh-CN"/>
        </w:rPr>
      </w:pPr>
      <w:r>
        <w:rPr>
          <w:rFonts w:hint="eastAsia"/>
          <w:lang w:val="en-US" w:eastAsia="zh-CN"/>
        </w:rPr>
        <w:t>图像法</w:t>
      </w:r>
    </w:p>
    <w:p>
      <w:pPr>
        <w:keepNext w:val="0"/>
        <w:keepLines w:val="0"/>
        <w:widowControl/>
        <w:numPr>
          <w:numId w:val="0"/>
        </w:numPr>
        <w:suppressLineNumbers w:val="0"/>
        <w:ind w:leftChars="0"/>
        <w:jc w:val="left"/>
        <w:rPr>
          <w:rFonts w:hint="eastAsia"/>
          <w:lang w:val="en-US" w:eastAsia="zh-CN"/>
        </w:rPr>
      </w:pPr>
      <w:r>
        <w:rPr>
          <w:rFonts w:hint="eastAsia"/>
          <w:lang w:val="en-US" w:eastAsia="zh-CN"/>
        </w:rPr>
        <w:t>为了验证假设即“论文累积数”与“论文的被引频次累积数”之间具有布拉德福定律描述的函数关系，参照布拉德福的做法，以“论文累积数的自然对数 ln(Xn)”为 x轴，以“论文的被引频次累积数 H(Xn )”为 y轴 ，以表 2中的数据为坐标值作散点图，得到图1。</w:t>
      </w:r>
    </w:p>
    <w:p>
      <w:pPr>
        <w:keepNext w:val="0"/>
        <w:keepLines w:val="0"/>
        <w:widowControl/>
        <w:numPr>
          <w:numId w:val="0"/>
        </w:numPr>
        <w:suppressLineNumbers w:val="0"/>
        <w:ind w:leftChars="0"/>
        <w:jc w:val="left"/>
      </w:pPr>
      <w:r>
        <w:drawing>
          <wp:inline distT="0" distB="0" distL="114300" distR="114300">
            <wp:extent cx="4584700" cy="2885440"/>
            <wp:effectExtent l="6350" t="6350" r="6350" b="29210"/>
            <wp:docPr id="7"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从布拉德福分散特点上分析，此曲线具备一定的布拉德福分散特征。我们再将曲线图的横坐标变换，以“前区论文累积数 X(Xn )”为 X轴 ，以“学术论文的被引频次累积数 H (Xn )”为y轴，以表 2中的数据为坐标值作散点图，得到图2。</w:t>
      </w:r>
    </w:p>
    <w:p>
      <w:pPr>
        <w:keepNext w:val="0"/>
        <w:keepLines w:val="0"/>
        <w:widowControl/>
        <w:numPr>
          <w:ilvl w:val="0"/>
          <w:numId w:val="0"/>
        </w:numPr>
        <w:suppressLineNumbers w:val="0"/>
        <w:ind w:leftChars="0"/>
        <w:jc w:val="left"/>
        <w:rPr>
          <w:rFonts w:hint="eastAsia"/>
          <w:lang w:val="en-US" w:eastAsia="zh-CN"/>
        </w:rPr>
      </w:pPr>
      <w:r>
        <w:drawing>
          <wp:inline distT="0" distB="0" distL="114300" distR="114300">
            <wp:extent cx="4578985" cy="2885440"/>
            <wp:effectExtent l="6350" t="6350" r="12065" b="29210"/>
            <wp:docPr id="8"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keepNext w:val="0"/>
        <w:keepLines w:val="0"/>
        <w:widowControl/>
        <w:numPr>
          <w:ilvl w:val="0"/>
          <w:numId w:val="0"/>
        </w:numPr>
        <w:suppressLineNumbers w:val="0"/>
        <w:ind w:leftChars="0"/>
        <w:jc w:val="left"/>
        <w:rPr>
          <w:rFonts w:hint="eastAsia"/>
          <w:lang w:val="en-US" w:eastAsia="zh-CN"/>
        </w:rPr>
      </w:pPr>
      <w:r>
        <w:rPr>
          <w:rFonts w:hint="eastAsia"/>
          <w:lang w:val="en-US" w:eastAsia="zh-CN"/>
        </w:rPr>
        <w:t>将图1和图2中的曲线作比较，可以发现曲线的走向相似，曲线的直线部分相似，可以认为数据具有布拉德福分布特征。</w:t>
      </w:r>
    </w:p>
    <w:p>
      <w:pPr>
        <w:keepNext w:val="0"/>
        <w:keepLines w:val="0"/>
        <w:widowControl/>
        <w:numPr>
          <w:numId w:val="0"/>
        </w:numPr>
        <w:suppressLineNumbers w:val="0"/>
        <w:ind w:leftChars="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DAB0D1"/>
    <w:multiLevelType w:val="singleLevel"/>
    <w:tmpl w:val="EFDAB0D1"/>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FFCDD3"/>
    <w:rsid w:val="5EFFCDD3"/>
    <w:rsid w:val="7DEA2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hart" Target="charts/chart2.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4"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4"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ln（Xn）与H（Xn）散点图</a:t>
            </a:r>
          </a:p>
        </c:rich>
      </c:tx>
      <c:layout/>
      <c:overlay val="0"/>
      <c:spPr>
        <a:noFill/>
        <a:ln>
          <a:noFill/>
        </a:ln>
        <a:effectLst/>
      </c:spPr>
    </c:title>
    <c:autoTitleDeleted val="0"/>
    <c:plotArea>
      <c:layout/>
      <c:scatterChart>
        <c:scatterStyle val="smoothMarker"/>
        <c:varyColors val="0"/>
        <c:ser>
          <c:idx val="0"/>
          <c:order val="0"/>
          <c:tx>
            <c:strRef>
              <c:f>[工作簿4]Sheet1!$F$1</c:f>
              <c:strCache>
                <c:ptCount val="1"/>
                <c:pt idx="0">
                  <c:v>前n区被引频次累积数H（Xn）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[工作簿4]Sheet1!$E$2:$E$6</c:f>
              <c:numCache>
                <c:formatCode>General</c:formatCode>
                <c:ptCount val="5"/>
                <c:pt idx="0">
                  <c:v>2.94443897916644</c:v>
                </c:pt>
                <c:pt idx="1">
                  <c:v>3.76120011569356</c:v>
                </c:pt>
                <c:pt idx="2">
                  <c:v>4.27666611901606</c:v>
                </c:pt>
                <c:pt idx="3">
                  <c:v>4.86753445045558</c:v>
                </c:pt>
                <c:pt idx="4">
                  <c:v>5.64190707093811</c:v>
                </c:pt>
              </c:numCache>
            </c:numRef>
          </c:xVal>
          <c:yVal>
            <c:numRef>
              <c:f>[工作簿4]Sheet1!$F$2:$F$6</c:f>
              <c:numCache>
                <c:formatCode>General</c:formatCode>
                <c:ptCount val="5"/>
                <c:pt idx="0">
                  <c:v>340</c:v>
                </c:pt>
                <c:pt idx="1">
                  <c:v>674</c:v>
                </c:pt>
                <c:pt idx="2">
                  <c:v>1012</c:v>
                </c:pt>
                <c:pt idx="3">
                  <c:v>1349</c:v>
                </c:pt>
                <c:pt idx="4">
                  <c:v>1689</c:v>
                </c:pt>
              </c:numCache>
            </c:numRef>
          </c:yVal>
          <c:smooth val="1"/>
        </c:ser>
        <c:dLbls>
          <c:showLegendKey val="0"/>
          <c:showVal val="1"/>
          <c:showCatName val="0"/>
          <c:showSerName val="0"/>
          <c:showPercent val="0"/>
          <c:showBubbleSize val="0"/>
        </c:dLbls>
        <c:axId val="30990205"/>
        <c:axId val="466377169"/>
      </c:scatterChart>
      <c:valAx>
        <c:axId val="3099020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ln（Xn）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6377169"/>
        <c:crosses val="autoZero"/>
        <c:crossBetween val="midCat"/>
      </c:valAx>
      <c:valAx>
        <c:axId val="46637716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前n区被引频次累积数H（Xn）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990205"/>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X</a:t>
            </a:r>
            <a:r>
              <a:rPr altLang="en-US"/>
              <a:t>（</a:t>
            </a:r>
            <a:r>
              <a:rPr lang="en-US" altLang="zh-CN"/>
              <a:t>Xn</a:t>
            </a:r>
            <a:r>
              <a:rPr altLang="en-US"/>
              <a:t>）与</a:t>
            </a:r>
            <a:r>
              <a:rPr lang="en-US" altLang="zh-CN"/>
              <a:t>H</a:t>
            </a:r>
            <a:r>
              <a:rPr altLang="en-US"/>
              <a:t>（</a:t>
            </a:r>
            <a:r>
              <a:rPr lang="en-US" altLang="zh-CN"/>
              <a:t>Xn</a:t>
            </a:r>
            <a:r>
              <a:rPr altLang="en-US"/>
              <a:t>）散点图</a:t>
            </a:r>
            <a:endParaRPr altLang="en-US"/>
          </a:p>
        </c:rich>
      </c:tx>
      <c:layout>
        <c:manualLayout>
          <c:xMode val="edge"/>
          <c:yMode val="edge"/>
          <c:x val="0.28761429758936"/>
          <c:y val="0.0320617832904283"/>
        </c:manualLayout>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xVal>
            <c:numRef>
              <c:f>[工作簿4]Sheet1!$D$2:$D$6</c:f>
              <c:numCache>
                <c:formatCode>General</c:formatCode>
                <c:ptCount val="5"/>
                <c:pt idx="0">
                  <c:v>19</c:v>
                </c:pt>
                <c:pt idx="1">
                  <c:v>62</c:v>
                </c:pt>
                <c:pt idx="2">
                  <c:v>134</c:v>
                </c:pt>
                <c:pt idx="3">
                  <c:v>264</c:v>
                </c:pt>
                <c:pt idx="4">
                  <c:v>546</c:v>
                </c:pt>
              </c:numCache>
            </c:numRef>
          </c:xVal>
          <c:yVal>
            <c:numRef>
              <c:f>[工作簿4]Sheet1!$F$2:$F$6</c:f>
              <c:numCache>
                <c:formatCode>General</c:formatCode>
                <c:ptCount val="5"/>
                <c:pt idx="0">
                  <c:v>340</c:v>
                </c:pt>
                <c:pt idx="1">
                  <c:v>674</c:v>
                </c:pt>
                <c:pt idx="2">
                  <c:v>1012</c:v>
                </c:pt>
                <c:pt idx="3">
                  <c:v>1349</c:v>
                </c:pt>
                <c:pt idx="4">
                  <c:v>1689</c:v>
                </c:pt>
              </c:numCache>
            </c:numRef>
          </c:yVal>
          <c:smooth val="1"/>
        </c:ser>
        <c:dLbls>
          <c:showLegendKey val="0"/>
          <c:showVal val="1"/>
          <c:showCatName val="0"/>
          <c:showSerName val="0"/>
          <c:showPercent val="0"/>
          <c:showBubbleSize val="0"/>
        </c:dLbls>
        <c:axId val="826924399"/>
        <c:axId val="735536726"/>
      </c:scatterChart>
      <c:valAx>
        <c:axId val="8269243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前n区累积数X（Xn）</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35536726"/>
        <c:crosses val="autoZero"/>
        <c:crossBetween val="midCat"/>
      </c:valAx>
      <c:valAx>
        <c:axId val="7355367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前n区被引频次累积数H（Xn）</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6924399"/>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143</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2023-10-23T16:14:00Z</dcterms:created>
  <dc:creator>something for nothing</dc:creator>
  <cp:lastModifiedBy>something for nothing</cp:lastModifiedBy>
  <dcterms:modified xsi:type="dcterms:W3CDTF">2023-10-23T18:46:18Z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A9AD36C6AE7A5D234E2B36656CD8ED05_41</vt:lpwstr>
  </property>
</Properties>
</file>