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/>
          <w:b/>
          <w:sz w:val="44"/>
          <w:szCs w:val="44"/>
        </w:rPr>
      </w:pPr>
    </w:p>
    <w:p>
      <w:pPr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 w:eastAsia="黑体"/>
          <w:b/>
          <w:sz w:val="76"/>
          <w:szCs w:val="76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1070610</wp:posOffset>
            </wp:positionH>
            <wp:positionV relativeFrom="paragraph">
              <wp:posOffset>132715</wp:posOffset>
            </wp:positionV>
            <wp:extent cx="3227070" cy="678180"/>
            <wp:effectExtent l="0" t="0" r="24130" b="7620"/>
            <wp:wrapTight wrapText="bothSides">
              <wp:wrapPolygon>
                <wp:start x="0" y="0"/>
                <wp:lineTo x="0" y="21034"/>
                <wp:lineTo x="21421" y="21034"/>
                <wp:lineTo x="21421" y="0"/>
                <wp:lineTo x="0" y="0"/>
              </wp:wrapPolygon>
            </wp:wrapTight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Times New Roman" w:hAnsi="Times New Roman"/>
          <w:b/>
          <w:sz w:val="44"/>
          <w:szCs w:val="44"/>
        </w:rPr>
      </w:pPr>
    </w:p>
    <w:p>
      <w:pPr>
        <w:jc w:val="center"/>
        <w:outlineLvl w:val="0"/>
        <w:rPr>
          <w:rFonts w:ascii="Cambria" w:hAnsi="Mistral" w:cs="Mistral"/>
          <w:b/>
          <w:sz w:val="30"/>
          <w:szCs w:val="30"/>
        </w:rPr>
      </w:pPr>
      <w:bookmarkStart w:id="55" w:name="_GoBack"/>
      <w:bookmarkEnd w:id="55"/>
      <w:bookmarkStart w:id="0" w:name="_Toc1010275880"/>
      <w:r>
        <w:rPr>
          <w:rFonts w:ascii="Cambria" w:hAnsi="Mistral" w:eastAsia="仿宋_GB2312" w:cs="Mistral"/>
          <w:b/>
          <w:bCs/>
          <w:spacing w:val="100"/>
          <w:sz w:val="30"/>
          <w:szCs w:val="30"/>
        </w:rPr>
        <w:t>XIDIAN UNIVERSITY</w:t>
      </w:r>
      <w:bookmarkEnd w:id="0"/>
    </w:p>
    <w:p>
      <w:pPr>
        <w:jc w:val="center"/>
        <w:rPr>
          <w:rFonts w:hint="eastAsia" w:ascii="黑体" w:hAnsi="黑体" w:eastAsia="黑体" w:cs="黑体"/>
          <w:b/>
          <w:spacing w:val="20"/>
          <w:kern w:val="100"/>
          <w:sz w:val="72"/>
          <w:szCs w:val="72"/>
        </w:rPr>
      </w:pPr>
      <w:r>
        <w:rPr>
          <w:rFonts w:hint="eastAsia" w:ascii="黑体" w:hAnsi="黑体" w:eastAsia="黑体" w:cs="黑体"/>
          <w:b/>
          <w:spacing w:val="20"/>
          <w:kern w:val="100"/>
          <w:sz w:val="72"/>
          <w:szCs w:val="72"/>
        </w:rPr>
        <w:t>课程论文</w:t>
      </w:r>
    </w:p>
    <w:p>
      <w:pPr>
        <w:jc w:val="center"/>
        <w:rPr>
          <w:rFonts w:hint="eastAsia" w:ascii="黑体" w:hAnsi="黑体" w:eastAsia="黑体" w:cs="黑体"/>
          <w:b/>
          <w:spacing w:val="20"/>
          <w:kern w:val="100"/>
          <w:sz w:val="72"/>
          <w:szCs w:val="72"/>
        </w:rPr>
      </w:pPr>
      <w:r>
        <w:rPr>
          <w:rFonts w:hint="eastAsia" w:ascii="黑体" w:hAnsi="黑体" w:eastAsia="黑体" w:cs="黑体"/>
          <w:spacing w:val="20"/>
          <w:kern w:val="100"/>
          <w:sz w:val="72"/>
          <w:szCs w:val="7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1714500</wp:posOffset>
            </wp:positionH>
            <wp:positionV relativeFrom="paragraph">
              <wp:posOffset>124460</wp:posOffset>
            </wp:positionV>
            <wp:extent cx="1806575" cy="1830705"/>
            <wp:effectExtent l="0" t="0" r="22225" b="23495"/>
            <wp:wrapNone/>
            <wp:docPr id="8" name="图片 3" descr="西电标准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西电标准标志"/>
                    <pic:cNvPicPr>
                      <a:picLocks noChangeAspect="1"/>
                    </pic:cNvPicPr>
                  </pic:nvPicPr>
                  <pic:blipFill>
                    <a:blip r:embed="rId6">
                      <a:biLevel thresh="50000"/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575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Times New Roman" w:hAnsi="Times New Roman"/>
          <w:b/>
          <w:sz w:val="44"/>
          <w:szCs w:val="44"/>
        </w:rPr>
      </w:pPr>
    </w:p>
    <w:p>
      <w:pPr>
        <w:jc w:val="center"/>
        <w:rPr>
          <w:rFonts w:ascii="Times New Roman" w:hAnsi="Times New Roman"/>
          <w:b/>
          <w:sz w:val="44"/>
          <w:szCs w:val="44"/>
        </w:rPr>
      </w:pPr>
    </w:p>
    <w:p>
      <w:pPr>
        <w:rPr>
          <w:rFonts w:ascii="Times New Roman" w:hAnsi="Times New Roman"/>
          <w:b/>
          <w:sz w:val="44"/>
          <w:szCs w:val="44"/>
        </w:rPr>
      </w:pPr>
    </w:p>
    <w:p>
      <w:pPr>
        <w:rPr>
          <w:rFonts w:ascii="Times New Roman" w:hAnsi="Times New Roman"/>
          <w:b/>
          <w:sz w:val="44"/>
          <w:szCs w:val="44"/>
        </w:rPr>
      </w:pPr>
    </w:p>
    <w:tbl>
      <w:tblPr>
        <w:tblStyle w:val="13"/>
        <w:tblpPr w:leftFromText="180" w:rightFromText="180" w:vertAnchor="text" w:horzAnchor="page" w:tblpXSpec="center" w:tblpY="522"/>
        <w:tblOverlap w:val="never"/>
        <w:tblW w:w="0" w:type="auto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03"/>
        <w:gridCol w:w="5610"/>
      </w:tblGrid>
      <w:tr>
        <w:trPr>
          <w:trHeight w:val="549" w:hRule="atLeast"/>
        </w:trPr>
        <w:tc>
          <w:tcPr>
            <w:tcW w:w="1703" w:type="dxa"/>
            <w:noWrap w:val="0"/>
            <w:vAlign w:val="center"/>
          </w:tcPr>
          <w:p>
            <w:pPr>
              <w:widowControl/>
              <w:jc w:val="left"/>
              <w:textAlignment w:val="center"/>
              <w:rPr>
                <w:rFonts w:hint="eastAsia" w:ascii="黑体" w:hAnsi="黑体" w:eastAsia="黑体" w:cs="黑体"/>
                <w:color w:val="000000"/>
                <w:kern w:val="0"/>
                <w:sz w:val="30"/>
                <w:szCs w:val="30"/>
                <w:lang w:bidi="ar"/>
              </w:rPr>
            </w:pPr>
            <w:r>
              <w:rPr>
                <w:rFonts w:hint="eastAsia" w:ascii="黑体" w:hAnsi="黑体" w:eastAsia="黑体" w:cs="黑体"/>
                <w:color w:val="000000"/>
                <w:kern w:val="0"/>
                <w:sz w:val="30"/>
                <w:szCs w:val="30"/>
                <w:lang w:bidi="ar"/>
              </w:rPr>
              <w:t xml:space="preserve">课程名称 </w:t>
            </w:r>
          </w:p>
        </w:tc>
        <w:tc>
          <w:tcPr>
            <w:tcW w:w="5610" w:type="dxa"/>
            <w:noWrap w:val="0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u w:val="single"/>
              </w:rPr>
            </w:pPr>
            <w:r>
              <w:rPr>
                <w:rFonts w:hint="eastAsia" w:ascii="Times New Roman" w:hAnsi="Times New Roman" w:eastAsia="宋体" w:cs="Times New Roman"/>
                <w:b/>
                <w:sz w:val="32"/>
                <w:szCs w:val="32"/>
                <w:u w:val="single"/>
                <w:lang w:val="en-US" w:eastAsia="zh-CN"/>
              </w:rPr>
              <w:t>网络营销</w:t>
            </w:r>
          </w:p>
        </w:tc>
      </w:tr>
      <w:tr>
        <w:trPr>
          <w:trHeight w:val="495" w:hRule="atLeast"/>
        </w:trPr>
        <w:tc>
          <w:tcPr>
            <w:tcW w:w="1703" w:type="dxa"/>
            <w:noWrap w:val="0"/>
            <w:vAlign w:val="center"/>
          </w:tcPr>
          <w:p>
            <w:pPr>
              <w:widowControl/>
              <w:jc w:val="left"/>
              <w:textAlignment w:val="center"/>
              <w:rPr>
                <w:rFonts w:hint="eastAsia" w:ascii="宋体" w:hAnsi="宋体" w:cs="宋体"/>
                <w:color w:val="000000"/>
                <w:sz w:val="24"/>
                <w:szCs w:val="24"/>
              </w:rPr>
            </w:pPr>
            <w:r>
              <w:rPr>
                <w:rFonts w:hint="eastAsia" w:ascii="黑体" w:hAnsi="黑体" w:eastAsia="黑体" w:cs="黑体"/>
                <w:color w:val="000000"/>
                <w:kern w:val="0"/>
                <w:sz w:val="30"/>
                <w:szCs w:val="30"/>
                <w:lang w:bidi="ar"/>
              </w:rPr>
              <w:t>题    目</w:t>
            </w:r>
            <w:r>
              <w:rPr>
                <w:rFonts w:ascii="Times New Roman" w:hAnsi="Times New Roman" w:eastAsia="黑体"/>
                <w:color w:val="000000"/>
                <w:kern w:val="0"/>
                <w:sz w:val="30"/>
                <w:szCs w:val="30"/>
                <w:lang w:bidi="ar"/>
              </w:rPr>
              <w:t xml:space="preserve"> </w:t>
            </w:r>
            <w:r>
              <w:rPr>
                <w:rFonts w:hint="eastAsia" w:ascii="黑体" w:hAnsi="黑体" w:eastAsia="黑体" w:cs="黑体"/>
                <w:color w:val="000000"/>
                <w:kern w:val="0"/>
                <w:sz w:val="30"/>
                <w:szCs w:val="30"/>
                <w:lang w:bidi="ar"/>
              </w:rPr>
              <w:t xml:space="preserve"> 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bidi="ar"/>
              </w:rPr>
              <w:t xml:space="preserve">                                                                  </w:t>
            </w:r>
          </w:p>
        </w:tc>
        <w:tc>
          <w:tcPr>
            <w:tcW w:w="5610" w:type="dxa"/>
            <w:noWrap w:val="0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/>
                <w:sz w:val="32"/>
                <w:szCs w:val="32"/>
                <w:u w:val="single"/>
                <w:lang w:val="en-US" w:eastAsia="zh-CN"/>
              </w:rPr>
              <w:t>选题一：</w:t>
            </w:r>
            <w:r>
              <w:rPr>
                <w:rFonts w:hint="eastAsia" w:ascii="Times New Roman" w:hAnsi="Times New Roman" w:eastAsia="宋体" w:cs="Times New Roman"/>
                <w:b/>
                <w:sz w:val="32"/>
                <w:szCs w:val="32"/>
                <w:u w:val="single"/>
                <w:lang w:val="en-US" w:eastAsia="zh-CN"/>
              </w:rPr>
              <w:t>拼多多公司的网络营销策略</w:t>
            </w:r>
          </w:p>
        </w:tc>
      </w:tr>
      <w:tr>
        <w:trPr>
          <w:trHeight w:val="519" w:hRule="atLeast"/>
        </w:trPr>
        <w:tc>
          <w:tcPr>
            <w:tcW w:w="1703" w:type="dxa"/>
            <w:noWrap w:val="0"/>
            <w:vAlign w:val="center"/>
          </w:tcPr>
          <w:p>
            <w:pPr>
              <w:widowControl/>
              <w:jc w:val="left"/>
              <w:textAlignment w:val="center"/>
              <w:rPr>
                <w:rFonts w:hint="eastAsia" w:ascii="宋体" w:hAnsi="宋体" w:cs="宋体"/>
                <w:color w:val="000000"/>
                <w:sz w:val="24"/>
                <w:szCs w:val="24"/>
              </w:rPr>
            </w:pPr>
            <w:r>
              <w:rPr>
                <w:rFonts w:hint="eastAsia" w:ascii="黑体" w:hAnsi="黑体" w:eastAsia="黑体" w:cs="黑体"/>
                <w:color w:val="000000"/>
                <w:kern w:val="0"/>
                <w:sz w:val="30"/>
                <w:szCs w:val="30"/>
                <w:lang w:bidi="ar"/>
              </w:rPr>
              <w:t xml:space="preserve">学院/专业  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bidi="ar"/>
              </w:rPr>
              <w:t xml:space="preserve">   </w:t>
            </w:r>
          </w:p>
        </w:tc>
        <w:tc>
          <w:tcPr>
            <w:tcW w:w="5610" w:type="dxa"/>
            <w:noWrap w:val="0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b/>
                <w:sz w:val="32"/>
                <w:szCs w:val="32"/>
                <w:u w:val="single"/>
                <w:lang w:val="en-US" w:eastAsia="zh-CN"/>
              </w:rPr>
              <w:t>信息管理与信息系统</w:t>
            </w:r>
          </w:p>
        </w:tc>
      </w:tr>
      <w:tr>
        <w:trPr>
          <w:trHeight w:val="495" w:hRule="atLeast"/>
        </w:trPr>
        <w:tc>
          <w:tcPr>
            <w:tcW w:w="1703" w:type="dxa"/>
            <w:noWrap w:val="0"/>
            <w:vAlign w:val="center"/>
          </w:tcPr>
          <w:p>
            <w:pPr>
              <w:widowControl/>
              <w:jc w:val="left"/>
              <w:textAlignment w:val="center"/>
              <w:rPr>
                <w:rFonts w:hint="eastAsia" w:ascii="黑体" w:hAnsi="黑体" w:eastAsia="黑体" w:cs="黑体"/>
                <w:color w:val="000000"/>
                <w:kern w:val="0"/>
                <w:sz w:val="30"/>
                <w:szCs w:val="30"/>
                <w:lang w:bidi="ar"/>
              </w:rPr>
            </w:pPr>
            <w:r>
              <w:rPr>
                <w:rFonts w:hint="eastAsia" w:ascii="黑体" w:hAnsi="黑体" w:eastAsia="黑体" w:cs="黑体"/>
                <w:color w:val="000000"/>
                <w:kern w:val="0"/>
                <w:sz w:val="30"/>
                <w:szCs w:val="30"/>
                <w:lang w:bidi="ar"/>
              </w:rPr>
              <w:t xml:space="preserve">学 </w:t>
            </w:r>
            <w:r>
              <w:rPr>
                <w:rFonts w:ascii="黑体" w:hAnsi="黑体" w:eastAsia="黑体" w:cs="黑体"/>
                <w:color w:val="000000"/>
                <w:kern w:val="0"/>
                <w:sz w:val="30"/>
                <w:szCs w:val="30"/>
                <w:lang w:bidi="ar"/>
              </w:rPr>
              <w:t xml:space="preserve">   </w:t>
            </w:r>
            <w:r>
              <w:rPr>
                <w:rFonts w:hint="eastAsia" w:ascii="黑体" w:hAnsi="黑体" w:eastAsia="黑体" w:cs="黑体"/>
                <w:color w:val="000000"/>
                <w:kern w:val="0"/>
                <w:sz w:val="30"/>
                <w:szCs w:val="30"/>
                <w:lang w:bidi="ar"/>
              </w:rPr>
              <w:t xml:space="preserve">号                                        </w:t>
            </w:r>
          </w:p>
        </w:tc>
        <w:tc>
          <w:tcPr>
            <w:tcW w:w="5610" w:type="dxa"/>
            <w:noWrap w:val="0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b/>
                <w:sz w:val="32"/>
                <w:szCs w:val="32"/>
                <w:u w:val="single"/>
                <w:lang w:val="en-US" w:eastAsia="zh-CN"/>
              </w:rPr>
              <w:t>21069100225</w:t>
            </w:r>
          </w:p>
        </w:tc>
      </w:tr>
      <w:tr>
        <w:trPr>
          <w:trHeight w:val="495" w:hRule="atLeast"/>
        </w:trPr>
        <w:tc>
          <w:tcPr>
            <w:tcW w:w="1703" w:type="dxa"/>
            <w:noWrap w:val="0"/>
            <w:vAlign w:val="center"/>
          </w:tcPr>
          <w:p>
            <w:pPr>
              <w:widowControl/>
              <w:jc w:val="left"/>
              <w:textAlignment w:val="center"/>
              <w:rPr>
                <w:rFonts w:hint="eastAsia" w:ascii="黑体" w:hAnsi="黑体" w:eastAsia="黑体" w:cs="黑体"/>
                <w:color w:val="000000"/>
                <w:kern w:val="0"/>
                <w:sz w:val="30"/>
                <w:szCs w:val="30"/>
                <w:lang w:bidi="ar"/>
              </w:rPr>
            </w:pPr>
            <w:r>
              <w:rPr>
                <w:rFonts w:hint="eastAsia" w:ascii="黑体" w:hAnsi="黑体" w:eastAsia="黑体" w:cs="黑体"/>
                <w:color w:val="000000"/>
                <w:kern w:val="0"/>
                <w:sz w:val="30"/>
                <w:szCs w:val="30"/>
                <w:lang w:bidi="ar"/>
              </w:rPr>
              <w:t xml:space="preserve">学生姓名                                                                    </w:t>
            </w:r>
          </w:p>
        </w:tc>
        <w:tc>
          <w:tcPr>
            <w:tcW w:w="5610" w:type="dxa"/>
            <w:noWrap w:val="0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b/>
                <w:sz w:val="32"/>
                <w:szCs w:val="32"/>
                <w:u w:val="single"/>
                <w:lang w:val="en-US" w:eastAsia="zh-CN"/>
              </w:rPr>
              <w:t>赵红玉</w:t>
            </w:r>
          </w:p>
        </w:tc>
      </w:tr>
      <w:tr>
        <w:trPr>
          <w:trHeight w:val="495" w:hRule="atLeast"/>
        </w:trPr>
        <w:tc>
          <w:tcPr>
            <w:tcW w:w="1703" w:type="dxa"/>
            <w:noWrap w:val="0"/>
            <w:vAlign w:val="center"/>
          </w:tcPr>
          <w:p>
            <w:pPr>
              <w:widowControl/>
              <w:jc w:val="left"/>
              <w:textAlignment w:val="center"/>
              <w:rPr>
                <w:rFonts w:hint="eastAsia" w:ascii="黑体" w:hAnsi="黑体" w:eastAsia="黑体" w:cs="黑体"/>
                <w:color w:val="000000"/>
                <w:kern w:val="0"/>
                <w:sz w:val="30"/>
                <w:szCs w:val="30"/>
                <w:lang w:bidi="ar"/>
              </w:rPr>
            </w:pPr>
            <w:r>
              <w:rPr>
                <w:rFonts w:hint="eastAsia" w:ascii="黑体" w:hAnsi="黑体" w:eastAsia="黑体" w:cs="黑体"/>
                <w:color w:val="000000"/>
                <w:kern w:val="0"/>
                <w:sz w:val="30"/>
                <w:szCs w:val="30"/>
                <w:lang w:bidi="ar"/>
              </w:rPr>
              <w:t xml:space="preserve">教师姓名  </w:t>
            </w:r>
          </w:p>
        </w:tc>
        <w:tc>
          <w:tcPr>
            <w:tcW w:w="5610" w:type="dxa"/>
            <w:noWrap w:val="0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b/>
                <w:sz w:val="32"/>
                <w:szCs w:val="32"/>
                <w:u w:val="single"/>
                <w:lang w:val="en-US" w:eastAsia="zh-CN"/>
              </w:rPr>
              <w:t>李琳</w:t>
            </w:r>
          </w:p>
        </w:tc>
      </w:tr>
      <w:tr>
        <w:trPr>
          <w:trHeight w:val="495" w:hRule="atLeast"/>
        </w:trPr>
        <w:tc>
          <w:tcPr>
            <w:tcW w:w="1703" w:type="dxa"/>
            <w:noWrap w:val="0"/>
            <w:vAlign w:val="center"/>
          </w:tcPr>
          <w:p>
            <w:pPr>
              <w:widowControl/>
              <w:jc w:val="left"/>
              <w:textAlignment w:val="center"/>
              <w:rPr>
                <w:rFonts w:hint="eastAsia" w:ascii="黑体" w:hAnsi="黑体" w:eastAsia="黑体" w:cs="黑体"/>
                <w:color w:val="000000"/>
                <w:kern w:val="0"/>
                <w:sz w:val="30"/>
                <w:szCs w:val="30"/>
                <w:lang w:bidi="ar"/>
              </w:rPr>
            </w:pPr>
            <w:r>
              <w:rPr>
                <w:rFonts w:hint="eastAsia" w:ascii="黑体" w:hAnsi="黑体" w:eastAsia="黑体" w:cs="黑体"/>
                <w:color w:val="000000"/>
                <w:kern w:val="0"/>
                <w:sz w:val="30"/>
                <w:szCs w:val="30"/>
                <w:lang w:bidi="ar"/>
              </w:rPr>
              <w:t xml:space="preserve">日    期 </w:t>
            </w:r>
          </w:p>
        </w:tc>
        <w:tc>
          <w:tcPr>
            <w:tcW w:w="5610" w:type="dxa"/>
            <w:noWrap w:val="0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u w:val="single"/>
              </w:rPr>
            </w:pPr>
            <w:r>
              <w:rPr>
                <w:rFonts w:hint="eastAsia" w:ascii="Times New Roman" w:hAnsi="Times New Roman" w:eastAsia="宋体" w:cs="Times New Roman"/>
                <w:b/>
                <w:sz w:val="32"/>
                <w:szCs w:val="32"/>
                <w:u w:val="single"/>
                <w:lang w:val="en-US" w:eastAsia="zh-CN"/>
              </w:rPr>
              <w:t>2024.05.23</w:t>
            </w:r>
          </w:p>
        </w:tc>
      </w:tr>
    </w:tbl>
    <w:p>
      <w:pPr>
        <w:jc w:val="center"/>
        <w:rPr>
          <w:rFonts w:ascii="Times New Roman" w:hAnsi="Times New Roman"/>
          <w:b/>
          <w:sz w:val="44"/>
          <w:szCs w:val="44"/>
        </w:rPr>
      </w:pPr>
    </w:p>
    <w:p>
      <w:pPr>
        <w:rPr>
          <w:rFonts w:hint="eastAsia" w:ascii="Times New Roman" w:hAnsi="Times New Roman" w:eastAsia="黑体"/>
          <w:sz w:val="32"/>
          <w:szCs w:val="32"/>
          <w:u w:val="single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jc w:val="both"/>
        <w:textAlignment w:val="auto"/>
        <w:rPr>
          <w:rFonts w:hint="eastAsia" w:ascii="黑体" w:hAnsi="黑体" w:eastAsia="黑体" w:cs="黑体"/>
          <w:b w:val="0"/>
          <w:bCs w:val="0"/>
          <w:sz w:val="48"/>
          <w:szCs w:val="48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="Arial"/>
          <w:kern w:val="2"/>
          <w:sz w:val="21"/>
          <w:szCs w:val="22"/>
          <w:lang w:val="en-US" w:eastAsia="zh-CN" w:bidi="ar-SA"/>
        </w:rPr>
        <w:id w:val="23893975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bCs w:val="0"/>
          <w:kern w:val="2"/>
          <w:sz w:val="21"/>
          <w:szCs w:val="48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黑体" w:hAnsi="黑体" w:eastAsia="黑体" w:cs="黑体"/>
              <w:b/>
              <w:bCs w:val="0"/>
              <w:kern w:val="2"/>
              <w:sz w:val="21"/>
              <w:szCs w:val="48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b/>
              <w:bCs w:val="0"/>
              <w:kern w:val="2"/>
              <w:sz w:val="21"/>
              <w:szCs w:val="48"/>
              <w:lang w:val="en-US" w:eastAsia="zh-CN" w:bidi="ar-SA"/>
            </w:rPr>
            <w:instrText xml:space="preserve">TOC \o "1-3" \h \u </w:instrText>
          </w:r>
          <w:r>
            <w:rPr>
              <w:rFonts w:hint="eastAsia" w:ascii="黑体" w:hAnsi="黑体" w:eastAsia="黑体" w:cs="黑体"/>
              <w:b/>
              <w:bCs w:val="0"/>
              <w:kern w:val="2"/>
              <w:sz w:val="21"/>
              <w:szCs w:val="48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_Toc1010275880 </w:instrText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t>选题一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_Toc1010275880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_Toc1701001978 </w:instrText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 w:val="21"/>
              <w:szCs w:val="21"/>
              <w:lang w:val="en-US" w:eastAsia="zh-CN"/>
            </w:rPr>
            <w:t>拼多多公司的网络营销策略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_Toc1701001978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3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_Toc1437935382 </w:instrText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val="en-US" w:eastAsia="zh-CN"/>
            </w:rPr>
            <w:t>一、 拼多多简介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_Toc1437935382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3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_Toc1313719217 </w:instrText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val="en-US" w:eastAsia="zh-CN"/>
            </w:rPr>
            <w:t>二、营销背景分析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_Toc1313719217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4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_Toc1399505312 </w:instrText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val="en-US" w:eastAsia="zh-CN"/>
            </w:rPr>
            <w:t>2.1 宏观环境分析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_Toc1399505312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4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_Toc97393193 </w:instrText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>2.1.1政策环境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_Toc97393193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4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_Toc402482462 </w:instrText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>2.1.2经济环境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_Toc402482462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4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_Toc1756418194 </w:instrText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>2.1.3社会文化环境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_Toc1756418194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4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_Toc629587798 </w:instrText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val="en-US" w:eastAsia="zh-CN"/>
            </w:rPr>
            <w:t>2.2 竞争环境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_Toc629587798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4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_Toc830192217 </w:instrText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val="en-US" w:eastAsia="zh-CN"/>
            </w:rPr>
            <w:t>2.3 企业 SWOT 分析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_Toc830192217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5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_Toc839336560 </w:instrText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val="en-US" w:eastAsia="zh-CN"/>
            </w:rPr>
            <w:t>三、营销战略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_Toc839336560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5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_Toc2056970424 </w:instrText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val="en-US" w:eastAsia="zh-CN"/>
            </w:rPr>
            <w:t>3.1目标群体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_Toc2056970424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5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_Toc1310166762 </w:instrText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val="en-US" w:eastAsia="zh-CN"/>
            </w:rPr>
            <w:t>3.2 社交媒体精准营销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_Toc1310166762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6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_Toc1822936243 </w:instrText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val="en-US" w:eastAsia="zh-CN"/>
            </w:rPr>
            <w:t>3.3 拼团和砍价策略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_Toc1822936243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6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_Toc2087727999 </w:instrText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>3.3.1拼团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_Toc2087727999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7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_Toc709170860 </w:instrText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>3.3.2砍价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_Toc709170860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8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_Toc500403170 </w:instrText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>3.4 百亿补贴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_Toc500403170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9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_Toc730116538 </w:instrText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val="en-US" w:eastAsia="zh-CN"/>
            </w:rPr>
            <w:t>3.5多元化营销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_Toc730116538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10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_Toc347095208 </w:instrText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>3.5.1助农扶贫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_Toc347095208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10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_Toc1063575604 </w:instrText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>3.5.2拓展海外市场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_Toc1063575604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10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_Toc2008782447 </w:instrText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val="en-US" w:eastAsia="zh-CN"/>
            </w:rPr>
            <w:t>四、营销效果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_Toc2008782447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10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_Toc1016172242 </w:instrText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val="en-US" w:eastAsia="zh-CN"/>
            </w:rPr>
            <w:t>4.1发展速度不可思议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_Toc1016172242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10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_Toc2016910350 </w:instrText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val="en-US" w:eastAsia="zh-CN"/>
            </w:rPr>
            <w:t>4.2在红海市场杀出重围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_Toc2016910350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11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_Toc182884555 </w:instrText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val="en-US" w:eastAsia="zh-CN"/>
            </w:rPr>
            <w:t>五、 总结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_Toc182884555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12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instrText xml:space="preserve"> HYPERLINK \l _Toc691617028 </w:instrText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lang w:val="en-US" w:eastAsia="zh-CN"/>
            </w:rPr>
            <w:t>六、收获和感受</w:t>
          </w:r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PAGEREF _Toc691617028 \h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</w:rPr>
            <w:t>12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Cs w:val="0"/>
              <w:kern w:val="2"/>
              <w:sz w:val="21"/>
              <w:szCs w:val="21"/>
              <w:lang w:val="en-US" w:eastAsia="zh-CN" w:bidi="ar-SA"/>
            </w:rP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120" w:lineRule="auto"/>
            <w:jc w:val="both"/>
            <w:textAlignment w:val="auto"/>
            <w:rPr>
              <w:rFonts w:hint="eastAsia" w:ascii="黑体" w:hAnsi="黑体" w:eastAsia="黑体" w:cs="黑体"/>
              <w:bCs w:val="0"/>
              <w:kern w:val="2"/>
              <w:sz w:val="21"/>
              <w:szCs w:val="48"/>
              <w:lang w:val="en-US" w:eastAsia="zh-CN" w:bidi="ar-SA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eastAsia" w:ascii="黑体" w:hAnsi="黑体" w:eastAsia="黑体" w:cs="黑体"/>
              <w:bCs w:val="0"/>
              <w:kern w:val="2"/>
              <w:szCs w:val="48"/>
              <w:lang w:val="en-US" w:eastAsia="zh-CN" w:bidi="ar-SA"/>
            </w:rP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jc w:val="both"/>
        <w:textAlignment w:val="auto"/>
        <w:rPr>
          <w:rFonts w:hint="eastAsia" w:ascii="黑体" w:hAnsi="黑体" w:eastAsia="黑体" w:cs="黑体"/>
          <w:b w:val="0"/>
          <w:bCs w:val="0"/>
          <w:sz w:val="48"/>
          <w:szCs w:val="4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58" w:afterLines="82" w:afterAutospacing="0" w:line="120" w:lineRule="auto"/>
        <w:ind w:firstLine="420" w:firstLineChars="0"/>
        <w:jc w:val="center"/>
        <w:textAlignment w:val="auto"/>
        <w:outlineLvl w:val="0"/>
        <w:rPr>
          <w:rFonts w:hint="eastAsia" w:ascii="黑体" w:hAnsi="黑体" w:eastAsia="黑体" w:cs="黑体"/>
          <w:b/>
          <w:bCs/>
          <w:sz w:val="48"/>
          <w:szCs w:val="48"/>
          <w:lang w:val="en-US" w:eastAsia="zh-CN"/>
        </w:rPr>
      </w:pPr>
      <w:bookmarkStart w:id="1" w:name="_Toc1701001978"/>
      <w:r>
        <w:rPr>
          <w:rFonts w:hint="eastAsia" w:ascii="黑体" w:hAnsi="黑体" w:eastAsia="黑体" w:cs="黑体"/>
          <w:b w:val="0"/>
          <w:bCs w:val="0"/>
          <w:sz w:val="48"/>
          <w:szCs w:val="48"/>
          <w:lang w:val="en-US" w:eastAsia="zh-CN"/>
        </w:rPr>
        <w:t>拼多多公司的网络营销策略</w:t>
      </w:r>
      <w:bookmarkEnd w:id="1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120" w:lineRule="auto"/>
        <w:textAlignment w:val="auto"/>
        <w:outlineLvl w:val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2" w:name="_Toc23917"/>
      <w:bookmarkStart w:id="3" w:name="_Toc1437935382"/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拼多多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简介</w:t>
      </w:r>
      <w:bookmarkEnd w:id="2"/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拼多多是一家成立于2015年的中国电商平台，总部位于上海。该平台以社交电商模式为主，通过社交网络和移动应用程序，使消费者能够以更低的价格购买到高质量的商品。拼多多的社交电商模式吸引了大量的用户，使其成为国内最大的电商平台之一.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 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120" w:lineRule="auto"/>
        <w:jc w:val="both"/>
        <w:textAlignment w:val="auto"/>
        <w:outlineLvl w:val="9"/>
      </w:pPr>
      <w:r>
        <w:drawing>
          <wp:inline distT="0" distB="0" distL="114300" distR="114300">
            <wp:extent cx="4629150" cy="3038475"/>
            <wp:effectExtent l="0" t="0" r="19050" b="952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120" w:lineRule="auto"/>
        <w:jc w:val="center"/>
        <w:textAlignment w:val="auto"/>
        <w:outlineLvl w:val="1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bookmarkStart w:id="4" w:name="_Toc971423505"/>
      <w:bookmarkStart w:id="5" w:name="_Toc1746485583"/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图1.1 拼多多动向</w:t>
      </w:r>
      <w:bookmarkEnd w:id="4"/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拼多多的核心业务模式是以社交为导向的团购电商平台。相比传统的电商平台，拼多多的产品大多来自于第三方商家，并且以团购的形式来销售。这种模式与传统的一对一交易不同，拼多多采用了群购模式，通过社交分享和邀请的方式，吸引更多用户参与团购，从而获得更低的价格.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拼多多的竞争优势在于低价商品和社交分享。拼多多以低价商品吸引用户，通过社交分享和邀请朋友参与团购，用户可以享受更低的价格。这种模式不仅能够吸引更多用户，还能够提高用户的黏性。拼多多还推出了“新人团”、“拼团”等功能，不断刺激用户的参与和分享，形成良好的社交氛围.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120" w:lineRule="auto"/>
        <w:jc w:val="center"/>
        <w:textAlignment w:val="auto"/>
        <w:outlineLvl w:val="9"/>
      </w:pPr>
      <w:r>
        <w:drawing>
          <wp:inline distT="0" distB="0" distL="114300" distR="114300">
            <wp:extent cx="1866900" cy="3086100"/>
            <wp:effectExtent l="0" t="0" r="12700" b="1270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120" w:lineRule="auto"/>
        <w:jc w:val="center"/>
        <w:textAlignment w:val="auto"/>
        <w:outlineLvl w:val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bookmarkStart w:id="6" w:name="_Toc1544164041"/>
      <w:bookmarkStart w:id="7" w:name="_Toc1376706285"/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图1.2 拼多多界面</w:t>
      </w:r>
      <w:bookmarkEnd w:id="6"/>
      <w:bookmarkEnd w:id="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拼多多还注重农村市场和下沉市场的布局。拼多多在农村市场的推广非常积极，通过线下推广和农村代理商的合作，拼多多不断扩大在农村市场的份额。拼多多还推出了“乡村振兴计划”，通过直播带货和线下扶贫产业带动农村经济发展，这些举措能够更好地满足农村市场和下沉市场的需求，为拼多多带来更多的增长空间. 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114300" cy="114300"/>
            <wp:effectExtent l="0" t="0" r="0" b="0"/>
            <wp:docPr id="37" name="图片 2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 descr="IMG_2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拼多多也在不断提升用户体验和增加品牌形象，通过不断创新和改进，拼多多已经成为了中国电商市场的重要参与者之一.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outlineLvl w:val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8" w:name="_Toc28818"/>
      <w:bookmarkStart w:id="9" w:name="_Toc1313719217"/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二、营销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背景分析</w:t>
      </w:r>
      <w:bookmarkEnd w:id="8"/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3" w:beforeLines="36" w:beforeAutospacing="0" w:after="63" w:afterLines="20" w:afterAutospacing="0" w:line="120" w:lineRule="auto"/>
        <w:ind w:leftChars="0"/>
        <w:textAlignment w:val="auto"/>
        <w:outlineLvl w:val="1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10" w:name="_Toc32496"/>
      <w:bookmarkStart w:id="11" w:name="_Toc1399505312"/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.1 宏观环境分析</w:t>
      </w:r>
      <w:bookmarkEnd w:id="10"/>
      <w:bookmarkEnd w:id="11"/>
    </w:p>
    <w:p>
      <w:pPr>
        <w:pStyle w:val="4"/>
        <w:bidi w:val="0"/>
        <w:spacing w:before="0" w:beforeLines="0" w:beforeAutospacing="0" w:after="0" w:afterLines="0" w:afterAutospacing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12" w:name="_Toc97393193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2.1.1政策环境</w:t>
      </w:r>
      <w:bookmarkEnd w:id="1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3" w:beforeLines="36" w:beforeAutospacing="0" w:after="63" w:afterLines="20" w:afterAutospacing="0" w:line="120" w:lineRule="auto"/>
        <w:ind w:leftChars="0" w:firstLine="420" w:firstLineChars="200"/>
        <w:textAlignment w:val="auto"/>
        <w:outlineLvl w:val="1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13" w:name="_Toc1550031144"/>
      <w:bookmarkStart w:id="14" w:name="_Toc504855737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中国政府对电商行业持支持态度，出台了一系列鼓励电子商务发展的政策，如《电子商务法》、《关于促进电子商务健康发展的指导意见》等，为拼多多提供了良好的政策环境。 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114300" cy="114300"/>
            <wp:effectExtent l="0" t="0" r="0" b="0"/>
            <wp:docPr id="4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3"/>
      <w:bookmarkEnd w:id="14"/>
    </w:p>
    <w:p>
      <w:pPr>
        <w:pStyle w:val="4"/>
        <w:bidi w:val="0"/>
        <w:spacing w:before="0" w:beforeLines="0" w:beforeAutospacing="0" w:after="0" w:afterLines="0" w:afterAutospacing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15" w:name="_Toc402482462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2.1.2经济环境</w:t>
      </w:r>
      <w:bookmarkEnd w:id="1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3" w:beforeLines="36" w:beforeAutospacing="0" w:after="63" w:afterLines="20" w:afterAutospacing="0" w:line="120" w:lineRule="auto"/>
        <w:ind w:leftChars="0" w:firstLine="420" w:firstLineChars="200"/>
        <w:textAlignment w:val="auto"/>
        <w:outlineLvl w:val="1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16" w:name="_Toc249315451"/>
      <w:bookmarkStart w:id="17" w:name="_Toc2096734431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中国经济的持续增长和消费升级为电商行业提供了广阔的市场空间。随着中产阶级的快速崛起，他们对于优质商品和服务的追求推动了电商行业的发展。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 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114300" cy="114300"/>
            <wp:effectExtent l="0" t="0" r="0" b="0"/>
            <wp:docPr id="43" name="图片 3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3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6"/>
      <w:bookmarkEnd w:id="17"/>
    </w:p>
    <w:p>
      <w:pPr>
        <w:pStyle w:val="4"/>
        <w:bidi w:val="0"/>
        <w:spacing w:before="0" w:beforeLines="0" w:beforeAutospacing="0" w:after="0" w:afterLines="0" w:afterAutospacing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18" w:name="_Toc1756418194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2.1.3社会文化环境</w:t>
      </w:r>
      <w:bookmarkEnd w:id="1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3" w:beforeLines="36" w:beforeAutospacing="0" w:after="63" w:afterLines="20" w:afterAutospacing="0" w:line="120" w:lineRule="auto"/>
        <w:ind w:leftChars="0" w:firstLine="420" w:firstLineChars="200"/>
        <w:textAlignment w:val="auto"/>
        <w:outlineLvl w:val="1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19" w:name="_Toc504189660"/>
      <w:bookmarkStart w:id="20" w:name="_Toc810374896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中国社会的数字化趋势和消费者对于线上购物的接受度不断提高，为电商行业提供了良好的社会文化环境。随着智能手机的普及和移动互联网的发展，消费者越来越习惯于在线上购物，这也为拼多多的社交电商模式提供了基础。</w:t>
      </w:r>
      <w:bookmarkEnd w:id="19"/>
      <w:bookmarkEnd w:id="2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3" w:beforeLines="36" w:beforeAutospacing="0" w:after="63" w:afterLines="20" w:afterAutospacing="0" w:line="120" w:lineRule="auto"/>
        <w:ind w:leftChars="0"/>
        <w:textAlignment w:val="auto"/>
        <w:outlineLvl w:val="1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21" w:name="_Toc629587798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2.2 竞争环境</w:t>
      </w:r>
      <w:bookmarkEnd w:id="21"/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在经历了两波互联网浪潮后，中国网民已经养成了移动消费的习惯。拼多多应用程序充分抓住了中国网民的消费特点。其主打的“低价”策略正中国民贪图便宜的心理；其独特的拼团购物方式吸引了网民对新奇事物的好奇心；其社交分享和砍价等功能则满足了网民寻求娱乐的需求。此外，拼多多的无购物车设计也符合网民偏向于懒惰的特点，从而间接促进了网民的冲动消费。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经过阿里巴巴和京东在电商行业近20年的深耕，电商行业的零售平台基础设施已经完善。物流体系、大数据、移动支付、供应链等方面的基础建设已经就绪。拼多多进入电商行业时站在了巨人的肩膀上，可以直接受益于前人创造的有利条件，而无需自己花费大量时间、精力和资金进行相关的研发和建设。</w:t>
      </w:r>
    </w:p>
    <w:p>
      <w:pPr>
        <w:ind w:firstLine="420" w:firstLineChars="0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宋体" w:hAnsi="宋体" w:eastAsia="宋体" w:cs="宋体"/>
          <w:sz w:val="21"/>
          <w:szCs w:val="21"/>
        </w:rPr>
        <w:t>这种竞争环境为拼多多提供了独特的优势。通过利用已有的基础设施和技术，拼多多能够更快地建立起自己的电商平台，并迅速扩大用户规模。同时，拼多多还可以专注于创新营销策略和用户体验，进一步巩固其在市场中的地位。然而，随着电商市场的竞争加剧，拼多多也需要不断提升自身的服务质量和竞争力，以保持领先地位并满足网民日益增长的需求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73" w:afterLines="23" w:afterAutospacing="0" w:line="120" w:lineRule="auto"/>
        <w:ind w:leftChars="0"/>
        <w:textAlignment w:val="auto"/>
        <w:outlineLvl w:val="1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22" w:name="_Toc12833"/>
      <w:bookmarkStart w:id="23" w:name="_Toc830192217"/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2.3 企业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SWOT 分析</w:t>
      </w:r>
      <w:bookmarkEnd w:id="22"/>
      <w:bookmarkEnd w:id="23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1.优势（Strengths） 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（1）社交电商模式：拼多多基于社交电商模式，通过社交分享和邀请好友参与购物，增强了用户对平台的黏性。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（2）低价商品和团购模式：拼多多侧重低价商品和团购模式，满足了消费者对价格敏感和团体购物的需求。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（3）快速发展的业绩和用户增长：拼多多的快速发展为其在资本市场上融资提供了良好的机会，使其能够投入更多资源来拓展市场份额和提升用户体验。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2.劣势（Weaknesses）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（1）商品品牌和质量问题：拼多多与大型电商平台相比，商品的品牌和质量相对较差，可能影响平台的信誉和用户忠诚度。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（2）社交网络依赖：拼多多依赖于社交网络，如果用户的社交关系不紧密或对邀请不感兴趣，用户可能不太愿意参与团购活动。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（3）市场竞争加剧：随着社交电商市场的增长，越来越多的公司进入该领域，拼多多面临着激烈的市场竞争。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3.机会（Opportunities）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（1）社交媒体用户规模：中国的社交媒体用户规模庞大，为拼多多提供了广阔的市场。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（2）中产阶级消费习惯变化：中国中产阶级的消费习惯和购物方式正在发生变化，转向更注重性价比和特色商品，这为拼多多提供了机会。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（3）合作品牌和商家：拼多多可以通过与知名品牌、商家合作，提供更多高品质的商品和服务，提升用户的购物体验和信任度。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4.威胁（Threats）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（1）互联网竞争激烈：互联网竞争激烈，竞争对手如京东、淘宝等也在发展社交电商模式，可能抢占拼多多的市场份额。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（2）消费者对品质和服务体验的重视：中国的消费者越来越注重品质和服务体验，而拼多多在这方面相对较弱，可能导致用户转向其他平台。</w:t>
      </w:r>
    </w:p>
    <w:p>
      <w:pPr>
        <w:ind w:firstLine="420" w:firstLine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（3）法规和政策变化：政府可能出台相关措施来规范社交电商行业，限制拼多多的发展空间. 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outlineLvl w:val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24" w:name="_Toc8253"/>
      <w:bookmarkStart w:id="25" w:name="_Toc839336560"/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三、营销战略</w:t>
      </w:r>
      <w:bookmarkEnd w:id="24"/>
      <w:bookmarkEnd w:id="2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3" w:beforeLines="36" w:beforeAutospacing="0" w:after="63" w:afterLines="20" w:afterAutospacing="0" w:line="120" w:lineRule="auto"/>
        <w:ind w:leftChars="0"/>
        <w:textAlignment w:val="auto"/>
        <w:outlineLvl w:val="1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bookmarkStart w:id="26" w:name="_Toc3999"/>
      <w:bookmarkStart w:id="27" w:name="_Toc2056970424"/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.1</w:t>
      </w:r>
      <w:bookmarkEnd w:id="26"/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目标群体</w:t>
      </w:r>
      <w:bookmarkEnd w:id="2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拼多多的目标群体主要包括以下几类：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1.价格敏感型消费者：这部分用户多居住在三四线城市及以下，对商品品牌溢价不太敏感，更看重产品本身的实用性。他们倾向于通过团购的方式购买产品，以享受更低的价格。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2.年轻用户：主要是“90后”和“85前”的用户，他们在社交平台上有较强的表现欲和对新鲜事物的接受度较高。这一年龄段的用户习惯通过短视频或直播了解产品试用过程，并学习如何使用产品省钱。 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114300" cy="114300"/>
            <wp:effectExtent l="0" t="0" r="0" b="0"/>
            <wp:docPr id="19" name="图片 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3.小镇青年：这一群体是一个庞大的流量聚集地，尤其是在疫情冲击下，低线城市的年轻人们对刚需品的需求更加迫切，拼多多在这一市场有着较大的发展空间。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4.其他追求高性价比的人群：包括家庭主妇、老人、孩子等，这些用户也构成了拼多多的重要客户群。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拼多多的主要用户群体分布在三四线城市和农村地区，这些地区的用户占比超过50%。此外，拼多多的用户年龄分布较为广泛，其中18-35岁的年轻用户占比约40%，36-60岁的中老年用户占比约35%。在消费能力方面，以中低消费能力用户为主，月消费在1000元以下的用户占比约60%，月消费在1000-3000元的用户占比约30%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/>
        </w:rPr>
      </w:pPr>
      <w:r>
        <w:drawing>
          <wp:inline distT="0" distB="0" distL="114300" distR="114300">
            <wp:extent cx="5269230" cy="2573020"/>
            <wp:effectExtent l="0" t="0" r="13970" b="1778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jc w:val="center"/>
        <w:textAlignment w:val="auto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图3.1 拼多多用户画像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afterAutospacing="0" w:line="120" w:lineRule="auto"/>
        <w:ind w:leftChars="0"/>
        <w:textAlignment w:val="auto"/>
        <w:outlineLvl w:val="1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28" w:name="_Toc27079"/>
      <w:bookmarkStart w:id="29" w:name="_Toc1310166762"/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.2</w:t>
      </w:r>
      <w:bookmarkEnd w:id="28"/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 xml:space="preserve"> 社交媒体精准营销</w:t>
      </w:r>
      <w:bookmarkEnd w:id="2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1.市场趋势分析：拼多多深入了解平台上的市场趋势，包括热门品类、流行元素等，以便更好地把握商品推广的时机和方向。 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114300" cy="114300"/>
            <wp:effectExtent l="0" t="0" r="0" b="0"/>
            <wp:docPr id="53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2.用户行为分析：拼多多利用丰富的用户行为数据，分析用户的浏览、购买、分享等行为，了解用户的兴趣和喜好，这有助于制定更精准的商品推广和广告投放策略。 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114300" cy="114300"/>
            <wp:effectExtent l="0" t="0" r="0" b="0"/>
            <wp:docPr id="55" name="图片 4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4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3.社交平台宣传：在社交媒体平台上进行宣传，与潜在用户建立连接，参与相关社群，与潜在用户互动，提高品牌知名度。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4.合作推广：与其他商家或品牌合作，共同推广，实现互惠共赢，获取更多流量支持。 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114300" cy="114300"/>
            <wp:effectExtent l="0" t="0" r="0" b="0"/>
            <wp:docPr id="58" name="图片 4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7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5.用户互动：通过抽奖、互动活动等形式吸引用户，鼓励用户在商品页面留下评论，提高页面互动度。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6.优惠券和促销：设置吸引人的优惠券政策，参与平台的促销活动，提高商品在活动期间的曝光。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7.数据分析和调整：利用拼多多提供的数据分析工具，监控广告效果和用户反馈，根据数据分析结果，灵活调整广告投放、定向策略等。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3" w:beforeLines="36" w:beforeAutospacing="0" w:after="63" w:afterLines="20" w:afterAutospacing="0" w:line="120" w:lineRule="auto"/>
        <w:ind w:leftChars="0"/>
        <w:textAlignment w:val="auto"/>
        <w:outlineLvl w:val="1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30" w:name="_Toc8730"/>
      <w:bookmarkStart w:id="31" w:name="_Toc1822936243"/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3.3 拼团和砍价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策略</w:t>
      </w:r>
      <w:bookmarkEnd w:id="30"/>
      <w:bookmarkEnd w:id="31"/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 w:after="360" w:afterAutospacing="0"/>
        <w:ind w:left="0" w:firstLine="0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</w:p>
    <w:p>
      <w:pPr>
        <w:pStyle w:val="4"/>
        <w:bidi w:val="0"/>
        <w:spacing w:before="0" w:beforeLines="0" w:beforeAutospacing="0" w:after="0" w:afterLines="0" w:afterAutospacing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32" w:name="_Toc2087727999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3.3.1拼团</w:t>
      </w:r>
      <w:bookmarkEnd w:id="32"/>
    </w:p>
    <w:p>
      <w:pPr>
        <w:pStyle w:val="1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/>
        <w:ind w:left="0" w:firstLine="420" w:firstLineChars="200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拼团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是由商家针对特定商品，在约定时间内，以成团人数为条件，用优惠价格出售商品的营销活动。拼团可以完成裂变，增加用户量，同时给店铺带来更好的传播效果。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5161915" cy="2538095"/>
            <wp:effectExtent l="0" t="0" r="19685" b="1905"/>
            <wp:docPr id="67" name="图片 50" descr="拼团、砍价、分销｜用户要增长，裂变和转化才是关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0" descr="拼团、砍价、分销｜用户要增长，裂变和转化才是关键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2538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jc w:val="center"/>
        <w:textAlignment w:val="auto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图3.2 拼多多拼团模式</w:t>
      </w:r>
    </w:p>
    <w:p>
      <w:pPr>
        <w:pStyle w:val="1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420" w:firstLineChars="200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常见的的拼团类型有抽奖团、试用团、超级团、秒杀团、海淘团、团免团等。拼团本质上是一个商品购买流程，只是下单不再是单个用户，而是一群用户。</w:t>
      </w:r>
    </w:p>
    <w:p>
      <w:pPr>
        <w:pStyle w:val="1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420" w:firstLineChars="200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拼团拼多多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拼团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，其直接拼团、参与拼单、邀请助力、分享互惠的拼团方式在微信群或朋友圈疯狂刷屏，我们只需邀请多人参与即可开团。拼团流程分为以下几个步骤：发起拼团 &gt; 微信分享 &gt; 好友参团 &gt; 拼团成功 &gt; 等待发货 &gt; 确认收货 &gt; 订单售后。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 w:after="360" w:afterAutospacing="0"/>
        <w:ind w:left="0" w:firstLine="0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5715000" cy="2990850"/>
            <wp:effectExtent l="0" t="0" r="0" b="6350"/>
            <wp:docPr id="60" name="图片 51" descr="拼团、砍价、分销｜用户要增长，裂变和转化才是关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1" descr="拼团、砍价、分销｜用户要增长，裂变和转化才是关键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jc w:val="center"/>
        <w:textAlignment w:val="auto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图3.3 拼多多拼团流程</w:t>
      </w:r>
    </w:p>
    <w:p>
      <w:pPr>
        <w:pStyle w:val="1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420" w:firstLineChars="200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拼多多利用这个拼团原理玩转用户裂变，但都是围绕用户场景和业务落地让拼团形成业务闭环。短短两年多的时间迅速崛起，从最初的月均GMV为20亿元，到现在的月均GMV400亿元。</w:t>
      </w:r>
    </w:p>
    <w:p>
      <w:pPr>
        <w:pStyle w:val="4"/>
        <w:bidi w:val="0"/>
        <w:spacing w:before="0" w:beforeLines="0" w:beforeAutospacing="0" w:after="0" w:afterLines="0" w:afterAutospacing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33" w:name="_Toc709170860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3.3.2砍价</w:t>
      </w:r>
      <w:bookmarkEnd w:id="33"/>
    </w:p>
    <w:p>
      <w:pPr>
        <w:pStyle w:val="1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420" w:firstLineChars="200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砍价是通过给商品设置砍价规则，在规定的时间内，购买者分享商品链接给好友，好友通过点击链接帮其砍价，最终以一个相当优惠的价格成交。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 w:after="360" w:afterAutospacing="0"/>
        <w:ind w:left="0" w:firstLine="0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5125720" cy="2861945"/>
            <wp:effectExtent l="0" t="0" r="5080" b="8255"/>
            <wp:docPr id="62" name="图片 52" descr="拼团、砍价、分销｜用户要增长，裂变和转化才是关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2" descr="拼团、砍价、分销｜用户要增长，裂变和转化才是关键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jc w:val="center"/>
        <w:textAlignment w:val="auto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图3.4 砍价流程</w:t>
      </w:r>
    </w:p>
    <w:p>
      <w:pPr>
        <w:pStyle w:val="1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420" w:firstLineChars="200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砍价模式分为两种砍到底价才可购买、无需砍到底价即可购买。每次砍价的金额是随机的，发起砍价只能是有效用户，但好友帮砍可以是游客。</w:t>
      </w:r>
    </w:p>
    <w:p>
      <w:pPr>
        <w:pStyle w:val="1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420" w:firstLineChars="200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砍价可以让用户裂变，因为砍价是最常见的消费场景，也考虑用户的痛点“让利消费者”、爽点“喜欢占便宜”和痒点“砍价成就感”，且利用微信社交圈实现了病毒式传播。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 w:after="360" w:afterAutospacing="0"/>
        <w:ind w:left="0" w:firstLine="0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4539615" cy="2559685"/>
            <wp:effectExtent l="0" t="0" r="6985" b="5715"/>
            <wp:docPr id="69" name="图片 53" descr="拼团、砍价、分销｜用户要增长，裂变和转化才是关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3" descr="拼团、砍价、分销｜用户要增长，裂变和转化才是关键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2559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jc w:val="center"/>
        <w:textAlignment w:val="auto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图3.5 好友砍价图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 w:after="360" w:afterAutospacing="0"/>
        <w:ind w:left="0" w:firstLine="0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4204335" cy="2667635"/>
            <wp:effectExtent l="0" t="0" r="12065" b="24765"/>
            <wp:docPr id="68" name="图片 54" descr="拼团、砍价、分销｜用户要增长，裂变和转化才是关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4" descr="拼团、砍价、分销｜用户要增长，裂变和转化才是关键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4335" cy="266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jc w:val="center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图3.6 拼多多砍价</w:t>
      </w:r>
    </w:p>
    <w:p>
      <w:pPr>
        <w:pStyle w:val="1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420" w:firstLineChars="200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砍价是典型的用户思维和场景思维。通过运营策略来让利消费者，实现用户的快速裂变，也能转化一批高净值的用户，从而持续获得用户流量，提高用户粘性，用户活跃度，保证用户增长并不断转化为忠实用户。</w:t>
      </w:r>
    </w:p>
    <w:p>
      <w:pPr>
        <w:pStyle w:val="4"/>
        <w:bidi w:val="0"/>
        <w:spacing w:before="0" w:beforeLines="0" w:beforeAutospacing="0" w:after="0" w:afterLines="0" w:afterAutospacing="0"/>
        <w:outlineLvl w:val="1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34" w:name="_Toc9645"/>
      <w:bookmarkStart w:id="35" w:name="_Toc500403170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3.4 百亿补贴</w:t>
      </w:r>
      <w:bookmarkEnd w:id="34"/>
      <w:bookmarkEnd w:id="3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拼多多的百亿补贴营销策略是一种高度策略性的市场推广手段，其主要目标在于吸引新用户、提升交易活跃度以及塑造品牌形象。以下是对该策略的分析：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36" w:name="_Toc21118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（1）吸引新用户与提升活跃度</w:t>
      </w:r>
      <w:bookmarkEnd w:id="3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通过向消费者提供数额可观的优惠券，拼多多能够直接刺激消费者的购物欲望。这种策略不仅吸引了价格敏感的消费者，还在一定程度上提升了用户在平台上的消费频次和金额。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同时开展现金补贴活动包括返现、满减等形式的现金补贴，这些措施进一步鼓励用户进行交易。现金补贴的即时性让用户感受到实实在在的优惠，从而提高了用户的购买欲望和忠诚度。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37" w:name="_Toc11749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（2）商品特价促销与品牌形象塑造</w:t>
      </w:r>
      <w:bookmarkEnd w:id="3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拼多多推出性价比极高的商品，这不仅拉动了整体交易量，还有助于树立平台“低价+正品”的形象。通过特价促销，拼多多能够打破消费者对其“假货遍地”的固有印象，提升用户信任度。以苹果产品为例，通过对高端、热门商品的补贴，拼多多不仅吸引了一二线城市的高客单价新用户，还在这些用户群体中建立了正品形象。这种策略有效地提升了拼多多的品牌形象，并拓展了其在一二线城市的市场份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38" w:name="_Toc7378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（3）价格上探与利润增长</w:t>
      </w:r>
      <w:bookmarkEnd w:id="3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在通过低价策略吸引大量用户后，拼多多逐步实施价格上探策略。通过引入更多高品质商品和服务，提升用户对平台的整体价值认知。这不仅有助于实现利润增长，还能进一步巩固和提升拼多多的市场地位。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39" w:name="_Toc6292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（4）用户信任与口碑传播</w:t>
      </w:r>
      <w:bookmarkEnd w:id="3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通过百亿补贴营销策略，拼多多在改善用户体验的同时，也加强了用户对其品牌的信任感。满意的用户更有可能成为平台的口碑传播者，从而带来更多新用户，形成良性循环。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拼多多百亿补贴的目的是吸引更多的一二线城市用户加入平台，通过拉新的方式提升用户数量和客单价。通过给予高额补贴，吸引更多高客单价的用户加入，从而提升平台的整体用户价值。同时，通过提供正品低价的商品，改善拼多多在假货问题上的名声，增加用户信任度。在用户量达到一定规模后，拼多多需要树立品牌形象，实现价格上探，从而提高利润。通过提供高品质的商品和服务，吸引更多高潜在性的用户，进一步提升平台的声誉和用户忠诚度。通过不断优化用户体验和商品质量，拼多多可以逐步实现品牌升级和利润增长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3" w:beforeLines="36" w:beforeAutospacing="0" w:after="63" w:afterLines="20" w:afterAutospacing="0" w:line="120" w:lineRule="auto"/>
        <w:ind w:leftChars="0"/>
        <w:textAlignment w:val="auto"/>
        <w:outlineLvl w:val="1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40" w:name="_Toc10210"/>
      <w:bookmarkStart w:id="41" w:name="_Toc730116538"/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.5多元化营销</w:t>
      </w:r>
      <w:bookmarkEnd w:id="40"/>
      <w:bookmarkEnd w:id="41"/>
    </w:p>
    <w:p>
      <w:pPr>
        <w:pStyle w:val="4"/>
        <w:bidi w:val="0"/>
        <w:spacing w:before="0" w:beforeLines="0" w:beforeAutospacing="0" w:after="0" w:afterLines="0" w:afterAutospacing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bookmarkStart w:id="42" w:name="_Toc7595"/>
      <w:bookmarkStart w:id="43" w:name="_Toc347095208"/>
      <w:r>
        <w:rPr>
          <w:rFonts w:hint="eastAsia" w:ascii="宋体" w:hAnsi="宋体" w:cs="宋体"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.5.1助农扶贫</w:t>
      </w:r>
      <w:bookmarkEnd w:id="42"/>
      <w:bookmarkEnd w:id="4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拼多多在发展过程中也在不断探索扶贫新路径。随着消费者对健康、绿色、有机农产品的需求不断增长，助农策略能够帮助拼多多满足这一市场趋势，提供更多优质的农产品给消费者。与农民直接合作，拼多多更深入地了解农产品供应链，掌握一手货源，确保产品质量和供应稳定性，进而提升平台竞争力。对于消费者，可直接在拼多多上购买到农民的农产品，免去了平台的抽成，及保障了农产品的质量又降低了购买成本。对于农民，平台给他们通道，让他们的农产品走供应链，采用原地直接销售，解决困扰农民的滞销问题，让他们的生活有了保障。带动电商走进基层，为他们卖货，更是彰显了“博爱”的胸怀。营造了良好的扶贫氛围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作为电商平台的拼多多，通过助农策略能够积极履行社会责任，支持农业发展，助力乡村振兴，提升企业的社会形象和公信力。既顺应了市场需求和社会责任履行的需要，也为农民、消费者和平台自身带来了诸多好处。</w:t>
      </w:r>
    </w:p>
    <w:p>
      <w:pPr>
        <w:pStyle w:val="4"/>
        <w:bidi w:val="0"/>
        <w:spacing w:before="0" w:beforeLines="0" w:beforeAutospacing="0" w:after="0" w:afterLines="0" w:afterAutospacing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bookmarkStart w:id="44" w:name="_Toc3812"/>
      <w:bookmarkStart w:id="45" w:name="_Toc1063575604"/>
      <w:r>
        <w:rPr>
          <w:rFonts w:hint="eastAsia" w:ascii="宋体" w:hAnsi="宋体" w:cs="宋体"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.5.2拓展海外市场</w:t>
      </w:r>
      <w:bookmarkEnd w:id="44"/>
      <w:bookmarkEnd w:id="4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新国际形势下，去全球化压力凸显。因此，拼多多通过依托国家推进的一带一路等国际战略，加大对东南亚、中东等新兴市场的布局，一方面能够增强全球电商业务的抗风险能力，另一方面，能够抢占跨境电商赛道的先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拼多多，作为国内的电商巨头，其独特的低价策略与社交电商模式在国内市场取得了巨大的成功。近年来，拼多多进一步将其业务版图扩展至海外市场，通过其海外平台Temu，继续沿用并优化其在国内市场验证成功的策略。拼多多在国内市场赖以成名的低价策略，在海外市场同样展现出了强大的竞争力。Temu平台上的商品，与亚马逊等国际电商巨头相比，不仅种类丰富，而且价格更为亲民。例如，某些商品在Temu上的售价仅为亚马逊的一半甚至更低。这样的价格优势，对于价格敏感的海外消费者来说，无疑具有极大的吸引力。拼多多在国内市场的成功，很大程度上归功于其独特的社交电商模式。在海外市场，Temu也试图复制并优化这一模式。通过社交分享、团购等方式，Temu鼓励消费者邀请亲朋好友一起购物，从而享受更多的优惠。这种模式不仅增加了平台的用户粘性，还通过口碑传播，有效地扩大了平台的知名度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120" w:lineRule="auto"/>
        <w:textAlignment w:val="auto"/>
        <w:outlineLvl w:val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46" w:name="_Toc27235"/>
      <w:bookmarkStart w:id="47" w:name="_Toc2008782447"/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四、营销效果</w:t>
      </w:r>
      <w:bookmarkEnd w:id="46"/>
      <w:bookmarkEnd w:id="4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3" w:beforeLines="36" w:beforeAutospacing="0" w:after="63" w:afterLines="20" w:afterAutospacing="0" w:line="120" w:lineRule="auto"/>
        <w:ind w:leftChars="0"/>
        <w:textAlignment w:val="auto"/>
        <w:outlineLvl w:val="1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48" w:name="_Toc29296"/>
      <w:bookmarkStart w:id="49" w:name="_Toc1016172242"/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4.1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发展速度不可思议</w:t>
      </w:r>
      <w:bookmarkEnd w:id="48"/>
      <w:bookmarkEnd w:id="4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拼多多上线于 2015 年，是一家专注于C2B拼团的第三方社交电商平台。它在三年间迅速成为中国第三大电子商务平台，2018 年全年 GMV（网站成交金额） 达到 4716 亿元人民币，同比增长 234%，拼多多在营收方面也保持高速增长，2018 年营收实现 131 亿人民币，同比增长 9.5 倍。用户通过发起和朋友、家人、邻居等的拼团，可以以更低的价格，拼团购买优质商品。其中，通过沟通分享形成的社交理念，形成了拼多多独特的新社交电商思维。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经过多年的发展，拼多多现如今已经成为家喻户晓的APP。在 2020 年时，拼多多迎来了一个暴力增长期，靠着陌生人拼团、“砍一刀”等方式迅速吸引了大众 。但是好景不长，同年 8 月份，拼多多的创始人黄峥退出了拼多多董事会。而就在黄峥退出的一年多后，拼多多陷入了“增速放缓”的漩涡，3 月 21 日晚，拼多多发布了 2021 年 Q4 及全年财报，用户增速成为了最被关注的数据：截至 2021 年12 月 31 日，拼多多年度活跃买家达到 8.687 亿，同比增长仅为 10%——这是 2019 年以来拼多多的最低增速。受财报披露数据的影响，截至 2 月 21 日美股收盘时拼多多股价下跌 6.13%，市值蒸发约 200 亿元 。在 2021 年 11 月公布的2021 年三季度财报中，拼多多的“同期年活跃买家数 ( 统计过去十二个月 )”已经达到 8.673 亿，这意味着经过一个季度的发展，拼多多新增“年度活跃买家数”仅为 140 万，这是拼多多创立以来的季度最低增速。出现这种问题的核心原因有二：一是中国消费市场的大疲软，国内消费者对于网上购物的欲望处在一个较低的时期；二是拼多多的拉新方式已经达到了“天花板”。国家统计局统计数据显示，截至 2022年中国网民规模为 9.89 亿人，而截至 2021 年 6 月这一数据仅增长 0.21 亿人，达到 10.1 亿人 。拼多多的核心商品以农产品、白牌产品为主，这些产品普遍需要以高复购率、高消费频次为支撑，当大盘消费力下滑时，其受到的影响非常明显。而在飞速增长约 4 年后，拼多多临近用户高速增长边界——投入和转化模型受到深刻影响，这意味着拉新变得不易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[1]</w:t>
      </w:r>
      <w:r>
        <w:rPr>
          <w:rFonts w:hint="eastAsia" w:ascii="宋体" w:hAnsi="宋体" w:eastAsia="宋体" w:cs="宋体"/>
          <w:sz w:val="21"/>
          <w:szCs w:val="21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jc w:val="center"/>
        <w:textAlignment w:val="auto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drawing>
          <wp:inline distT="0" distB="0" distL="114300" distR="114300">
            <wp:extent cx="3790950" cy="2475865"/>
            <wp:effectExtent l="0" t="0" r="19050" b="133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jc w:val="center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图4.1网上零售交易规模图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13" w:beforeLines="36" w:beforeAutospacing="0" w:after="63" w:afterLines="20" w:afterAutospacing="0" w:line="120" w:lineRule="auto"/>
        <w:ind w:leftChars="0"/>
        <w:textAlignment w:val="auto"/>
        <w:outlineLvl w:val="1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50" w:name="_Toc3436"/>
      <w:bookmarkStart w:id="51" w:name="_Toc2016910350"/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4.2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在红海市场杀出重围</w:t>
      </w:r>
      <w:bookmarkEnd w:id="50"/>
      <w:bookmarkEnd w:id="5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从参与者和提供的产品服务的角度看，2014年，阿里和京东两家电商巨头先后上市，国美苏宁等传统卖场也先后完成了自己的电商布局，其他行业数不清的大小企业，如中粮、家乐福、物美、聚美优品、当当网等，均在电商行业占据了一席之地。这些企业占据了从快消品到耐用品，从高端到低端的大部分产品市场，用户也从一线城市覆盖到四线及以下城市，有些还拓展到了全球市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然而，在2015年9月，拼多多创立并踏入看似早已饱和的电商“红海”。其采取了“农村包围城市”的策略，快速占领了三四线城市以及农村市场。仅用一年时间，拼多多在订单数和用户数方面已经赶上了唯品会，跃居中国第四大电商。2018年7月，拼多多的用户量突破3.1亿，并在美国纳斯达克挂牌上市。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2018年上半年的统计数据显示，拼多多的市场份额仅次于京东，跃居国内第三；截至2021年6月，平台年度活跃用户数达到8.499亿，商家数达到860万，平均每日在途包裹数逾亿单，是中国大陆地区用户数最多的电商平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jc w:val="center"/>
        <w:textAlignment w:val="auto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drawing>
          <wp:inline distT="0" distB="0" distL="114300" distR="114300">
            <wp:extent cx="3622040" cy="2487295"/>
            <wp:effectExtent l="0" t="0" r="10160" b="19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204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Chars="0"/>
        <w:jc w:val="center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图4.2 电商三大巨头MAU变化趋势</w:t>
      </w:r>
    </w:p>
    <w:p>
      <w:pPr>
        <w:pStyle w:val="17"/>
        <w:numPr>
          <w:ilvl w:val="0"/>
          <w:numId w:val="0"/>
        </w:numPr>
        <w:ind w:leftChars="0" w:firstLine="480" w:firstLineChars="200"/>
        <w:rPr>
          <w:rFonts w:hint="eastAsia" w:ascii="仿宋" w:hAnsi="仿宋" w:eastAsia="仿宋" w:cs="仿宋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outlineLvl w:val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52" w:name="_Toc19050"/>
      <w:bookmarkStart w:id="53" w:name="_Toc182884555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总结</w:t>
      </w:r>
      <w:bookmarkEnd w:id="52"/>
      <w:bookmarkEnd w:id="5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拼多多通过精准的营销策略，在短时间内获得了巨大的成功。从宏观环境来看，拼多多抓住了中国电商市场的快速发展机遇，并依托社交平台，实现了快速传播和用户增长。从微观环境来看，拼多多通过优化商品结构、提供性价比高的产品等措施，满足了广大消费者的需求。从竞争环境来看，拼多多通过差异化竞争策略，成功地与淘宝、京东等电商平台区分开来，并在竞争中占据了有利地位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从企业SWOT分析来看，拼多多具有强大的社交电商基因和强大的供应链管理能力等优势，但也面临着物流配送、品牌信誉等方面的挑战。因此，拼多多需要进一步加强供应链管理和物流配送能力，提升品牌形象和信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总的来说，拼多多的成功离不开其精准的营销战略和有效的营销策略。在实施营销策略的过程中，拼多多充分考虑了宏观环境、微观环境、竞争环境等因素，并结合企业自身的优势和劣势，制定出了切实可行的营销策略。这些策略的成功实施，使得拼多多在短时间内实现了快速成长和发展。因此，企业在制定营销策略时，需要充分考虑各种因素，并结合企业自身的优势和劣势，制定出切实可行的营销策略，以实现企业的快速成长和发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outlineLvl w:val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54" w:name="_Toc691617028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六、收获和感受</w:t>
      </w:r>
      <w:bookmarkEnd w:id="5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对网络营销有了更深入的了解。通过学习网络营销课程，我对网络营销的各种策略和技巧有更全面的了解，从而更好地应用于实际工作。增强了对于网络营销工具和平台的认识。网络营销涉及到多种工具和平台，如社交媒体、搜索引擎、电子邮件等。通过学习网络营销课程，我对这些工具和平台的功能和使用方法有更深入的了解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提高了网络营销的实际操作能力。网络营销是一门实践性很强的学科，需要不断地实践和总结经验。通过学习网络营销课程，我掌握更多的实际操作技巧，从而更好地应用于实际工作。对于网络营销的未来发展趋势有了更清晰的认识。网络营销是一个不断发展的领域，随着科技的不断进步和消费者需求的不断变化，网络营销也在不断地发展和变革。通过学习网络营销课程，我对未来的发展趋势有更清晰的认识，从而更好地把握市场机会。</w:t>
      </w:r>
    </w:p>
    <w:p>
      <w:pPr>
        <w:pStyle w:val="17"/>
        <w:numPr>
          <w:ilvl w:val="0"/>
          <w:numId w:val="0"/>
        </w:numPr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pStyle w:val="17"/>
        <w:numPr>
          <w:ilvl w:val="0"/>
          <w:numId w:val="0"/>
        </w:numPr>
        <w:ind w:leftChars="0" w:firstLine="480" w:firstLineChars="200"/>
        <w:rPr>
          <w:rFonts w:hint="eastAsia" w:ascii="仿宋" w:hAnsi="仿宋" w:eastAsia="仿宋" w:cs="仿宋"/>
          <w:sz w:val="24"/>
          <w:szCs w:val="24"/>
        </w:rPr>
      </w:pPr>
    </w:p>
    <w:p>
      <w:pPr>
        <w:pStyle w:val="17"/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参考文献</w:t>
      </w:r>
    </w:p>
    <w:p>
      <w:pPr>
        <w:jc w:val="left"/>
        <w:rPr>
          <w:rFonts w:hint="eastAsia" w:ascii="Times New Roman" w:hAnsi="Times New Roman" w:eastAsia="宋体" w:cstheme="minorBidi"/>
          <w:szCs w:val="24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[1]</w:t>
      </w:r>
      <w:r>
        <w:rPr>
          <w:rFonts w:hint="eastAsia" w:ascii="Times New Roman" w:hAnsi="Times New Roman" w:eastAsia="宋体" w:cstheme="minorBidi"/>
          <w:szCs w:val="24"/>
          <w:lang w:val="en-US" w:eastAsia="zh-CN"/>
        </w:rPr>
        <w:t>李晓媛. 电子商务平台精准营销策略分析 ——以拼多多为例[J]. 传播力研究,2023,7(5):127-129.</w:t>
      </w:r>
    </w:p>
    <w:p>
      <w:pPr>
        <w:jc w:val="left"/>
        <w:rPr>
          <w:rFonts w:hint="eastAsia" w:ascii="Times New Roman" w:hAnsi="Times New Roman" w:eastAsia="宋体" w:cstheme="minorBidi"/>
          <w:szCs w:val="24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[2]</w:t>
      </w:r>
      <w:r>
        <w:rPr>
          <w:rFonts w:hint="eastAsia" w:ascii="Times New Roman" w:hAnsi="Times New Roman" w:eastAsia="宋体" w:cstheme="minorBidi"/>
          <w:szCs w:val="24"/>
          <w:lang w:val="en-US" w:eastAsia="zh-CN"/>
        </w:rPr>
        <w:t>王昕怡,许向阳.基于SWOT分析跨境物流营销策略[J].物流科技,2022,45(4):50-52</w:t>
      </w:r>
    </w:p>
    <w:p>
      <w:pPr>
        <w:jc w:val="left"/>
        <w:rPr>
          <w:rFonts w:hint="eastAsia" w:ascii="Times New Roman" w:hAnsi="Times New Roman" w:eastAsia="宋体" w:cstheme="minorBidi"/>
          <w:szCs w:val="24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[3]</w:t>
      </w:r>
      <w:r>
        <w:rPr>
          <w:rFonts w:hint="eastAsia" w:ascii="Times New Roman" w:hAnsi="Times New Roman" w:eastAsia="宋体" w:cstheme="minorBidi"/>
          <w:szCs w:val="24"/>
          <w:lang w:val="en-US" w:eastAsia="zh-CN"/>
        </w:rPr>
        <w:t>雷玄.拼多多两项扶持政策  花农和制造业受益多多[J].中国质量万里行,2024(04):72-73.</w:t>
      </w:r>
    </w:p>
    <w:p>
      <w:pPr>
        <w:jc w:val="left"/>
        <w:rPr>
          <w:rFonts w:hint="eastAsia" w:ascii="Times New Roman" w:hAnsi="Times New Roman" w:eastAsia="宋体" w:cstheme="minorBidi"/>
          <w:szCs w:val="24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[4]</w:t>
      </w:r>
      <w:r>
        <w:rPr>
          <w:rFonts w:hint="eastAsia" w:ascii="Times New Roman" w:hAnsi="Times New Roman" w:eastAsia="宋体" w:cstheme="minorBidi"/>
          <w:szCs w:val="24"/>
          <w:lang w:val="en-US" w:eastAsia="zh-CN"/>
        </w:rPr>
        <w:t>汪玉慧.浅析拼多多在电商领域的创新与发展[J].商展经济,2024(09):39-42.DOI:10.19995/j.cnki.CN10-1617/F7.2024.09.039</w:t>
      </w:r>
    </w:p>
    <w:p>
      <w:pPr>
        <w:jc w:val="left"/>
        <w:rPr>
          <w:rFonts w:hint="eastAsia" w:ascii="Times New Roman" w:hAnsi="Times New Roman" w:eastAsia="宋体" w:cstheme="minorBidi"/>
          <w:szCs w:val="24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[5]</w:t>
      </w:r>
      <w:r>
        <w:rPr>
          <w:rFonts w:hint="eastAsia" w:ascii="Times New Roman" w:hAnsi="Times New Roman" w:eastAsia="宋体" w:cstheme="minorBidi"/>
          <w:szCs w:val="24"/>
          <w:lang w:val="en-US" w:eastAsia="zh-CN"/>
        </w:rPr>
        <w:t>李天航. 电商企业“拼多多”营销策略研究[D].北京化工大学,2024.DOI:10.26939/d.cnki.gbhgu.2023.001562.</w:t>
      </w:r>
    </w:p>
    <w:p>
      <w:pPr>
        <w:jc w:val="left"/>
        <w:rPr>
          <w:rFonts w:hint="eastAsia" w:ascii="Times New Roman" w:hAnsi="Times New Roman" w:eastAsia="宋体" w:cstheme="minorBidi"/>
          <w:szCs w:val="24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[6]</w:t>
      </w:r>
      <w:r>
        <w:rPr>
          <w:rFonts w:hint="eastAsia" w:ascii="Times New Roman" w:hAnsi="Times New Roman" w:eastAsia="宋体" w:cstheme="minorBidi"/>
          <w:szCs w:val="24"/>
          <w:lang w:val="en-US" w:eastAsia="zh-CN"/>
        </w:rPr>
        <w:t>谷健乔.拼多多跨境电商平台运营现状及面临问题的对策研究[J].全国流通经济2023(23):75-79.DOI:10.16834/j.cnki.issn1009-5292.2023.23.032.</w:t>
      </w:r>
    </w:p>
    <w:p>
      <w:pPr>
        <w:jc w:val="left"/>
        <w:rPr>
          <w:rFonts w:hint="eastAsia" w:ascii="Times New Roman" w:hAnsi="Times New Roman" w:eastAsia="宋体" w:cstheme="minorBidi"/>
          <w:szCs w:val="24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[7]</w:t>
      </w:r>
      <w:r>
        <w:rPr>
          <w:rFonts w:hint="eastAsia" w:ascii="Times New Roman" w:hAnsi="Times New Roman" w:eastAsia="宋体" w:cstheme="minorBidi"/>
          <w:szCs w:val="24"/>
          <w:lang w:val="en-US" w:eastAsia="zh-CN"/>
        </w:rPr>
        <w:t>张宇瑄.拼多多电商平台盈利模式及社交营销策略研究——以社交营销策略为例[J].商展经济,2024(03):43-46.DOI:10.19995/j.cnki.CN10-1617/F7.2024.03.043.</w:t>
      </w:r>
    </w:p>
    <w:p>
      <w:pPr>
        <w:pStyle w:val="17"/>
        <w:numPr>
          <w:ilvl w:val="0"/>
          <w:numId w:val="0"/>
        </w:numPr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仿宋">
    <w:altName w:val="方正仿宋_GBK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Mistral">
    <w:altName w:val="苹方-简"/>
    <w:panose1 w:val="03090702030407020403"/>
    <w:charset w:val="00"/>
    <w:family w:val="script"/>
    <w:pitch w:val="default"/>
    <w:sig w:usb0="00000000" w:usb1="00000000" w:usb2="00000000" w:usb3="00000000" w:csb0="0000009F" w:csb1="00000000"/>
  </w:font>
  <w:font w:name="仿宋_GB2312">
    <w:altName w:val="方正仿宋_GBK"/>
    <w:panose1 w:val="00000000000000000000"/>
    <w:charset w:val="00"/>
    <w:family w:val="modern"/>
    <w:pitch w:val="default"/>
    <w:sig w:usb0="00000000" w:usb1="00000000" w:usb2="00000000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Damascus Regular">
    <w:panose1 w:val="00000400000000000000"/>
    <w:charset w:val="00"/>
    <w:family w:val="auto"/>
    <w:pitch w:val="default"/>
    <w:sig w:usb0="80002000" w:usb1="80000000" w:usb2="00000080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WAAAAZHJzL1BLAQIUABQAAAAIAIdO4kCzSVju0AAAAAUBAAAPAAAAAAAAAAEAIAAAADgAAABk&#10;cnMvZG93bnJldi54bWxQSwECFAAUAAAACACHTuJAqaivlTECAABjBAAADgAAAAAAAAABACAAAAA1&#10;AQAAZHJzL2Uyb0RvYy54bWxQSwUGAAAAAAYABgBZAQAA2A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DCDDAD"/>
    <w:multiLevelType w:val="singleLevel"/>
    <w:tmpl w:val="DBDCDDAD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6FFE7C74"/>
    <w:multiLevelType w:val="singleLevel"/>
    <w:tmpl w:val="6FFE7C7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3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JkYmIzOGQ0YTNhOWM0NDgwMDg4Y2U2NzJjMGE3ZWYifQ=="/>
  </w:docVars>
  <w:rsids>
    <w:rsidRoot w:val="00000000"/>
    <w:rsid w:val="062F259D"/>
    <w:rsid w:val="12BC2DB9"/>
    <w:rsid w:val="373C457D"/>
    <w:rsid w:val="39F727BE"/>
    <w:rsid w:val="471E20BC"/>
    <w:rsid w:val="4FF711EA"/>
    <w:rsid w:val="548E4084"/>
    <w:rsid w:val="55E4287A"/>
    <w:rsid w:val="5D35760E"/>
    <w:rsid w:val="7A4E5A7F"/>
    <w:rsid w:val="CFB1A6FA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Arial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4">
    <w:name w:val="Default Paragraph Font"/>
    <w:qFormat/>
    <w:uiPriority w:val="1"/>
  </w:style>
  <w:style w:type="table" w:default="1" w:styleId="13">
    <w:name w:val="Normal Table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7">
    <w:name w:val="toc 3"/>
    <w:basedOn w:val="1"/>
    <w:next w:val="1"/>
    <w:uiPriority w:val="0"/>
    <w:pPr>
      <w:ind w:left="840" w:leftChars="400"/>
    </w:p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0">
    <w:name w:val="toc 1"/>
    <w:basedOn w:val="1"/>
    <w:next w:val="1"/>
    <w:uiPriority w:val="0"/>
  </w:style>
  <w:style w:type="paragraph" w:styleId="11">
    <w:name w:val="toc 2"/>
    <w:basedOn w:val="1"/>
    <w:next w:val="1"/>
    <w:uiPriority w:val="0"/>
    <w:pPr>
      <w:ind w:left="420" w:leftChars="200"/>
    </w:p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Hyperlink"/>
    <w:basedOn w:val="14"/>
    <w:qFormat/>
    <w:uiPriority w:val="0"/>
    <w:rPr>
      <w:color w:val="0000FF"/>
      <w:u w:val="single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paragraph" w:customStyle="1" w:styleId="18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9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0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../NUL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14</Pages>
  <Words>8356</Words>
  <Characters>9179</Characters>
  <Paragraphs>75</Paragraphs>
  <TotalTime>10</TotalTime>
  <ScaleCrop>false</ScaleCrop>
  <LinksUpToDate>false</LinksUpToDate>
  <CharactersWithSpaces>9736</CharactersWithSpaces>
  <Application>WPS Office_6.2.0.8299_F1E327BC-269C-435d-A152-05C5408002CA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2024-05-26T15:41:00Z</dcterms:created>
  <dc:creator>OPD2201</dc:creator>
  <cp:lastModifiedBy>ぇッャ</cp:lastModifiedBy>
  <dcterms:modified xsi:type="dcterms:W3CDTF">2024-05-30T23:28:10Z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921790011C350024AD9858665CC265B7_43</vt:lpwstr>
  </property>
  <property fmtid="{D5CDD505-2E9C-101B-9397-08002B2CF9AE}" pid="3" name="KSOProductBuildVer">
    <vt:lpwstr>2052-6.2.0.8299</vt:lpwstr>
  </property>
</Properties>
</file>