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t>2</w:t>
      </w:r>
      <w:r>
        <w:rPr>
          <w:rFonts w:hint="eastAsia" w:ascii="宋体" w:hAnsi="宋体" w:eastAsia="宋体" w:cs="Times New Roman"/>
          <w:spacing w:val="0"/>
          <w:sz w:val="28"/>
          <w:szCs w:val="28"/>
        </w:rPr>
        <w:t>．</w:t>
      </w:r>
      <w:r>
        <w:rPr>
          <w:rFonts w:hint="eastAsia" w:ascii="宋体" w:hAnsi="宋体" w:eastAsia="宋体" w:cs="Times New Roman"/>
          <w:spacing w:val="0"/>
          <w:sz w:val="28"/>
          <w:szCs w:val="28"/>
        </w:rPr>
        <w:t>一家管理咨询公司为不同的客户举办人力资源管理讲座。每次讲座的内容基本上是一样的，但讲座的听课者有时是高级管理者，有时是中级管理者，有时是初级管理者。该咨询公司认为，不同层次的管理者对讲座的满意度是不同的。对听完讲座后随机抽取的不同层次管理者的满意度评分如下表所示：（评分标准为1～10,10代表非常满意，1代表非常不满意）</w:t>
      </w:r>
    </w:p>
    <w:p>
      <w:pPr>
        <w:ind w:firstLine="560" w:firstLineChars="200"/>
        <w:jc w:val="center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t>表2 管理者满意度评分数据</w:t>
      </w:r>
    </w:p>
    <w:tbl>
      <w:tblPr>
        <w:tblStyle w:val="2"/>
        <w:tblW w:w="90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1"/>
        <w:gridCol w:w="3026"/>
        <w:gridCol w:w="3025"/>
      </w:tblGrid>
      <w:tr>
        <w:trPr>
          <w:jc w:val="center"/>
        </w:trPr>
        <w:tc>
          <w:tcPr>
            <w:tcW w:w="1665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高级管理者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中级管理者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初级管理者</w:t>
            </w:r>
          </w:p>
        </w:tc>
      </w:tr>
      <w:tr>
        <w:trPr>
          <w:jc w:val="center"/>
        </w:trPr>
        <w:tc>
          <w:tcPr>
            <w:tcW w:w="1665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7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8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5</w:t>
            </w:r>
          </w:p>
        </w:tc>
      </w:tr>
      <w:tr>
        <w:trPr>
          <w:jc w:val="center"/>
        </w:trPr>
        <w:tc>
          <w:tcPr>
            <w:tcW w:w="1665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7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9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6</w:t>
            </w:r>
          </w:p>
        </w:tc>
      </w:tr>
      <w:tr>
        <w:trPr>
          <w:jc w:val="center"/>
        </w:trPr>
        <w:tc>
          <w:tcPr>
            <w:tcW w:w="1665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8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8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5</w:t>
            </w:r>
          </w:p>
        </w:tc>
      </w:tr>
      <w:tr>
        <w:trPr>
          <w:jc w:val="center"/>
        </w:trPr>
        <w:tc>
          <w:tcPr>
            <w:tcW w:w="1665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7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10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7</w:t>
            </w:r>
          </w:p>
        </w:tc>
      </w:tr>
      <w:tr>
        <w:trPr>
          <w:jc w:val="center"/>
        </w:trPr>
        <w:tc>
          <w:tcPr>
            <w:tcW w:w="1665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9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9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4</w:t>
            </w:r>
          </w:p>
        </w:tc>
      </w:tr>
      <w:tr>
        <w:trPr>
          <w:jc w:val="center"/>
        </w:trPr>
        <w:tc>
          <w:tcPr>
            <w:tcW w:w="1665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—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10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8</w:t>
            </w:r>
          </w:p>
        </w:tc>
      </w:tr>
      <w:tr>
        <w:trPr>
          <w:jc w:val="center"/>
        </w:trPr>
        <w:tc>
          <w:tcPr>
            <w:tcW w:w="1665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—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8</w:t>
            </w:r>
          </w:p>
        </w:tc>
        <w:tc>
          <w:tcPr>
            <w:tcW w:w="1668" w:type="pct"/>
            <w:noWrap w:val="0"/>
            <w:vAlign w:val="center"/>
          </w:tcPr>
          <w:p>
            <w:pPr>
              <w:ind w:firstLine="560" w:firstLineChars="200"/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pacing w:val="0"/>
                <w:sz w:val="28"/>
                <w:szCs w:val="28"/>
              </w:rPr>
              <w:t>—</w:t>
            </w:r>
          </w:p>
        </w:tc>
      </w:tr>
    </w:tbl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t>取显著性水平</w:t>
      </w:r>
      <w:r>
        <w:rPr>
          <w:rFonts w:hint="eastAsia" w:ascii="宋体" w:hAnsi="宋体" w:eastAsia="宋体" w:cs="Times New Roman"/>
          <w:spacing w:val="0"/>
          <w:sz w:val="28"/>
          <w:szCs w:val="28"/>
        </w:rPr>
        <w:object>
          <v:shape id="_x0000_i1025" o:spt="75" type="#_x0000_t75" style="height:14.25pt;width:45.1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4">
            <o:LockedField>false</o:LockedField>
          </o:OLEObject>
        </w:object>
      </w:r>
      <w:r>
        <w:rPr>
          <w:rFonts w:hint="eastAsia" w:ascii="宋体" w:hAnsi="宋体" w:eastAsia="宋体" w:cs="Times New Roman"/>
          <w:spacing w:val="0"/>
          <w:sz w:val="28"/>
          <w:szCs w:val="28"/>
        </w:rPr>
        <w:t>，检验管理者的层次不同是否导致评分的显著差异。</w:t>
      </w:r>
    </w:p>
    <w:p>
      <w:pPr>
        <w:ind w:firstLine="560" w:firstLineChars="200"/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（1）由题可知需分析三组数据，故使用方差分析法。且仅分析管理层次不同带来的差异，因此是单因素分析。使用spss实现。</w:t>
      </w:r>
    </w:p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（2）数据输入。</w:t>
      </w:r>
    </w:p>
    <w:p>
      <w:pPr>
        <w:ind w:firstLine="560" w:firstLineChars="200"/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将数据变换为两组变量。第一组变量为管理层次，值为1代表高级管理者，2代表中级管理者，3代表初级管理者。第二组变量是度量标准（评分），类型为度量型，输入数值。在excel中显示如图2.1所示。</w:t>
      </w:r>
    </w:p>
    <w:p>
      <w:pPr>
        <w:ind w:firstLine="560" w:firstLineChars="200"/>
        <w:jc w:val="center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1104900" cy="4686300"/>
            <wp:effectExtent l="0" t="0" r="1270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图2.1 Excel中分组数据</w:t>
      </w:r>
    </w:p>
    <w:p>
      <w:pPr>
        <w:jc w:val="both"/>
        <w:rPr>
          <w:rFonts w:hint="default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将数据导入spss中，标明变量类型并将变量类型代表详细标注。如图2.2、图2.3和图2.4</w:t>
      </w:r>
    </w:p>
    <w:p>
      <w:pPr>
        <w:ind w:firstLine="560" w:firstLineChars="200"/>
        <w:jc w:val="center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4581525" cy="2886075"/>
            <wp:effectExtent l="0" t="0" r="1587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图2.2 标注变量管理层次的值</w:t>
      </w:r>
    </w:p>
    <w:p>
      <w:pPr>
        <w:ind w:firstLine="560" w:firstLineChars="200"/>
        <w:jc w:val="center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5268595" cy="575945"/>
            <wp:effectExtent l="0" t="0" r="1460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图2.3 标明变量</w:t>
      </w:r>
    </w:p>
    <w:p>
      <w:pPr>
        <w:ind w:firstLine="560" w:firstLineChars="200"/>
        <w:jc w:val="center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2228850" cy="4991100"/>
            <wp:effectExtent l="0" t="0" r="635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图2.4 数据集导入</w:t>
      </w:r>
    </w:p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（3）数据清洗和准备。</w:t>
      </w:r>
    </w:p>
    <w:p>
      <w:pPr>
        <w:ind w:firstLine="560" w:firstLineChars="200"/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检查数据存在缺失值，采用多重插补方法。</w:t>
      </w:r>
    </w:p>
    <w:p>
      <w:pPr>
        <w:ind w:firstLine="560" w:firstLineChars="200"/>
        <w:jc w:val="center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3505200" cy="5743575"/>
            <wp:effectExtent l="0" t="0" r="0" b="222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图2.5 多重插补法</w:t>
      </w:r>
    </w:p>
    <w:p>
      <w:pPr>
        <w:ind w:firstLine="560" w:firstLineChars="200"/>
        <w:jc w:val="center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5268595" cy="5243830"/>
            <wp:effectExtent l="0" t="0" r="14605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4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图2.6 保存修改后数据集</w:t>
      </w:r>
    </w:p>
    <w:p>
      <w:pPr>
        <w:ind w:firstLine="560" w:firstLineChars="200"/>
        <w:jc w:val="center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5272405" cy="873760"/>
            <wp:effectExtent l="0" t="0" r="10795" b="152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图2.7 修改后数据集变量显示</w:t>
      </w:r>
    </w:p>
    <w:p>
      <w:pPr>
        <w:ind w:firstLine="560" w:firstLineChars="200"/>
        <w:jc w:val="center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3143250" cy="65532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图2.8 修改后数据集数据显示</w:t>
      </w:r>
    </w:p>
    <w:p>
      <w:pPr>
        <w:ind w:firstLine="560" w:firstLineChars="200"/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（4）方差分析。分析——比较均值——单因素分析——因变量（评分）、因子（管理层次）——两两比较（LSD）——选项描述性——确定。</w:t>
      </w:r>
    </w:p>
    <w:p>
      <w:pPr>
        <w:ind w:firstLine="560" w:firstLineChars="200"/>
        <w:jc w:val="center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3829050" cy="5886450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图2.9 单因素分析</w:t>
      </w:r>
    </w:p>
    <w:p>
      <w:pPr>
        <w:ind w:firstLine="560" w:firstLineChars="200"/>
        <w:jc w:val="center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4819650" cy="2524125"/>
            <wp:effectExtent l="0" t="0" r="6350" b="158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图2.10 因变量、因子选择</w:t>
      </w:r>
    </w:p>
    <w:p>
      <w:pPr>
        <w:ind w:firstLine="560" w:firstLineChars="200"/>
        <w:jc w:val="center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2752725" cy="3162300"/>
            <wp:effectExtent l="0" t="0" r="15875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图2.11 多项式对比</w:t>
      </w:r>
    </w:p>
    <w:p>
      <w:pPr>
        <w:ind w:firstLine="560" w:firstLineChars="200"/>
        <w:jc w:val="center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5269230" cy="3196590"/>
            <wp:effectExtent l="0" t="0" r="1397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图2.12 两两比较（LSD）</w:t>
      </w:r>
    </w:p>
    <w:p>
      <w:pPr>
        <w:ind w:firstLine="560" w:firstLineChars="200"/>
        <w:jc w:val="center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2752725" cy="3362325"/>
            <wp:effectExtent l="0" t="0" r="15875" b="158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图2.13 选项描述性</w:t>
      </w:r>
    </w:p>
    <w:p>
      <w:pPr>
        <w:numPr>
          <w:ilvl w:val="0"/>
          <w:numId w:val="1"/>
        </w:num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结果分析。</w:t>
      </w:r>
    </w:p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数据的详细描述结果如图2.14。</w:t>
      </w:r>
    </w:p>
    <w:p>
      <w:pPr>
        <w:ind w:firstLine="560" w:firstLineChars="200"/>
        <w:jc w:val="center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5270500" cy="3923665"/>
            <wp:effectExtent l="0" t="0" r="12700" b="133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图2.14 数据的详细描述</w:t>
      </w:r>
    </w:p>
    <w:p>
      <w:pPr>
        <w:ind w:firstLine="560" w:firstLineChars="200"/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由图中可以看出相较于插补后的数据，原始数据的标准方差和标准误差都相对较小，所以可以直接根据原始数据生成的结果进行方差分析。</w:t>
      </w:r>
    </w:p>
    <w:p>
      <w:pPr>
        <w:ind w:firstLine="560" w:firstLineChars="200"/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方差分析结果如图2.15。</w:t>
      </w:r>
    </w:p>
    <w:p>
      <w:pPr>
        <w:ind w:firstLine="560" w:firstLineChars="200"/>
        <w:jc w:val="both"/>
        <w:rPr>
          <w:rFonts w:hint="eastAsia" w:ascii="宋体" w:hAnsi="宋体" w:eastAsia="宋体" w:cs="Times New Roman"/>
          <w:spacing w:val="0"/>
          <w:sz w:val="28"/>
          <w:szCs w:val="28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</w:rPr>
        <w:drawing>
          <wp:inline distT="0" distB="0" distL="114300" distR="114300">
            <wp:extent cx="5273675" cy="6643370"/>
            <wp:effectExtent l="0" t="0" r="9525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4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default" w:ascii="宋体" w:hAnsi="宋体" w:eastAsia="宋体" w:cs="Times New Roman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4"/>
          <w:szCs w:val="24"/>
          <w:lang w:val="en-US" w:eastAsia="zh-CN"/>
        </w:rPr>
        <w:t>图2.15 方差分析表</w:t>
      </w:r>
    </w:p>
    <w:p>
      <w:pPr>
        <w:ind w:firstLine="560" w:firstLineChars="200"/>
        <w:rPr>
          <w:rFonts w:hint="default" w:ascii="宋体" w:hAnsi="宋体" w:eastAsia="宋体" w:cs="Times New Roman"/>
          <w:spacing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分析原始数据中显著性值为0.001远小于0.05，且插补后所有数据集的显著性值都小于0.05，说明</w:t>
      </w:r>
      <w:r>
        <w:rPr>
          <w:rFonts w:hint="eastAsia" w:ascii="宋体" w:hAnsi="宋体" w:eastAsia="宋体" w:cs="Times New Roman"/>
          <w:spacing w:val="0"/>
          <w:sz w:val="28"/>
          <w:szCs w:val="28"/>
        </w:rPr>
        <w:t>管理者的层次不同导致评分的显著差异</w:t>
      </w:r>
      <w:r>
        <w:rPr>
          <w:rFonts w:hint="eastAsia" w:ascii="宋体" w:hAnsi="宋体" w:eastAsia="宋体" w:cs="Times New Roman"/>
          <w:spacing w:val="0"/>
          <w:sz w:val="28"/>
          <w:szCs w:val="28"/>
          <w:lang w:eastAsia="zh-CN"/>
        </w:rPr>
        <w:t>，</w:t>
      </w:r>
      <w:r>
        <w:rPr>
          <w:rFonts w:hint="eastAsia" w:ascii="宋体" w:hAnsi="宋体" w:eastAsia="宋体" w:cs="Times New Roman"/>
          <w:spacing w:val="0"/>
          <w:sz w:val="28"/>
          <w:szCs w:val="28"/>
          <w:lang w:val="en-US" w:eastAsia="zh-CN"/>
        </w:rPr>
        <w:t>对评分分值产生显著影响。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FAEFCB"/>
    <w:multiLevelType w:val="singleLevel"/>
    <w:tmpl w:val="CFFAEFCB"/>
    <w:lvl w:ilvl="0" w:tentative="0">
      <w:start w:val="5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DF3074"/>
    <w:rsid w:val="1DDF3074"/>
    <w:rsid w:val="75740BA0"/>
    <w:rsid w:val="F9FFD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宋体" w:asciiTheme="minorHAnsi" w:hAnsiTheme="minorHAnsi" w:eastAsiaTheme="minorEastAsia"/>
      <w:spacing w:val="-23"/>
      <w:kern w:val="2"/>
      <w:sz w:val="28"/>
      <w:szCs w:val="28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Office_6.2.0.8299_F1E327BC-269C-435d-A152-05C5408002CA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2024-05-08T02:59:00Z</dcterms:created>
  <dc:creator>ぇッャ</dc:creator>
  <cp:lastModifiedBy>ぇッャ</cp:lastModifiedBy>
  <dcterms:modified xsi:type="dcterms:W3CDTF">2024-05-07T21:42:45Z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2052-6.2.0.8299</vt:lpwstr>
  </property>
  <property fmtid="{D5CDD505-2E9C-101B-9397-08002B2CF9AE}" pid="3" name="ICV">
    <vt:lpwstr>0EFE66FFFAE97E4994093A661814801D_41</vt:lpwstr>
  </property>
</Properties>
</file>