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MBAA-001</w:t>
        <w:br/>
        <w:t>MemoryBox Application Architecture</w:t>
      </w:r>
    </w:p>
    <w:p>
      <w:pPr>
        <w:jc w:val="center"/>
      </w:pPr>
      <w:r>
        <w:rPr>
          <w:b/>
        </w:rPr>
        <w:t>Version 0.1 | Founder Architecture Decisions Incorporated</w:t>
      </w:r>
    </w:p>
    <w:p>
      <w:pPr>
        <w:jc w:val="center"/>
      </w:pPr>
      <w:r>
        <w:t>Application architecture bridging UX, Experience Flows, Domain Model, capability providers, and the Cursor Build Specification</w:t>
      </w:r>
    </w:p>
    <w:p>
      <w:pPr>
        <w:pStyle w:val="Heading1"/>
      </w:pPr>
      <w:r>
        <w:t>1. Purpose</w:t>
      </w:r>
    </w:p>
    <w:p>
      <w:r>
        <w:t>MBAA-001 defines the application structure required to deliver the MemoryBox user experience and Experience Validation Scenarios while preserving the MemoryBox domain model, trust model, and local-first philosophy.</w:t>
      </w:r>
    </w:p>
    <w:p>
      <w:r>
        <w:t>It defines application boundaries, responsibilities, major modules, provider interfaces, processing paths, storage responsibilities, and the architectural decisions that should constrain implementation.</w:t>
      </w:r>
    </w:p>
    <w:p>
      <w:r>
        <w:t>MBAA-001 is not a detailed code specification. It is the bridge from product architecture to the Cursor Build Specification.</w:t>
      </w:r>
    </w:p>
    <w:p>
      <w:pPr>
        <w:pStyle w:val="Heading1"/>
      </w:pPr>
      <w:r>
        <w:t>2. Relationship to Existing MemoryBox Specifications</w:t>
      </w:r>
    </w:p>
    <w:p>
      <w:pPr>
        <w:pStyle w:val="ListBullet"/>
      </w:pPr>
      <w:r>
        <w:t>MBEVS-001 defines what users must be able to accomplish.</w:t>
      </w:r>
    </w:p>
    <w:p>
      <w:pPr>
        <w:pStyle w:val="ListBullet"/>
      </w:pPr>
      <w:r>
        <w:t>MBUX-001 defines the reusable UX components, screens, and interaction architecture.</w:t>
      </w:r>
    </w:p>
    <w:p>
      <w:pPr>
        <w:pStyle w:val="ListBullet"/>
      </w:pPr>
      <w:r>
        <w:t>MBDM-001 defines what MemoryBox believes exists and how those domain concepts relate.</w:t>
      </w:r>
    </w:p>
    <w:p>
      <w:pPr>
        <w:pStyle w:val="ListBullet"/>
      </w:pPr>
      <w:r>
        <w:t>MBEF-001 defines the reusable multi-step flows that complete user outcomes.</w:t>
      </w:r>
    </w:p>
    <w:p>
      <w:pPr>
        <w:pStyle w:val="ListBullet"/>
      </w:pPr>
      <w:r>
        <w:t>MBAA-001 defines the application modules and technical boundaries that deliver those flows.</w:t>
      </w:r>
    </w:p>
    <w:p>
      <w:pPr>
        <w:pStyle w:val="ListBullet"/>
      </w:pPr>
      <w:r>
        <w:t>The subsequent Cursor Build Specification will convert these architectural modules and flows into buildable increments, interfaces, acceptance criteria, and implementation tasks.</w:t>
      </w:r>
    </w:p>
    <w:p>
      <w:r>
        <w:rPr>
          <w:b/>
        </w:rPr>
        <w:t xml:space="preserve">Traceability: </w:t>
      </w:r>
      <w:r>
        <w:t>EVS -&gt; Experience Flow -&gt; UX Screen/Component -&gt; Domain Objects -&gt; Application Service/Module -&gt; Build Requirement</w:t>
      </w:r>
    </w:p>
    <w:p>
      <w:pPr>
        <w:pStyle w:val="Heading1"/>
      </w:pPr>
      <w:r>
        <w:t>3. Architectural Position</w:t>
      </w:r>
    </w:p>
    <w:p>
      <w:r>
        <w:rPr>
          <w:b/>
        </w:rPr>
        <w:t xml:space="preserve">Core principle: </w:t>
      </w:r>
      <w:r>
        <w:t>MemoryBox owns the experience, knowledge model, provenance, orchestration, and durable family knowledge. Specialized systems provide capabilities.</w:t>
      </w:r>
    </w:p>
    <w:p>
      <w:r>
        <w:t>Immich, Whisper, OCR engines, LLMs, email/calendar ingest, music services, and future providers are capability providers underneath MemoryBox. Their schemas and APIs must not become the MemoryBox product model.</w:t>
      </w:r>
    </w:p>
    <w:p>
      <w:r>
        <w:t>MemoryBox-native concepts such as Person, Place, Event, Artifact, Story, Journal Entry, Relationship, Assertion, Evidence, Provenance, and Review &amp; Learn remain under MemoryBox control.</w:t>
      </w:r>
    </w:p>
    <w:p>
      <w:pPr>
        <w:pStyle w:val="Heading1"/>
      </w:pPr>
      <w:r>
        <w:t>4. Founder Architecture Decisions - Locked</w:t>
      </w:r>
    </w:p>
    <w:p>
      <w:pPr>
        <w:pStyle w:val="Heading2"/>
      </w:pPr>
      <w:r>
        <w:t>Q1 - Deployment structure</w:t>
      </w:r>
    </w:p>
    <w:p>
      <w:r>
        <w:t>P1 uses a modular monolith, not microservices. MemoryBox is one deployable application/backend with strong internal module boundaries. Modules may be separated later if scale, deployment, isolation, or operational needs justify it.</w:t>
      </w:r>
    </w:p>
    <w:p>
      <w:pPr>
        <w:pStyle w:val="Heading2"/>
      </w:pPr>
      <w:r>
        <w:t>Q2 - Authoritative domain database</w:t>
      </w:r>
    </w:p>
    <w:p>
      <w:r>
        <w:t>MemoryBox uses one authoritative relational database for its domain model, recommended as PostgreSQL. External systems may remain authoritative for their original source material, but MemoryBox owns its entities, relationships, assertions, provenance, processing state, and durable knowledge.</w:t>
      </w:r>
    </w:p>
    <w:p>
      <w:pPr>
        <w:pStyle w:val="Heading2"/>
      </w:pPr>
      <w:r>
        <w:t>Q3 - Originals: hybrid copy/reference model</w:t>
      </w:r>
    </w:p>
    <w:p>
      <w:r>
        <w:t>MemoryBox supports both references to trusted existing libraries and MemoryBox-managed preservation of imported originals. Source/provenance records identify where originals came from and where the authoritative original is maintained.</w:t>
      </w:r>
    </w:p>
    <w:p>
      <w:pPr>
        <w:pStyle w:val="Heading2"/>
      </w:pPr>
      <w:r>
        <w:t>Q4 - Provider abstraction</w:t>
      </w:r>
    </w:p>
    <w:p>
      <w:r>
        <w:t>External capability providers are accessed through MemoryBox-defined interfaces/adapters. Product logic must not be scattered with provider-specific calls. Immich, Whisper, OCR engines, LLMs, music providers, and other services should be replaceable behind stable interfaces.</w:t>
      </w:r>
    </w:p>
    <w:p>
      <w:pPr>
        <w:pStyle w:val="Heading2"/>
      </w:pPr>
      <w:r>
        <w:t>Q5 - Central query planning</w:t>
      </w:r>
    </w:p>
    <w:p>
      <w:r>
        <w:t>Global Ask and retrieval use a central Query Planner/Retrieval Orchestrator that decomposes requests and routes work across structured, text, semantic, temporal, and media retrieval rather than requiring UX code to understand every source.</w:t>
      </w:r>
    </w:p>
    <w:p>
      <w:pPr>
        <w:pStyle w:val="Heading2"/>
      </w:pPr>
      <w:r>
        <w:t>Q6 - Background processing</w:t>
      </w:r>
    </w:p>
    <w:p>
      <w:r>
        <w:t>OCR, STT, face processing, speaker processing, video analysis, embeddings, reindexing, imports, backups, and similar expensive work run as background jobs. The UX reports processing state rather than blocking the user.</w:t>
      </w:r>
    </w:p>
    <w:p>
      <w:pPr>
        <w:pStyle w:val="Heading2"/>
      </w:pPr>
      <w:r>
        <w:t>Q7 - Local-first with cloud leverage</w:t>
      </w:r>
    </w:p>
    <w:p>
      <w:r>
        <w:t>Core archive access, domain knowledge, identity/provenance, and useful retrieval must function locally. The architecture must also be capable of taking advantage of cloud environments for high-end LLMs, remote access, backup, collaboration, specialized AI, scalable compute, and future hosted MemoryBox offerings. Cloud is an enhancement/deployment option, not a requirement for understanding the family archive.</w:t>
      </w:r>
    </w:p>
    <w:p>
      <w:pPr>
        <w:pStyle w:val="Heading1"/>
      </w:pPr>
      <w:r>
        <w:t>5. Architectural Style - Modular Monolith</w:t>
      </w:r>
    </w:p>
    <w:p>
      <w:r>
        <w:t>The P1 MemoryBox backend should be implemented as a modular monolith: one application boundary with explicit internal modules, contracts, and ownership.</w:t>
      </w:r>
    </w:p>
    <w:p>
      <w:r>
        <w:t>This keeps deployment, debugging, upgrades, local installation, testing, and maintenance practical while avoiding premature distributed-system complexity.</w:t>
      </w:r>
    </w:p>
    <w:p>
      <w:pPr>
        <w:pStyle w:val="ListBullet"/>
      </w:pPr>
      <w:r>
        <w:t>Modules communicate through explicit application interfaces rather than direct cross-module database manipulation.</w:t>
      </w:r>
    </w:p>
    <w:p>
      <w:pPr>
        <w:pStyle w:val="ListBullet"/>
      </w:pPr>
      <w:r>
        <w:t>Domain rules remain inside the module that owns them.</w:t>
      </w:r>
    </w:p>
    <w:p>
      <w:pPr>
        <w:pStyle w:val="ListBullet"/>
      </w:pPr>
      <w:r>
        <w:t>Provider-specific code is isolated in adapters.</w:t>
      </w:r>
    </w:p>
    <w:p>
      <w:pPr>
        <w:pStyle w:val="ListBullet"/>
      </w:pPr>
      <w:r>
        <w:t>Background workers may run as separate processes when operationally useful without changing the logical modular-monolith model.</w:t>
      </w:r>
    </w:p>
    <w:p>
      <w:pPr>
        <w:pStyle w:val="ListBullet"/>
      </w:pPr>
      <w:r>
        <w:t>Modules should be designed so a future cloud deployment can scale selected workloads independently if needed.</w:t>
      </w:r>
    </w:p>
    <w:p>
      <w:pPr>
        <w:pStyle w:val="ListBullet"/>
      </w:pPr>
      <w:r>
        <w:t>Do not introduce microservices solely to create architectural purity.</w:t>
      </w:r>
    </w:p>
    <w:p>
      <w:pPr>
        <w:pStyle w:val="Heading1"/>
      </w:pPr>
      <w:r>
        <w:t>6. Logical Application Layers</w:t>
      </w:r>
    </w:p>
    <w:tbl>
      <w:tblPr>
        <w:tblStyle w:val="TableGrid"/>
        <w:tblW w:type="auto" w:w="0"/>
        <w:jc w:val="center"/>
        <w:tblLook w:firstColumn="1" w:firstRow="1" w:lastColumn="0" w:lastRow="0" w:noHBand="0" w:noVBand="1" w:val="04A0"/>
      </w:tblPr>
      <w:tblGrid>
        <w:gridCol w:w="5083"/>
        <w:gridCol w:w="5083"/>
      </w:tblGrid>
      <w:tr>
        <w:tc>
          <w:tcPr>
            <w:tcW w:type="dxa" w:w="5083"/>
          </w:tcPr>
          <w:p>
            <w:r>
              <w:t>Layer</w:t>
            </w:r>
          </w:p>
        </w:tc>
        <w:tc>
          <w:tcPr>
            <w:tcW w:type="dxa" w:w="5083"/>
          </w:tcPr>
          <w:p>
            <w:r>
              <w:t>Responsibility</w:t>
            </w:r>
          </w:p>
        </w:tc>
      </w:tr>
      <w:tr>
        <w:tc>
          <w:tcPr>
            <w:tcW w:type="dxa" w:w="5083"/>
          </w:tcPr>
          <w:p>
            <w:r>
              <w:t>1. MemoryBox UX</w:t>
            </w:r>
          </w:p>
        </w:tc>
        <w:tc>
          <w:tcPr>
            <w:tcW w:type="dxa" w:w="5083"/>
          </w:tcPr>
          <w:p>
            <w:r>
              <w:t>Home/Ask, Context Explorer, Gallery, Timeline, Object Viewer, Stories, Journal, Artifact views, Review &amp; Learn, capture/import, trust/evidence views.</w:t>
            </w:r>
          </w:p>
        </w:tc>
      </w:tr>
      <w:tr>
        <w:tc>
          <w:tcPr>
            <w:tcW w:type="dxa" w:w="5083"/>
          </w:tcPr>
          <w:p>
            <w:r>
              <w:t>2. Experience / Application Orchestration</w:t>
            </w:r>
          </w:p>
        </w:tc>
        <w:tc>
          <w:tcPr>
            <w:tcW w:type="dxa" w:w="5083"/>
          </w:tcPr>
          <w:p>
            <w:r>
              <w:t>Executes MBEF flows, maintains current context, coordinates multi-step actions, drafts/resumption, next-action suggestions, permissions/confirmation, and flow completion.</w:t>
            </w:r>
          </w:p>
        </w:tc>
      </w:tr>
      <w:tr>
        <w:tc>
          <w:tcPr>
            <w:tcW w:type="dxa" w:w="5083"/>
          </w:tcPr>
          <w:p>
            <w:r>
              <w:t>3. Memory Knowledge Services</w:t>
            </w:r>
          </w:p>
        </w:tc>
        <w:tc>
          <w:tcPr>
            <w:tcW w:type="dxa" w:w="5083"/>
          </w:tcPr>
          <w:p>
            <w:r>
              <w:t>Owns People/Identity, Places, Events, Artifacts, Stories, Journal, Relationships, Assertions, Evidence, annotations, confidence, provenance, and authority.</w:t>
            </w:r>
          </w:p>
        </w:tc>
      </w:tr>
      <w:tr>
        <w:tc>
          <w:tcPr>
            <w:tcW w:type="dxa" w:w="5083"/>
          </w:tcPr>
          <w:p>
            <w:r>
              <w:t>4. Retrieval &amp; Reasoning</w:t>
            </w:r>
          </w:p>
        </w:tc>
        <w:tc>
          <w:tcPr>
            <w:tcW w:type="dxa" w:w="5083"/>
          </w:tcPr>
          <w:p>
            <w:r>
              <w:t>Intent/context interpretation, query planning, entity resolution, cross-source retrieval, ranking, temporal reasoning, evidence assembly, synthesis, confidence/contradiction handling.</w:t>
            </w:r>
          </w:p>
        </w:tc>
      </w:tr>
      <w:tr>
        <w:tc>
          <w:tcPr>
            <w:tcW w:type="dxa" w:w="5083"/>
          </w:tcPr>
          <w:p>
            <w:r>
              <w:t>5. Media Intelligence</w:t>
            </w:r>
          </w:p>
        </w:tc>
        <w:tc>
          <w:tcPr>
            <w:tcW w:type="dxa" w:w="5083"/>
          </w:tcPr>
          <w:p>
            <w:r>
              <w:t>Face recognition, known-person matching, speaker diarization/recognition, STT, OCR, video/frame indexing, scene/object/activity analysis, metadata extraction.</w:t>
            </w:r>
          </w:p>
        </w:tc>
      </w:tr>
      <w:tr>
        <w:tc>
          <w:tcPr>
            <w:tcW w:type="dxa" w:w="5083"/>
          </w:tcPr>
          <w:p>
            <w:r>
              <w:t>6. Source Adapters</w:t>
            </w:r>
          </w:p>
        </w:tc>
        <w:tc>
          <w:tcPr>
            <w:tcW w:type="dxa" w:w="5083"/>
          </w:tcPr>
          <w:p>
            <w:r>
              <w:t>Immich, email/MBOX/Gmail ingest, Calendar, SMS/archive imports, filesystem/uploads, music services, Marvin Capture, future social-media sources.</w:t>
            </w:r>
          </w:p>
        </w:tc>
      </w:tr>
      <w:tr>
        <w:tc>
          <w:tcPr>
            <w:tcW w:type="dxa" w:w="5083"/>
          </w:tcPr>
          <w:p>
            <w:r>
              <w:t>7. Persistence &amp; Indexing</w:t>
            </w:r>
          </w:p>
        </w:tc>
        <w:tc>
          <w:tcPr>
            <w:tcW w:type="dxa" w:w="5083"/>
          </w:tcPr>
          <w:p>
            <w:r>
              <w:t>PostgreSQL domain store, original/reference registry, full-text index, semantic/vector index, media indexes, processing/job state, caches.</w:t>
            </w:r>
          </w:p>
        </w:tc>
      </w:tr>
      <w:tr>
        <w:tc>
          <w:tcPr>
            <w:tcW w:type="dxa" w:w="5083"/>
          </w:tcPr>
          <w:p>
            <w:r>
              <w:t>8. Platform Services</w:t>
            </w:r>
          </w:p>
        </w:tc>
        <w:tc>
          <w:tcPr>
            <w:tcW w:type="dxa" w:w="5083"/>
          </w:tcPr>
          <w:p>
            <w:r>
              <w:t>Authentication/authorization, configuration, background jobs, notifications, logging/audit, backup/restore, health/telemetry, deployment/runtime services.</w:t>
            </w:r>
          </w:p>
        </w:tc>
      </w:tr>
    </w:tbl>
    <w:p>
      <w:pPr>
        <w:pStyle w:val="Heading1"/>
      </w:pPr>
      <w:r>
        <w:t>7. MemoryBox Experience Orchestrator</w:t>
      </w:r>
    </w:p>
    <w:p>
      <w:r>
        <w:t>A first-class Experience Orchestrator coordinates user intent with MBEF flows and domain services. It is the application-level conductor, not the source of truth for every domain rule.</w:t>
      </w:r>
    </w:p>
    <w:p>
      <w:r>
        <w:rPr>
          <w:b/>
        </w:rPr>
        <w:t xml:space="preserve">Inputs: </w:t>
      </w:r>
      <w:r>
        <w:t>User request, current UX context, owner/user identity, conversation context, current flow state, and relevant permissions.</w:t>
      </w:r>
    </w:p>
    <w:p>
      <w:r>
        <w:rPr>
          <w:b/>
        </w:rPr>
        <w:t xml:space="preserve">Responsibilities: </w:t>
      </w:r>
      <w:r>
        <w:t>Determine the applicable Experience Flow; resolve context; call Query Planner and domain services; coordinate confirmations, corrections, saves, Undo, resumable drafts, Review &amp; Learn transitions, and optional next actions.</w:t>
      </w:r>
    </w:p>
    <w:p>
      <w:r>
        <w:rPr>
          <w:b/>
        </w:rPr>
        <w:t xml:space="preserve">Outputs: </w:t>
      </w:r>
      <w:r>
        <w:t>UX-ready result state, next permitted actions, evidence/confidence state, flow completion status, and durable changes delegated to the appropriate domain service.</w:t>
      </w:r>
    </w:p>
    <w:p>
      <w:r>
        <w:t>Example: 'Show me Dad smiling at Christmas' should be decomposed into a Person context, observable condition, holiday/time context, media type, retrieval plan, and gallery presentation. It should not be blindly delegated as an opaque string to a single external system.</w:t>
      </w:r>
    </w:p>
    <w:p>
      <w:pPr>
        <w:pStyle w:val="Heading1"/>
      </w:pPr>
      <w:r>
        <w:t>8. MemoryBox-Native Domain Services</w:t>
      </w:r>
    </w:p>
    <w:p>
      <w:pPr>
        <w:pStyle w:val="Heading2"/>
      </w:pPr>
      <w:r>
        <w:t>Person &amp; Identity Service</w:t>
      </w:r>
    </w:p>
    <w:p>
      <w:r>
        <w:t>Person records, aliases, face/voice/contact identities, unresolved candidates, identity assertions, repeated merges, negative identity evidence, and reindex triggers.</w:t>
      </w:r>
    </w:p>
    <w:p>
      <w:pPr>
        <w:pStyle w:val="Heading2"/>
      </w:pPr>
      <w:r>
        <w:t>Place Service</w:t>
      </w:r>
    </w:p>
    <w:p>
      <w:r>
        <w:t>Meaningful places, aliases, coordinates/addresses, time-aware place meaning, associations and evidence.</w:t>
      </w:r>
    </w:p>
    <w:p>
      <w:pPr>
        <w:pStyle w:val="Heading2"/>
      </w:pPr>
      <w:r>
        <w:t>Event Service</w:t>
      </w:r>
    </w:p>
    <w:p>
      <w:r>
        <w:t>Events across different granularities, parent/child event relationships, dates/ranges, participants, places and supporting evidence.</w:t>
      </w:r>
    </w:p>
    <w:p>
      <w:pPr>
        <w:pStyle w:val="Heading2"/>
      </w:pPr>
      <w:r>
        <w:t>Artifact Service</w:t>
      </w:r>
    </w:p>
    <w:p>
      <w:r>
        <w:t>Cigar-box things, digital representations, descriptions, ownership/history, unresolved artifacts, associations and related Stories.</w:t>
      </w:r>
    </w:p>
    <w:p>
      <w:pPr>
        <w:pStyle w:val="Heading2"/>
      </w:pPr>
      <w:r>
        <w:t>Story Service</w:t>
      </w:r>
    </w:p>
    <w:p>
      <w:r>
        <w:t>Owner-saved Stories, narrator role, original voice, STT transcript, evidence set, confidence-at-save, edits/versions and owner removal.</w:t>
      </w:r>
    </w:p>
    <w:p>
      <w:pPr>
        <w:pStyle w:val="Heading2"/>
      </w:pPr>
      <w:r>
        <w:t>Journal Service</w:t>
      </w:r>
    </w:p>
    <w:p>
      <w:r>
        <w:t>Journal entries, prompt/channel provenance, original voice/attachments, STT/OCR, time/context associations, versions and search indexing.</w:t>
      </w:r>
    </w:p>
    <w:p>
      <w:pPr>
        <w:pStyle w:val="Heading2"/>
      </w:pPr>
      <w:r>
        <w:t>Relationship &amp; Assertion Service</w:t>
      </w:r>
    </w:p>
    <w:p>
      <w:r>
        <w:t>Domain relationships, assertions, supporting/contradicting evidence, authority, confidence, correction history and provenance.</w:t>
      </w:r>
    </w:p>
    <w:p>
      <w:pPr>
        <w:pStyle w:val="Heading2"/>
      </w:pPr>
      <w:r>
        <w:t>Evidence &amp; Provenance Service</w:t>
      </w:r>
    </w:p>
    <w:p>
      <w:r>
        <w:t>Evidence spans/items, source lineage, original references, derived OCR/STT/metadata links, authority and explainability.</w:t>
      </w:r>
    </w:p>
    <w:p>
      <w:pPr>
        <w:pStyle w:val="Heading2"/>
      </w:pPr>
      <w:r>
        <w:t>Review &amp; Learn Service</w:t>
      </w:r>
    </w:p>
    <w:p>
      <w:r>
        <w:t>Ranked unresolved identities, uncertain places/dates, conflicts, candidate relationships, teaching opportunities, defer/resolve state and learning-session prioritization.</w:t>
      </w:r>
    </w:p>
    <w:p>
      <w:pPr>
        <w:pStyle w:val="Heading1"/>
      </w:pPr>
      <w:r>
        <w:t>9. Query Planner and Retrieval Architecture</w:t>
      </w:r>
    </w:p>
    <w:p>
      <w:r>
        <w:t>MemoryBox should not use one universal RAG index as the answer to every retrieval problem. Different questions require different retrieval modes that the Query Planner combines.</w:t>
      </w:r>
    </w:p>
    <w:tbl>
      <w:tblPr>
        <w:tblStyle w:val="TableGrid"/>
        <w:tblW w:type="auto" w:w="0"/>
        <w:tblLook w:firstColumn="1" w:firstRow="1" w:lastColumn="0" w:lastRow="0" w:noHBand="0" w:noVBand="1" w:val="04A0"/>
      </w:tblPr>
      <w:tblGrid>
        <w:gridCol w:w="5083"/>
        <w:gridCol w:w="5083"/>
      </w:tblGrid>
      <w:tr>
        <w:tc>
          <w:tcPr>
            <w:tcW w:type="dxa" w:w="5083"/>
          </w:tcPr>
          <w:p>
            <w:r>
              <w:t>Retrieval Mode</w:t>
            </w:r>
          </w:p>
        </w:tc>
        <w:tc>
          <w:tcPr>
            <w:tcW w:type="dxa" w:w="5083"/>
          </w:tcPr>
          <w:p>
            <w:r>
              <w:t>Use</w:t>
            </w:r>
          </w:p>
        </w:tc>
      </w:tr>
      <w:tr>
        <w:tc>
          <w:tcPr>
            <w:tcW w:type="dxa" w:w="5083"/>
          </w:tcPr>
          <w:p>
            <w:r>
              <w:t>Structured retrieval</w:t>
            </w:r>
          </w:p>
        </w:tc>
        <w:tc>
          <w:tcPr>
            <w:tcW w:type="dxa" w:w="5083"/>
          </w:tcPr>
          <w:p>
            <w:r>
              <w:t>People, relationships, dates, places, event membership, artifact ownership, aliases, saved Story metadata.</w:t>
            </w:r>
          </w:p>
        </w:tc>
      </w:tr>
      <w:tr>
        <w:tc>
          <w:tcPr>
            <w:tcW w:type="dxa" w:w="5083"/>
          </w:tcPr>
          <w:p>
            <w:r>
              <w:t>Full-text retrieval</w:t>
            </w:r>
          </w:p>
        </w:tc>
        <w:tc>
          <w:tcPr>
            <w:tcW w:type="dxa" w:w="5083"/>
          </w:tcPr>
          <w:p>
            <w:r>
              <w:t>Email, SMS, OCR, STT transcripts, Journal entries, Stories, documents, recipes, annotations.</w:t>
            </w:r>
          </w:p>
        </w:tc>
      </w:tr>
      <w:tr>
        <w:tc>
          <w:tcPr>
            <w:tcW w:type="dxa" w:w="5083"/>
          </w:tcPr>
          <w:p>
            <w:r>
              <w:t>Semantic/vector retrieval</w:t>
            </w:r>
          </w:p>
        </w:tc>
        <w:tc>
          <w:tcPr>
            <w:tcW w:type="dxa" w:w="5083"/>
          </w:tcPr>
          <w:p>
            <w:r>
              <w:t>Narratives, communications, transcripts, captions and other text where conceptual similarity improves recall.</w:t>
            </w:r>
          </w:p>
        </w:tc>
      </w:tr>
      <w:tr>
        <w:tc>
          <w:tcPr>
            <w:tcW w:type="dxa" w:w="5083"/>
          </w:tcPr>
          <w:p>
            <w:r>
              <w:t>Media retrieval</w:t>
            </w:r>
          </w:p>
        </w:tc>
        <w:tc>
          <w:tcPr>
            <w:tcW w:type="dxa" w:w="5083"/>
          </w:tcPr>
          <w:p>
            <w:r>
              <w:t>Faces, known-person matches, visual objects/scenes, video frames, speech spans, speaker matches.</w:t>
            </w:r>
          </w:p>
        </w:tc>
      </w:tr>
      <w:tr>
        <w:tc>
          <w:tcPr>
            <w:tcW w:type="dxa" w:w="5083"/>
          </w:tcPr>
          <w:p>
            <w:r>
              <w:t>Temporal retrieval</w:t>
            </w:r>
          </w:p>
        </w:tc>
        <w:tc>
          <w:tcPr>
            <w:tcW w:type="dxa" w:w="5083"/>
          </w:tcPr>
          <w:p>
            <w:r>
              <w:t>Exact dates, ranges, decades, seasons, holidays, age-at-event, before/after/around-this-time navigation.</w:t>
            </w:r>
          </w:p>
        </w:tc>
      </w:tr>
      <w:tr>
        <w:tc>
          <w:tcPr>
            <w:tcW w:type="dxa" w:w="5083"/>
          </w:tcPr>
          <w:p>
            <w:r>
              <w:t>Source-aware retrieval</w:t>
            </w:r>
          </w:p>
        </w:tc>
        <w:tc>
          <w:tcPr>
            <w:tcW w:type="dxa" w:w="5083"/>
          </w:tcPr>
          <w:p>
            <w:r>
              <w:t>Ability to constrain or explain results by original source and processing provenance.</w:t>
            </w:r>
          </w:p>
        </w:tc>
      </w:tr>
    </w:tbl>
    <w:p>
      <w:r>
        <w:t>The planner may use an LLM to interpret and decompose natural-language requests, but deterministic domain constraints and retrieved evidence should govern what is ultimately presented as fact.</w:t>
      </w:r>
    </w:p>
    <w:p>
      <w:pPr>
        <w:pStyle w:val="Heading1"/>
      </w:pPr>
      <w:r>
        <w:t>10. Search and Answer Pipeline</w:t>
      </w:r>
    </w:p>
    <w:p>
      <w:pPr>
        <w:pStyle w:val="ListBullet"/>
      </w:pPr>
      <w:r>
        <w:t>Receive request plus inherited UX/conversation context.</w:t>
      </w:r>
    </w:p>
    <w:p>
      <w:pPr>
        <w:pStyle w:val="ListBullet"/>
      </w:pPr>
      <w:r>
        <w:t>Resolve explicit and implicit entities such as Dad, Peggy, Florida trip, Christmas, pocket watch, or current gallery selection.</w:t>
      </w:r>
    </w:p>
    <w:p>
      <w:pPr>
        <w:pStyle w:val="ListBullet"/>
      </w:pPr>
      <w:r>
        <w:t>Determine requested output: answer, gallery, timeline, Story draft, evidence explanation, teaching action, etc.</w:t>
      </w:r>
    </w:p>
    <w:p>
      <w:pPr>
        <w:pStyle w:val="ListBullet"/>
      </w:pPr>
      <w:r>
        <w:t>Create a retrieval plan using the required structured/text/semantic/media/temporal modes.</w:t>
      </w:r>
    </w:p>
    <w:p>
      <w:pPr>
        <w:pStyle w:val="ListBullet"/>
      </w:pPr>
      <w:r>
        <w:t>Execute provider and MemoryBox-native retrieval through stable interfaces.</w:t>
      </w:r>
    </w:p>
    <w:p>
      <w:pPr>
        <w:pStyle w:val="ListBullet"/>
      </w:pPr>
      <w:r>
        <w:t>Normalize results into MemoryBox evidence/domain references.</w:t>
      </w:r>
    </w:p>
    <w:p>
      <w:pPr>
        <w:pStyle w:val="ListBullet"/>
      </w:pPr>
      <w:r>
        <w:t>Rank and correlate evidence.</w:t>
      </w:r>
    </w:p>
    <w:p>
      <w:pPr>
        <w:pStyle w:val="ListBullet"/>
      </w:pPr>
      <w:r>
        <w:t>Identify contradictions, gaps, and unresolved identities/context.</w:t>
      </w:r>
    </w:p>
    <w:p>
      <w:pPr>
        <w:pStyle w:val="ListBullet"/>
      </w:pPr>
      <w:r>
        <w:t>Generate an evidence-backed response or result set.</w:t>
      </w:r>
    </w:p>
    <w:p>
      <w:pPr>
        <w:pStyle w:val="ListBullet"/>
      </w:pPr>
      <w:r>
        <w:t>Expose confidence/provenance where material.</w:t>
      </w:r>
    </w:p>
    <w:p>
      <w:pPr>
        <w:pStyle w:val="ListBullet"/>
      </w:pPr>
      <w:r>
        <w:t>Offer a grounded optional next action when useful.</w:t>
      </w:r>
    </w:p>
    <w:p>
      <w:pPr>
        <w:pStyle w:val="ListBullet"/>
      </w:pPr>
      <w:r>
        <w:t>Persist only those changes authorized by the applicable Experience Flow.</w:t>
      </w:r>
    </w:p>
    <w:p>
      <w:pPr>
        <w:pStyle w:val="Heading1"/>
      </w:pPr>
      <w:r>
        <w:t>11. Ingestion and Processing Architecture</w:t>
      </w:r>
    </w:p>
    <w:p>
      <w:r>
        <w:t>Supported material entering MemoryBox follows a common ingestion pipeline. Processing produces searchable derivatives and candidate knowledge while preserving the original.</w:t>
      </w:r>
    </w:p>
    <w:p>
      <w:pPr>
        <w:pStyle w:val="ListBullet"/>
      </w:pPr>
      <w:r>
        <w:t>1. Receive/import/reference source.</w:t>
      </w:r>
    </w:p>
    <w:p>
      <w:pPr>
        <w:pStyle w:val="ListBullet"/>
      </w:pPr>
      <w:r>
        <w:t>2. Preserve original or authoritative external reference.</w:t>
      </w:r>
    </w:p>
    <w:p>
      <w:pPr>
        <w:pStyle w:val="ListBullet"/>
      </w:pPr>
      <w:r>
        <w:t>3. Create Source and processing records.</w:t>
      </w:r>
    </w:p>
    <w:p>
      <w:pPr>
        <w:pStyle w:val="ListBullet"/>
      </w:pPr>
      <w:r>
        <w:t>4. Hash/deduplicate where appropriate.</w:t>
      </w:r>
    </w:p>
    <w:p>
      <w:pPr>
        <w:pStyle w:val="ListBullet"/>
      </w:pPr>
      <w:r>
        <w:t>5. Extract metadata (timestamps, EXIF, GPS, file attributes, sender/recipient, calendar fields, etc.).</w:t>
      </w:r>
    </w:p>
    <w:p>
      <w:pPr>
        <w:pStyle w:val="ListBullet"/>
      </w:pPr>
      <w:r>
        <w:t>6. OCR visible text in supported images/scans/documents/video frames where appropriate.</w:t>
      </w:r>
    </w:p>
    <w:p>
      <w:pPr>
        <w:pStyle w:val="ListBullet"/>
      </w:pPr>
      <w:r>
        <w:t>7. Run STT for speech-bearing audio/video and spoken Story/Journal capture.</w:t>
      </w:r>
    </w:p>
    <w:p>
      <w:pPr>
        <w:pStyle w:val="ListBullet"/>
      </w:pPr>
      <w:r>
        <w:t>8. Run face detection/recognition and known-person matching.</w:t>
      </w:r>
    </w:p>
    <w:p>
      <w:pPr>
        <w:pStyle w:val="ListBullet"/>
      </w:pPr>
      <w:r>
        <w:t>9. Run speaker diarization/recognition where supported.</w:t>
      </w:r>
    </w:p>
    <w:p>
      <w:pPr>
        <w:pStyle w:val="ListBullet"/>
      </w:pPr>
      <w:r>
        <w:t>10. Run scene/object/activity or other media analysis where useful and cost-appropriate.</w:t>
      </w:r>
    </w:p>
    <w:p>
      <w:pPr>
        <w:pStyle w:val="ListBullet"/>
      </w:pPr>
      <w:r>
        <w:t>11. Store/index derived searchable data.</w:t>
      </w:r>
    </w:p>
    <w:p>
      <w:pPr>
        <w:pStyle w:val="ListBullet"/>
      </w:pPr>
      <w:r>
        <w:t>12. Generate candidate entity associations/assertions with confidence and provenance.</w:t>
      </w:r>
    </w:p>
    <w:p>
      <w:pPr>
        <w:pStyle w:val="ListBullet"/>
      </w:pPr>
      <w:r>
        <w:t>13. Route uncertain/high-value candidates into Review &amp; Learn when appropriate.</w:t>
      </w:r>
    </w:p>
    <w:p>
      <w:pPr>
        <w:pStyle w:val="ListBullet"/>
      </w:pPr>
      <w:r>
        <w:t>14. Mark processing stages complete and make results incrementally available to the UX.</w:t>
      </w:r>
    </w:p>
    <w:p>
      <w:r>
        <w:t>Automated processing creates evidence, candidates, and inferences. It does not silently create unquestionable family facts.</w:t>
      </w:r>
    </w:p>
    <w:p>
      <w:pPr>
        <w:pStyle w:val="Heading1"/>
      </w:pPr>
      <w:r>
        <w:t>12. Background Job Architecture</w:t>
      </w:r>
    </w:p>
    <w:p>
      <w:r>
        <w:t>Long-running or computationally expensive work must execute asynchronously.</w:t>
      </w:r>
    </w:p>
    <w:p>
      <w:pPr>
        <w:pStyle w:val="ListBullet"/>
      </w:pPr>
      <w:r>
        <w:t>Import and source synchronization</w:t>
      </w:r>
    </w:p>
    <w:p>
      <w:pPr>
        <w:pStyle w:val="ListBullet"/>
      </w:pPr>
      <w:r>
        <w:t>OCR and handwriting extraction</w:t>
      </w:r>
    </w:p>
    <w:p>
      <w:pPr>
        <w:pStyle w:val="ListBullet"/>
      </w:pPr>
      <w:r>
        <w:t>Speech-to-text</w:t>
      </w:r>
    </w:p>
    <w:p>
      <w:pPr>
        <w:pStyle w:val="ListBullet"/>
      </w:pPr>
      <w:r>
        <w:t>Face recognition and identity reprocessing</w:t>
      </w:r>
    </w:p>
    <w:p>
      <w:pPr>
        <w:pStyle w:val="ListBullet"/>
      </w:pPr>
      <w:r>
        <w:t>Speaker diarization/recognition</w:t>
      </w:r>
    </w:p>
    <w:p>
      <w:pPr>
        <w:pStyle w:val="ListBullet"/>
      </w:pPr>
      <w:r>
        <w:t>Video/frame indexing</w:t>
      </w:r>
    </w:p>
    <w:p>
      <w:pPr>
        <w:pStyle w:val="ListBullet"/>
      </w:pPr>
      <w:r>
        <w:t>Embeddings and semantic indexing</w:t>
      </w:r>
    </w:p>
    <w:p>
      <w:pPr>
        <w:pStyle w:val="ListBullet"/>
      </w:pPr>
      <w:r>
        <w:t>Cross-source reindexing after identity/relationship changes</w:t>
      </w:r>
    </w:p>
    <w:p>
      <w:pPr>
        <w:pStyle w:val="ListBullet"/>
      </w:pPr>
      <w:r>
        <w:t>Thumbnail/preview generation</w:t>
      </w:r>
    </w:p>
    <w:p>
      <w:pPr>
        <w:pStyle w:val="ListBullet"/>
      </w:pPr>
      <w:r>
        <w:t>Backup/restore operations</w:t>
      </w:r>
    </w:p>
    <w:p>
      <w:pPr>
        <w:pStyle w:val="ListBullet"/>
      </w:pPr>
      <w:r>
        <w:t>Scheduled Guided Capture delivery/ingestion</w:t>
      </w:r>
    </w:p>
    <w:p>
      <w:pPr>
        <w:pStyle w:val="ListBullet"/>
      </w:pPr>
      <w:r>
        <w:t>Future cloud/offloaded AI workloads</w:t>
      </w:r>
    </w:p>
    <w:p>
      <w:r>
        <w:t>Jobs should expose status, progress where practical, retry state, failure reason, and source/object association. User-facing content should become available incrementally rather than waiting for every enrichment stage to finish.</w:t>
      </w:r>
    </w:p>
    <w:p>
      <w:pPr>
        <w:pStyle w:val="Heading1"/>
      </w:pPr>
      <w:r>
        <w:t>13. Provider Abstraction Layer</w:t>
      </w:r>
    </w:p>
    <w:p>
      <w:r>
        <w:t>MemoryBox defines stable capability interfaces. Provider adapters implement those interfaces.</w:t>
      </w:r>
    </w:p>
    <w:p>
      <w:pPr>
        <w:pStyle w:val="Heading2"/>
      </w:pPr>
      <w:r>
        <w:t>Photo / Face Provider</w:t>
      </w:r>
    </w:p>
    <w:p>
      <w:r>
        <w:t>Current practical provider: Immich. Search media/person clusters, retrieve media references/metadata, and consume identity evidence without making Immich's schema the MemoryBox Person model.</w:t>
      </w:r>
    </w:p>
    <w:p>
      <w:pPr>
        <w:pStyle w:val="Heading2"/>
      </w:pPr>
      <w:r>
        <w:t>Video Intelligence Provider</w:t>
      </w:r>
    </w:p>
    <w:p>
      <w:r>
        <w:t>Current/POC direction: HVRT. Video indexing, frames, transcript spans, faces, locations/annotations, OCR and other video evidence.</w:t>
      </w:r>
    </w:p>
    <w:p>
      <w:pPr>
        <w:pStyle w:val="Heading2"/>
      </w:pPr>
      <w:r>
        <w:t>Speech Provider</w:t>
      </w:r>
    </w:p>
    <w:p>
      <w:r>
        <w:t>Whisper/current speech pipeline for STT; diarization and known-speaker recognition through the speech/HVRT pipeline.</w:t>
      </w:r>
    </w:p>
    <w:p>
      <w:pPr>
        <w:pStyle w:val="Heading2"/>
      </w:pPr>
      <w:r>
        <w:t>OCR Provider</w:t>
      </w:r>
    </w:p>
    <w:p>
      <w:r>
        <w:t>Current OCR pipeline behind a replaceable OCR interface.</w:t>
      </w:r>
    </w:p>
    <w:p>
      <w:pPr>
        <w:pStyle w:val="Heading2"/>
      </w:pPr>
      <w:r>
        <w:t>LLM Provider</w:t>
      </w:r>
    </w:p>
    <w:p>
      <w:r>
        <w:t>Provider abstraction supporting capable cloud models and local models. Model selection may depend on task, privacy, cost, availability and quality.</w:t>
      </w:r>
    </w:p>
    <w:p>
      <w:pPr>
        <w:pStyle w:val="Heading2"/>
      </w:pPr>
      <w:r>
        <w:t>Email Provider / Adapter</w:t>
      </w:r>
    </w:p>
    <w:p>
      <w:r>
        <w:t>MBOX/Gmail ingestion and retrieval, normalized into MemoryBox Communication/Source/Evidence concepts.</w:t>
      </w:r>
    </w:p>
    <w:p>
      <w:pPr>
        <w:pStyle w:val="Heading2"/>
      </w:pPr>
      <w:r>
        <w:t>Calendar Provider / Adapter</w:t>
      </w:r>
    </w:p>
    <w:p>
      <w:r>
        <w:t>Calendar ingestion normalized into Event/Evidence concepts.</w:t>
      </w:r>
    </w:p>
    <w:p>
      <w:pPr>
        <w:pStyle w:val="Heading2"/>
      </w:pPr>
      <w:r>
        <w:t>SMS / Message Adapter</w:t>
      </w:r>
    </w:p>
    <w:p>
      <w:r>
        <w:t>Imported archive initially; future platform-specific capture can be added without changing Communication domain semantics.</w:t>
      </w:r>
    </w:p>
    <w:p>
      <w:pPr>
        <w:pStyle w:val="Heading2"/>
      </w:pPr>
      <w:r>
        <w:t>Music Provider</w:t>
      </w:r>
    </w:p>
    <w:p>
      <w:r>
        <w:t>Spotify and Apple Music adapters where API access permits playlists/listening context; provider-specific availability must not redefine the domain model.</w:t>
      </w:r>
    </w:p>
    <w:p>
      <w:pPr>
        <w:pStyle w:val="Heading2"/>
      </w:pPr>
      <w:r>
        <w:t>Capture Channel Provider</w:t>
      </w:r>
    </w:p>
    <w:p>
      <w:r>
        <w:t>MemoryBox UI, Marvin Capture, email capture, and future configured text channels.</w:t>
      </w:r>
    </w:p>
    <w:p>
      <w:pPr>
        <w:pStyle w:val="Heading2"/>
      </w:pPr>
      <w:r>
        <w:t>Social Media Provider</w:t>
      </w:r>
    </w:p>
    <w:p>
      <w:r>
        <w:t>Roadmap/on hold. Future adapters may be added without making P1 dependent on social platforms.</w:t>
      </w:r>
    </w:p>
    <w:p>
      <w:pPr>
        <w:pStyle w:val="Heading1"/>
      </w:pPr>
      <w:r>
        <w:t>14. Persistence Architecture</w:t>
      </w:r>
    </w:p>
    <w:p>
      <w:r>
        <w:t>PostgreSQL is the recommended authoritative relational store for MemoryBox domain knowledge.</w:t>
      </w:r>
    </w:p>
    <w:p>
      <w:pPr>
        <w:pStyle w:val="ListBullet"/>
      </w:pPr>
      <w:r>
        <w:t>Domain entities and identifiers</w:t>
      </w:r>
    </w:p>
    <w:p>
      <w:pPr>
        <w:pStyle w:val="ListBullet"/>
      </w:pPr>
      <w:r>
        <w:t>Relationships and Assertions</w:t>
      </w:r>
    </w:p>
    <w:p>
      <w:pPr>
        <w:pStyle w:val="ListBullet"/>
      </w:pPr>
      <w:r>
        <w:t>Evidence references and provenance</w:t>
      </w:r>
    </w:p>
    <w:p>
      <w:pPr>
        <w:pStyle w:val="ListBullet"/>
      </w:pPr>
      <w:r>
        <w:t>Confidence/authority/correction history</w:t>
      </w:r>
    </w:p>
    <w:p>
      <w:pPr>
        <w:pStyle w:val="ListBullet"/>
      </w:pPr>
      <w:r>
        <w:t>Story and Journal metadata/versions</w:t>
      </w:r>
    </w:p>
    <w:p>
      <w:pPr>
        <w:pStyle w:val="ListBullet"/>
      </w:pPr>
      <w:r>
        <w:t>Artifact metadata and associations</w:t>
      </w:r>
    </w:p>
    <w:p>
      <w:pPr>
        <w:pStyle w:val="ListBullet"/>
      </w:pPr>
      <w:r>
        <w:t>Identity/merge state and provider identity mappings</w:t>
      </w:r>
    </w:p>
    <w:p>
      <w:pPr>
        <w:pStyle w:val="ListBullet"/>
      </w:pPr>
      <w:r>
        <w:t>Processing/job state</w:t>
      </w:r>
    </w:p>
    <w:p>
      <w:pPr>
        <w:pStyle w:val="ListBullet"/>
      </w:pPr>
      <w:r>
        <w:t>Source registry and authoritative-original location</w:t>
      </w:r>
    </w:p>
    <w:p>
      <w:pPr>
        <w:pStyle w:val="ListBullet"/>
      </w:pPr>
      <w:r>
        <w:t>Application configuration required for domain behavior</w:t>
      </w:r>
    </w:p>
    <w:p>
      <w:r>
        <w:t>Large original media need not be stored as database blobs. Originals may remain in trusted source libraries or MemoryBox-managed file/object storage, with durable references, hashes, provenance and backup policy.</w:t>
      </w:r>
    </w:p>
    <w:p>
      <w:r>
        <w:t>Search indexes and vector/media indexes are derived stores. They must be rebuildable from authoritative MemoryBox data plus preserved originals/derivatives where feasible.</w:t>
      </w:r>
    </w:p>
    <w:p>
      <w:pPr>
        <w:pStyle w:val="Heading1"/>
      </w:pPr>
      <w:r>
        <w:t>15. Hybrid Original Preservation Model</w:t>
      </w:r>
    </w:p>
    <w:p>
      <w:r>
        <w:t>MemoryBox supports two legitimate original-storage modes.</w:t>
      </w:r>
    </w:p>
    <w:p>
      <w:pPr>
        <w:pStyle w:val="ListBullet"/>
      </w:pPr>
      <w:r>
        <w:t>Referenced Original: trusted source such as Immich remains authoritative for the original file; MemoryBox stores stable source identity, metadata, hash/reference and its own domain knowledge.</w:t>
      </w:r>
    </w:p>
    <w:p>
      <w:pPr>
        <w:pStyle w:val="ListBullet"/>
      </w:pPr>
      <w:r>
        <w:t>MemoryBox-Managed Original: imported Story audio, Journal audio/attachments, scanned artifacts, uploaded files and other material may be copied into MemoryBox-managed preservation storage.</w:t>
      </w:r>
    </w:p>
    <w:p>
      <w:r>
        <w:t>The user should not need to understand this distinction during normal use. The architecture needs it for reliability, portability, backup, source replacement and future cloud deployment.</w:t>
      </w:r>
    </w:p>
    <w:p>
      <w:pPr>
        <w:pStyle w:val="Heading1"/>
      </w:pPr>
      <w:r>
        <w:t>16. Local-First and Cloud-Capable Architecture</w:t>
      </w:r>
    </w:p>
    <w:p>
      <w:r>
        <w:t>Local-first defines the ownership and resilience boundary, not an anti-cloud rule.</w:t>
      </w:r>
    </w:p>
    <w:p>
      <w:r>
        <w:t>A local MemoryBox installation should retain meaningful access to the archive, domain model, identities, provenance, saved Stories/Journal, and useful retrieval without depending on a remote SaaS system to interpret the family archive.</w:t>
      </w:r>
    </w:p>
    <w:p>
      <w:r>
        <w:t>The architecture should nevertheless support cloud deployment and cloud-assisted execution where it materially improves the product.</w:t>
      </w:r>
    </w:p>
    <w:tbl>
      <w:tblPr>
        <w:tblStyle w:val="TableGrid"/>
        <w:tblW w:type="auto" w:w="0"/>
        <w:tblLook w:firstColumn="1" w:firstRow="1" w:lastColumn="0" w:lastRow="0" w:noHBand="0" w:noVBand="1" w:val="04A0"/>
      </w:tblPr>
      <w:tblGrid>
        <w:gridCol w:w="5083"/>
        <w:gridCol w:w="5083"/>
      </w:tblGrid>
      <w:tr>
        <w:tc>
          <w:tcPr>
            <w:tcW w:type="dxa" w:w="5083"/>
          </w:tcPr>
          <w:p>
            <w:r>
              <w:t>Boundary</w:t>
            </w:r>
          </w:p>
        </w:tc>
        <w:tc>
          <w:tcPr>
            <w:tcW w:type="dxa" w:w="5083"/>
          </w:tcPr>
          <w:p>
            <w:r>
              <w:t>Architectural intent</w:t>
            </w:r>
          </w:p>
        </w:tc>
      </w:tr>
      <w:tr>
        <w:tc>
          <w:tcPr>
            <w:tcW w:type="dxa" w:w="5083"/>
          </w:tcPr>
          <w:p>
            <w:r>
              <w:t>Local core</w:t>
            </w:r>
          </w:p>
        </w:tc>
        <w:tc>
          <w:tcPr>
            <w:tcW w:type="dxa" w:w="5083"/>
          </w:tcPr>
          <w:p>
            <w:r>
              <w:t>Authoritative domain data, archive references/managed originals, provenance, basic search/retrieval, local processing where available, local UI/backend.</w:t>
            </w:r>
          </w:p>
        </w:tc>
      </w:tr>
      <w:tr>
        <w:tc>
          <w:tcPr>
            <w:tcW w:type="dxa" w:w="5083"/>
          </w:tcPr>
          <w:p>
            <w:r>
              <w:t>Cloud-enhanced AI</w:t>
            </w:r>
          </w:p>
        </w:tc>
        <w:tc>
          <w:tcPr>
            <w:tcW w:type="dxa" w:w="5083"/>
          </w:tcPr>
          <w:p>
            <w:r>
              <w:t>High-end LLM reasoning, specialized vision/speech models, scalable batch processing, optional embeddings/re-ranking.</w:t>
            </w:r>
          </w:p>
        </w:tc>
      </w:tr>
      <w:tr>
        <w:tc>
          <w:tcPr>
            <w:tcW w:type="dxa" w:w="5083"/>
          </w:tcPr>
          <w:p>
            <w:r>
              <w:t>Cloud operations</w:t>
            </w:r>
          </w:p>
        </w:tc>
        <w:tc>
          <w:tcPr>
            <w:tcW w:type="dxa" w:w="5083"/>
          </w:tcPr>
          <w:p>
            <w:r>
              <w:t>Encrypted backup, disaster recovery, remote access, notifications and future managed hosting.</w:t>
            </w:r>
          </w:p>
        </w:tc>
      </w:tr>
      <w:tr>
        <w:tc>
          <w:tcPr>
            <w:tcW w:type="dxa" w:w="5083"/>
          </w:tcPr>
          <w:p>
            <w:r>
              <w:t>Future collaboration</w:t>
            </w:r>
          </w:p>
        </w:tc>
        <w:tc>
          <w:tcPr>
            <w:tcW w:type="dxa" w:w="5083"/>
          </w:tcPr>
          <w:p>
            <w:r>
              <w:t>Multi-user contribution, shared family access and synchronization when the product reaches that phase.</w:t>
            </w:r>
          </w:p>
        </w:tc>
      </w:tr>
      <w:tr>
        <w:tc>
          <w:tcPr>
            <w:tcW w:type="dxa" w:w="5083"/>
          </w:tcPr>
          <w:p>
            <w:r>
              <w:t>Hybrid execution policy</w:t>
            </w:r>
          </w:p>
        </w:tc>
        <w:tc>
          <w:tcPr>
            <w:tcW w:type="dxa" w:w="5083"/>
          </w:tcPr>
          <w:p>
            <w:r>
              <w:t>Per-capability routing based on privacy, quality, cost, latency, availability and user/product configuration.</w:t>
            </w:r>
          </w:p>
        </w:tc>
      </w:tr>
    </w:tbl>
    <w:p>
      <w:r>
        <w:t>A future hosted/cloud MemoryBox should be able to use the same domain and provider contracts rather than requiring a separate product architecture.</w:t>
      </w:r>
    </w:p>
    <w:p>
      <w:pPr>
        <w:pStyle w:val="Heading1"/>
      </w:pPr>
      <w:r>
        <w:t>17. Trust, Authority, and Mutation Rules</w:t>
      </w:r>
    </w:p>
    <w:p>
      <w:pPr>
        <w:pStyle w:val="ListBullet"/>
      </w:pPr>
      <w:r>
        <w:t>Owner-confirmed knowledge outranks system inference.</w:t>
      </w:r>
    </w:p>
    <w:p>
      <w:pPr>
        <w:pStyle w:val="ListBullet"/>
      </w:pPr>
      <w:r>
        <w:t>Automated inference creates candidate assertions with confidence and provenance.</w:t>
      </w:r>
    </w:p>
    <w:p>
      <w:pPr>
        <w:pStyle w:val="ListBullet"/>
      </w:pPr>
      <w:r>
        <w:t>Contradictory evidence is retained rather than silently deleted.</w:t>
      </w:r>
    </w:p>
    <w:p>
      <w:pPr>
        <w:pStyle w:val="ListBullet"/>
      </w:pPr>
      <w:r>
        <w:t>Lightweight corrections may commit immediately with Undo and revision history.</w:t>
      </w:r>
    </w:p>
    <w:p>
      <w:pPr>
        <w:pStyle w:val="ListBullet"/>
      </w:pPr>
      <w:r>
        <w:t>Significant authored content requires explicit Save.</w:t>
      </w:r>
    </w:p>
    <w:p>
      <w:pPr>
        <w:pStyle w:val="ListBullet"/>
      </w:pPr>
      <w:r>
        <w:t>AI-generated narratives never become durable Stories without owner action.</w:t>
      </w:r>
    </w:p>
    <w:p>
      <w:pPr>
        <w:pStyle w:val="ListBullet"/>
      </w:pPr>
      <w:r>
        <w:t>Low-confidence AI Story saves require visible warning/explanation before Save Anyway.</w:t>
      </w:r>
    </w:p>
    <w:p>
      <w:pPr>
        <w:pStyle w:val="ListBullet"/>
      </w:pPr>
      <w:r>
        <w:t>Identity merges consolidate the user-facing Person while preserving provider identities, prior assertions and source evidence.</w:t>
      </w:r>
    </w:p>
    <w:p>
      <w:pPr>
        <w:pStyle w:val="ListBullet"/>
      </w:pPr>
      <w:r>
        <w:t>Negative identity matches are valuable evidence and should be retained.</w:t>
      </w:r>
    </w:p>
    <w:p>
      <w:pPr>
        <w:pStyle w:val="ListBullet"/>
      </w:pPr>
      <w:r>
        <w:t>Deleting/removing owner-authored Story content must be supported according to later retention/backup policy.</w:t>
      </w:r>
    </w:p>
    <w:p>
      <w:pPr>
        <w:pStyle w:val="Heading1"/>
      </w:pPr>
      <w:r>
        <w:t>18. Experience Flow to Application Module Mapping</w:t>
      </w:r>
    </w:p>
    <w:tbl>
      <w:tblPr>
        <w:tblStyle w:val="TableGrid"/>
        <w:tblW w:type="auto" w:w="0"/>
        <w:tblLook w:firstColumn="1" w:firstRow="1" w:lastColumn="0" w:lastRow="0" w:noHBand="0" w:noVBand="1" w:val="04A0"/>
      </w:tblPr>
      <w:tblGrid>
        <w:gridCol w:w="5083"/>
        <w:gridCol w:w="5083"/>
      </w:tblGrid>
      <w:tr>
        <w:tc>
          <w:tcPr>
            <w:tcW w:type="dxa" w:w="5083"/>
          </w:tcPr>
          <w:p>
            <w:r>
              <w:t>Experience Flow</w:t>
            </w:r>
          </w:p>
        </w:tc>
        <w:tc>
          <w:tcPr>
            <w:tcW w:type="dxa" w:w="5083"/>
          </w:tcPr>
          <w:p>
            <w:r>
              <w:t>Primary Application Modules</w:t>
            </w:r>
          </w:p>
        </w:tc>
      </w:tr>
      <w:tr>
        <w:tc>
          <w:tcPr>
            <w:tcW w:type="dxa" w:w="5083"/>
          </w:tcPr>
          <w:p>
            <w:r>
              <w:t>EF-01 Ask &amp; Retrieve</w:t>
            </w:r>
          </w:p>
        </w:tc>
        <w:tc>
          <w:tcPr>
            <w:tcW w:type="dxa" w:w="5083"/>
          </w:tcPr>
          <w:p>
            <w:r>
              <w:t>Experience Orchestrator; Query Planner; entity resolution; retrieval adapters; Evidence/Assertion services.</w:t>
            </w:r>
          </w:p>
        </w:tc>
      </w:tr>
      <w:tr>
        <w:tc>
          <w:tcPr>
            <w:tcW w:type="dxa" w:w="5083"/>
          </w:tcPr>
          <w:p>
            <w:r>
              <w:t>EF-02 Contextual Follow-up</w:t>
            </w:r>
          </w:p>
        </w:tc>
        <w:tc>
          <w:tcPr>
            <w:tcW w:type="dxa" w:w="5083"/>
          </w:tcPr>
          <w:p>
            <w:r>
              <w:t>Experience Orchestrator; context state; Query Planner.</w:t>
            </w:r>
          </w:p>
        </w:tc>
      </w:tr>
      <w:tr>
        <w:tc>
          <w:tcPr>
            <w:tcW w:type="dxa" w:w="5083"/>
          </w:tcPr>
          <w:p>
            <w:r>
              <w:t>EF-03 Browse &amp; Explore</w:t>
            </w:r>
          </w:p>
        </w:tc>
        <w:tc>
          <w:tcPr>
            <w:tcW w:type="dxa" w:w="5083"/>
          </w:tcPr>
          <w:p>
            <w:r>
              <w:t>UX/Context APIs; domain services; retrieval; Timeline/Gallery data services.</w:t>
            </w:r>
          </w:p>
        </w:tc>
      </w:tr>
      <w:tr>
        <w:tc>
          <w:tcPr>
            <w:tcW w:type="dxa" w:w="5083"/>
          </w:tcPr>
          <w:p>
            <w:r>
              <w:t>EF-04 View / Play / Inspect Object</w:t>
            </w:r>
          </w:p>
        </w:tc>
        <w:tc>
          <w:tcPr>
            <w:tcW w:type="dxa" w:w="5083"/>
          </w:tcPr>
          <w:p>
            <w:r>
              <w:t>Media/Communication/Journal/Story read services; Source/Evidence service.</w:t>
            </w:r>
          </w:p>
        </w:tc>
      </w:tr>
      <w:tr>
        <w:tc>
          <w:tcPr>
            <w:tcW w:type="dxa" w:w="5083"/>
          </w:tcPr>
          <w:p>
            <w:r>
              <w:t>EF-05 Import Evidence</w:t>
            </w:r>
          </w:p>
        </w:tc>
        <w:tc>
          <w:tcPr>
            <w:tcW w:type="dxa" w:w="5083"/>
          </w:tcPr>
          <w:p>
            <w:r>
              <w:t>Ingest service; Source registry; background jobs; media intelligence; indexes.</w:t>
            </w:r>
          </w:p>
        </w:tc>
      </w:tr>
      <w:tr>
        <w:tc>
          <w:tcPr>
            <w:tcW w:type="dxa" w:w="5083"/>
          </w:tcPr>
          <w:p>
            <w:r>
              <w:t>EF-06 Create / Catalog Artifact</w:t>
            </w:r>
          </w:p>
        </w:tc>
        <w:tc>
          <w:tcPr>
            <w:tcW w:type="dxa" w:w="5083"/>
          </w:tcPr>
          <w:p>
            <w:r>
              <w:t>Artifact Service; ingest; association/relationship service; Story Service.</w:t>
            </w:r>
          </w:p>
        </w:tc>
      </w:tr>
      <w:tr>
        <w:tc>
          <w:tcPr>
            <w:tcW w:type="dxa" w:w="5083"/>
          </w:tcPr>
          <w:p>
            <w:r>
              <w:t>EF-07 Identify / Merge Person</w:t>
            </w:r>
          </w:p>
        </w:tc>
        <w:tc>
          <w:tcPr>
            <w:tcW w:type="dxa" w:w="5083"/>
          </w:tcPr>
          <w:p>
            <w:r>
              <w:t>Person &amp; Identity Service; media provider; Review &amp; Learn; reindex jobs.</w:t>
            </w:r>
          </w:p>
        </w:tc>
      </w:tr>
      <w:tr>
        <w:tc>
          <w:tcPr>
            <w:tcW w:type="dxa" w:w="5083"/>
          </w:tcPr>
          <w:p>
            <w:r>
              <w:t>EF-08 Teach / Correct</w:t>
            </w:r>
          </w:p>
        </w:tc>
        <w:tc>
          <w:tcPr>
            <w:tcW w:type="dxa" w:w="5083"/>
          </w:tcPr>
          <w:p>
            <w:r>
              <w:t>Assertion/Relationship Service; provenance; Undo/revision; Review &amp; Learn.</w:t>
            </w:r>
          </w:p>
        </w:tc>
      </w:tr>
      <w:tr>
        <w:tc>
          <w:tcPr>
            <w:tcW w:type="dxa" w:w="5083"/>
          </w:tcPr>
          <w:p>
            <w:r>
              <w:t>EF-09 Link / Associate Evidence</w:t>
            </w:r>
          </w:p>
        </w:tc>
        <w:tc>
          <w:tcPr>
            <w:tcW w:type="dxa" w:w="5083"/>
          </w:tcPr>
          <w:p>
            <w:r>
              <w:t>Relationship/Assertion Service; Evidence Service; domain services.</w:t>
            </w:r>
          </w:p>
        </w:tc>
      </w:tr>
      <w:tr>
        <w:tc>
          <w:tcPr>
            <w:tcW w:type="dxa" w:w="5083"/>
          </w:tcPr>
          <w:p>
            <w:r>
              <w:t>EF-10 Capture / Edit Story</w:t>
            </w:r>
          </w:p>
        </w:tc>
        <w:tc>
          <w:tcPr>
            <w:tcW w:type="dxa" w:w="5083"/>
          </w:tcPr>
          <w:p>
            <w:r>
              <w:t>Story Service; capture/STT; Evidence/association; versioning.</w:t>
            </w:r>
          </w:p>
        </w:tc>
      </w:tr>
      <w:tr>
        <w:tc>
          <w:tcPr>
            <w:tcW w:type="dxa" w:w="5083"/>
          </w:tcPr>
          <w:p>
            <w:r>
              <w:t>EF-11 Guided Memory Capture</w:t>
            </w:r>
          </w:p>
        </w:tc>
        <w:tc>
          <w:tcPr>
            <w:tcW w:type="dxa" w:w="5083"/>
          </w:tcPr>
          <w:p>
            <w:r>
              <w:t>Guided Capture orchestration; notifications/channel adapters; ingest; Story/response persistence.</w:t>
            </w:r>
          </w:p>
        </w:tc>
      </w:tr>
      <w:tr>
        <w:tc>
          <w:tcPr>
            <w:tcW w:type="dxa" w:w="5083"/>
          </w:tcPr>
          <w:p>
            <w:r>
              <w:t>EF-12 Journal Capture</w:t>
            </w:r>
          </w:p>
        </w:tc>
        <w:tc>
          <w:tcPr>
            <w:tcW w:type="dxa" w:w="5083"/>
          </w:tcPr>
          <w:p>
            <w:r>
              <w:t>Journal Service; capture/STT/OCR; Source/Evidence; indexing.</w:t>
            </w:r>
          </w:p>
        </w:tc>
      </w:tr>
      <w:tr>
        <w:tc>
          <w:tcPr>
            <w:tcW w:type="dxa" w:w="5083"/>
          </w:tcPr>
          <w:p>
            <w:r>
              <w:t>EF-13 AI Story Composition</w:t>
            </w:r>
          </w:p>
        </w:tc>
        <w:tc>
          <w:tcPr>
            <w:tcW w:type="dxa" w:w="5083"/>
          </w:tcPr>
          <w:p>
            <w:r>
              <w:t>Experience Orchestrator; Query Planner; Evidence service; LLM Provider; Story Service; confidence/trust.</w:t>
            </w:r>
          </w:p>
        </w:tc>
      </w:tr>
      <w:tr>
        <w:tc>
          <w:tcPr>
            <w:tcW w:type="dxa" w:w="5083"/>
          </w:tcPr>
          <w:p>
            <w:r>
              <w:t>EF-14 Inspect Trust / Evidence</w:t>
            </w:r>
          </w:p>
        </w:tc>
        <w:tc>
          <w:tcPr>
            <w:tcW w:type="dxa" w:w="5083"/>
          </w:tcPr>
          <w:p>
            <w:r>
              <w:t>Evidence/Assertion/Provenance Service; Source adapters; Object Viewer APIs.</w:t>
            </w:r>
          </w:p>
        </w:tc>
      </w:tr>
      <w:tr>
        <w:tc>
          <w:tcPr>
            <w:tcW w:type="dxa" w:w="5083"/>
          </w:tcPr>
          <w:p>
            <w:r>
              <w:t>EF-15 Review &amp; Learn</w:t>
            </w:r>
          </w:p>
        </w:tc>
        <w:tc>
          <w:tcPr>
            <w:tcW w:type="dxa" w:w="5083"/>
          </w:tcPr>
          <w:p>
            <w:r>
              <w:t>Review &amp; Learn Service; Identity; Assertion/Relationship; prioritization; flow orchestration.</w:t>
            </w:r>
          </w:p>
        </w:tc>
      </w:tr>
      <w:tr>
        <w:tc>
          <w:tcPr>
            <w:tcW w:type="dxa" w:w="5083"/>
          </w:tcPr>
          <w:p>
            <w:r>
              <w:t>EF-16 Export / Portability</w:t>
            </w:r>
          </w:p>
        </w:tc>
        <w:tc>
          <w:tcPr>
            <w:tcW w:type="dxa" w:w="5083"/>
          </w:tcPr>
          <w:p>
            <w:r>
              <w:t>Export service; Source/Evidence registry; domain serializers; packaging/background jobs.</w:t>
            </w:r>
          </w:p>
        </w:tc>
      </w:tr>
    </w:tbl>
    <w:p>
      <w:pPr>
        <w:pStyle w:val="Heading1"/>
      </w:pPr>
      <w:r>
        <w:t>19. Cross-Cutting Platform Services</w:t>
      </w:r>
    </w:p>
    <w:p>
      <w:pPr>
        <w:pStyle w:val="ListBullet"/>
      </w:pPr>
      <w:r>
        <w:t>Authentication and user/owner context</w:t>
      </w:r>
    </w:p>
    <w:p>
      <w:pPr>
        <w:pStyle w:val="ListBullet"/>
      </w:pPr>
      <w:r>
        <w:t>Authorization and future contributor roles</w:t>
      </w:r>
    </w:p>
    <w:p>
      <w:pPr>
        <w:pStyle w:val="ListBullet"/>
      </w:pPr>
      <w:r>
        <w:t>Configuration and provider credentials</w:t>
      </w:r>
    </w:p>
    <w:p>
      <w:pPr>
        <w:pStyle w:val="ListBullet"/>
      </w:pPr>
      <w:r>
        <w:t>Secrets management</w:t>
      </w:r>
    </w:p>
    <w:p>
      <w:pPr>
        <w:pStyle w:val="ListBullet"/>
      </w:pPr>
      <w:r>
        <w:t>Background job queue/scheduler</w:t>
      </w:r>
    </w:p>
    <w:p>
      <w:pPr>
        <w:pStyle w:val="ListBullet"/>
      </w:pPr>
      <w:r>
        <w:t>Notifications and Guided Capture scheduling</w:t>
      </w:r>
    </w:p>
    <w:p>
      <w:pPr>
        <w:pStyle w:val="ListBullet"/>
      </w:pPr>
      <w:r>
        <w:t>Audit/event logging</w:t>
      </w:r>
    </w:p>
    <w:p>
      <w:pPr>
        <w:pStyle w:val="ListBullet"/>
      </w:pPr>
      <w:r>
        <w:t>Application logs and diagnostics</w:t>
      </w:r>
    </w:p>
    <w:p>
      <w:pPr>
        <w:pStyle w:val="ListBullet"/>
      </w:pPr>
      <w:r>
        <w:t>Health checks and provider availability</w:t>
      </w:r>
    </w:p>
    <w:p>
      <w:pPr>
        <w:pStyle w:val="ListBullet"/>
      </w:pPr>
      <w:r>
        <w:t>Backup/restore and portability</w:t>
      </w:r>
    </w:p>
    <w:p>
      <w:pPr>
        <w:pStyle w:val="ListBullet"/>
      </w:pPr>
      <w:r>
        <w:t>Schema/data migrations</w:t>
      </w:r>
    </w:p>
    <w:p>
      <w:pPr>
        <w:pStyle w:val="ListBullet"/>
      </w:pPr>
      <w:r>
        <w:t>Feature flags/roadmap capability enablement</w:t>
      </w:r>
    </w:p>
    <w:p>
      <w:pPr>
        <w:pStyle w:val="ListBullet"/>
      </w:pPr>
      <w:r>
        <w:t>Privacy controls and cloud-processing policy</w:t>
      </w:r>
    </w:p>
    <w:p>
      <w:pPr>
        <w:pStyle w:val="ListBullet"/>
      </w:pPr>
      <w:r>
        <w:t>Metrics needed to diagnose performance and processing quality</w:t>
      </w:r>
    </w:p>
    <w:p>
      <w:pPr>
        <w:pStyle w:val="Heading1"/>
      </w:pPr>
      <w:r>
        <w:t>20. Failure and Degraded-Mode Principles</w:t>
      </w:r>
    </w:p>
    <w:p>
      <w:r>
        <w:t>MemoryBox should remain useful when individual providers are unavailable.</w:t>
      </w:r>
    </w:p>
    <w:p>
      <w:pPr>
        <w:pStyle w:val="ListBullet"/>
      </w:pPr>
      <w:r>
        <w:t>If a cloud LLM is unavailable, saved Stories, Journal entries, domain browsing and local evidence remain accessible.</w:t>
      </w:r>
    </w:p>
    <w:p>
      <w:pPr>
        <w:pStyle w:val="ListBullet"/>
      </w:pPr>
      <w:r>
        <w:t>If Immich is unavailable, MemoryBox retains its Person/domain knowledge and should clearly report that the photo provider is temporarily unavailable rather than losing identities.</w:t>
      </w:r>
    </w:p>
    <w:p>
      <w:pPr>
        <w:pStyle w:val="ListBullet"/>
      </w:pPr>
      <w:r>
        <w:t>If OCR/STT processing fails, the original remains preserved and the job can be retried.</w:t>
      </w:r>
    </w:p>
    <w:p>
      <w:pPr>
        <w:pStyle w:val="ListBullet"/>
      </w:pPr>
      <w:r>
        <w:t>If a provider is replaced, provider mappings/adapters are migrated without redefining MemoryBox domain entities.</w:t>
      </w:r>
    </w:p>
    <w:p>
      <w:pPr>
        <w:pStyle w:val="ListBullet"/>
      </w:pPr>
      <w:r>
        <w:t>If an index is lost, derived indexes should be rebuildable from authoritative data and preserved source derivatives where feasible.</w:t>
      </w:r>
    </w:p>
    <w:p>
      <w:pPr>
        <w:pStyle w:val="ListBullet"/>
      </w:pPr>
      <w:r>
        <w:t>Partial processing is visible; an item may be usable before every enrichment stage completes.</w:t>
      </w:r>
    </w:p>
    <w:p>
      <w:pPr>
        <w:pStyle w:val="Heading1"/>
      </w:pPr>
      <w:r>
        <w:t>21. P1 / P2 Architectural Boundary</w:t>
      </w:r>
    </w:p>
    <w:p>
      <w:r>
        <w:t>P1 should build the stable architecture needed for today's proven capabilities without pretending every future capability is already available.</w:t>
      </w:r>
    </w:p>
    <w:p>
      <w:pPr>
        <w:pStyle w:val="ListBullet"/>
      </w:pPr>
      <w:r>
        <w:t>P1: modular monolith, PostgreSQL domain store, provider interfaces, Experience Orchestrator, Query Planner foundation, background jobs, Source/Evidence/Provenance, People/Identity, Story, Journal, Artifact, relationships/assertions, Review &amp; Learn, core adapters for proven sources, local-first operation, optional capable LLM use.</w:t>
      </w:r>
    </w:p>
    <w:p>
      <w:pPr>
        <w:pStyle w:val="ListBullet"/>
      </w:pPr>
      <w:r>
        <w:t>P2: richer multi-source correlation, stronger identity learning, more advanced media understanding, broader provider/channel integrations, improved ranking/prioritization, cloud offload/hosted options, and other capabilities already classified beyond P1 in EVS/product planning.</w:t>
      </w:r>
    </w:p>
    <w:p>
      <w:pPr>
        <w:pStyle w:val="ListBullet"/>
      </w:pPr>
      <w:r>
        <w:t>Future: multi-user/collaboration and deferred social-media ingestion should fit the architecture without being prerequisites for P1.</w:t>
      </w:r>
    </w:p>
    <w:p>
      <w:pPr>
        <w:pStyle w:val="Heading1"/>
      </w:pPr>
      <w:r>
        <w:t>22. Non-Goals / Guardrails</w:t>
      </w:r>
    </w:p>
    <w:p>
      <w:pPr>
        <w:pStyle w:val="ListBullet"/>
      </w:pPr>
      <w:r>
        <w:t>Do not turn MemoryBox into a thin UI over Immich or any single provider.</w:t>
      </w:r>
    </w:p>
    <w:p>
      <w:pPr>
        <w:pStyle w:val="ListBullet"/>
      </w:pPr>
      <w:r>
        <w:t>Do not make a universal vector database the authoritative family-memory model.</w:t>
      </w:r>
    </w:p>
    <w:p>
      <w:pPr>
        <w:pStyle w:val="ListBullet"/>
      </w:pPr>
      <w:r>
        <w:t>Do not expose provider-specific schemas as core product concepts.</w:t>
      </w:r>
    </w:p>
    <w:p>
      <w:pPr>
        <w:pStyle w:val="ListBullet"/>
      </w:pPr>
      <w:r>
        <w:t>Do not require microservices for P1.</w:t>
      </w:r>
    </w:p>
    <w:p>
      <w:pPr>
        <w:pStyle w:val="ListBullet"/>
      </w:pPr>
      <w:r>
        <w:t>Do not require cloud connectivity to interpret the archive.</w:t>
      </w:r>
    </w:p>
    <w:p>
      <w:pPr>
        <w:pStyle w:val="ListBullet"/>
      </w:pPr>
      <w:r>
        <w:t>Do not allow AI inference to bypass provenance, authority or owner-save rules.</w:t>
      </w:r>
    </w:p>
    <w:p>
      <w:pPr>
        <w:pStyle w:val="ListBullet"/>
      </w:pPr>
      <w:r>
        <w:t>Do not force every imported item to have a known Person/Place/Event association before it can be preserved.</w:t>
      </w:r>
    </w:p>
    <w:p>
      <w:pPr>
        <w:pStyle w:val="ListBullet"/>
      </w:pPr>
      <w:r>
        <w:t>Do not block ingestion while all AI enrichment completes.</w:t>
      </w:r>
    </w:p>
    <w:p>
      <w:pPr>
        <w:pStyle w:val="Heading1"/>
      </w:pPr>
      <w:r>
        <w:t>23. Cursor Handoff Implications</w:t>
      </w:r>
    </w:p>
    <w:p>
      <w:r>
        <w:t>The Cursor Build Specification should now be able to define implementation increments against stable boundaries rather than asking Cursor to invent product architecture.</w:t>
      </w:r>
    </w:p>
    <w:p>
      <w:pPr>
        <w:pStyle w:val="ListBullet"/>
      </w:pPr>
      <w:r>
        <w:t>Define module/package boundaries for the modular monolith.</w:t>
      </w:r>
    </w:p>
    <w:p>
      <w:pPr>
        <w:pStyle w:val="ListBullet"/>
      </w:pPr>
      <w:r>
        <w:t>Define PostgreSQL conceptual-to-physical schema from MBDM-001.</w:t>
      </w:r>
    </w:p>
    <w:p>
      <w:pPr>
        <w:pStyle w:val="ListBullet"/>
      </w:pPr>
      <w:r>
        <w:t>Define provider interfaces before provider-specific adapters.</w:t>
      </w:r>
    </w:p>
    <w:p>
      <w:pPr>
        <w:pStyle w:val="ListBullet"/>
      </w:pPr>
      <w:r>
        <w:t>Define job queue and processing-state model.</w:t>
      </w:r>
    </w:p>
    <w:p>
      <w:pPr>
        <w:pStyle w:val="ListBullet"/>
      </w:pPr>
      <w:r>
        <w:t>Define Query Planner contracts and normalized retrieval result/evidence types.</w:t>
      </w:r>
    </w:p>
    <w:p>
      <w:pPr>
        <w:pStyle w:val="ListBullet"/>
      </w:pPr>
      <w:r>
        <w:t>Define Experience Orchestrator state and MBEF flow transitions.</w:t>
      </w:r>
    </w:p>
    <w:p>
      <w:pPr>
        <w:pStyle w:val="ListBullet"/>
      </w:pPr>
      <w:r>
        <w:t>Define APIs/view models required by MBUX components.</w:t>
      </w:r>
    </w:p>
    <w:p>
      <w:pPr>
        <w:pStyle w:val="ListBullet"/>
      </w:pPr>
      <w:r>
        <w:t>Map every build increment to EVSs and MBEF completion conditions.</w:t>
      </w:r>
    </w:p>
    <w:p>
      <w:pPr>
        <w:pStyle w:val="ListBullet"/>
      </w:pPr>
      <w:r>
        <w:t>Establish P1 acceptance tests around completed outcomes, provenance, correction, identity merge, searchability of OCR/STT, and degraded-provider behavior.</w:t>
      </w:r>
    </w:p>
    <w:p>
      <w:pPr>
        <w:pStyle w:val="Heading1"/>
      </w:pPr>
      <w:r>
        <w:t>24. Current Decision Summary</w:t>
      </w:r>
    </w:p>
    <w:p>
      <w:pPr>
        <w:pStyle w:val="ListBullet"/>
      </w:pPr>
      <w:r>
        <w:t>P1 is a modular monolith with strong internal module boundaries.</w:t>
      </w:r>
    </w:p>
    <w:p>
      <w:pPr>
        <w:pStyle w:val="ListBullet"/>
      </w:pPr>
      <w:r>
        <w:t>PostgreSQL is the recommended authoritative MemoryBox domain database.</w:t>
      </w:r>
    </w:p>
    <w:p>
      <w:pPr>
        <w:pStyle w:val="ListBullet"/>
      </w:pPr>
      <w:r>
        <w:t>Originals use a hybrid referenced/MemoryBox-managed preservation model.</w:t>
      </w:r>
    </w:p>
    <w:p>
      <w:pPr>
        <w:pStyle w:val="ListBullet"/>
      </w:pPr>
      <w:r>
        <w:t>All external capabilities sit behind MemoryBox provider interfaces.</w:t>
      </w:r>
    </w:p>
    <w:p>
      <w:pPr>
        <w:pStyle w:val="ListBullet"/>
      </w:pPr>
      <w:r>
        <w:t>Global Ask uses a central Query Planner/Retrieval Orchestrator.</w:t>
      </w:r>
    </w:p>
    <w:p>
      <w:pPr>
        <w:pStyle w:val="ListBullet"/>
      </w:pPr>
      <w:r>
        <w:t>Expensive processing is asynchronous and job-based.</w:t>
      </w:r>
    </w:p>
    <w:p>
      <w:pPr>
        <w:pStyle w:val="ListBullet"/>
      </w:pPr>
      <w:r>
        <w:t>MemoryBox is local-first but explicitly cloud-capable and able to exploit cloud compute/services when beneficial.</w:t>
      </w:r>
    </w:p>
    <w:p>
      <w:pPr>
        <w:pStyle w:val="ListBullet"/>
      </w:pPr>
      <w:r>
        <w:t>MemoryBox-native domain and trust services remain independent of outside provider schemas.</w:t>
      </w:r>
    </w:p>
    <w:p>
      <w:pPr>
        <w:pStyle w:val="ListBullet"/>
      </w:pPr>
      <w:r>
        <w:t>Search combines structured, full-text, semantic, media, temporal and source-aware retrieval.</w:t>
      </w:r>
    </w:p>
    <w:p>
      <w:pPr>
        <w:pStyle w:val="ListBullet"/>
      </w:pPr>
      <w:r>
        <w:t>Automated processing creates searchable derivatives and candidate knowledge, not unquestionable facts.</w:t>
      </w:r>
    </w:p>
    <w:p>
      <w:pPr>
        <w:pStyle w:val="ListBullet"/>
      </w:pPr>
      <w:r>
        <w:t>The architecture is designed so a future hosted/cloud MemoryBox can reuse the same domain and provider contracts.</w:t>
      </w:r>
    </w:p>
    <w:p>
      <w:r>
        <w:rPr>
          <w:b/>
        </w:rPr>
        <w:t xml:space="preserve">Key Application Architecture Principle: </w:t>
      </w:r>
      <w:r>
        <w:t>MemoryBox should remain the durable intelligence and trust layer over a replaceable set of specialized capability providers.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MBAA-001 | MemoryBox Application Architecture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