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P2-I13: Video Face, Speech &amp; Voice Learning</w:t>
      </w:r>
    </w:p>
    <w:p>
      <w:pPr>
        <w:pStyle w:val="Subtitle"/>
      </w:pPr>
      <w:r>
        <w:t>Pipeline revalidation, evidence-backed playback, learning lifecycle, and bounded-corpus release control</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shd w:fill="DCE6F1"/>
            <w:tcMar>
              <w:top w:w="70" w:type="dxa"/>
              <w:start w:w="100" w:type="dxa"/>
              <w:bottom w:w="70" w:type="dxa"/>
              <w:end w:w="100" w:type="dxa"/>
            </w:tcMar>
          </w:tcPr>
          <w:p>
            <w:r>
              <w:rPr>
                <w:b/>
                <w:sz w:val="17"/>
              </w:rPr>
              <w:t>Document</w:t>
            </w:r>
          </w:p>
        </w:tc>
        <w:tc>
          <w:tcPr>
            <w:tcW w:type="dxa" w:w="7560"/>
            <w:shd w:fill="DCE6F1"/>
            <w:tcMar>
              <w:top w:w="70" w:type="dxa"/>
              <w:start w:w="100" w:type="dxa"/>
              <w:bottom w:w="70" w:type="dxa"/>
              <w:end w:w="100" w:type="dxa"/>
            </w:tcMar>
          </w:tcPr>
          <w:p>
            <w:r>
              <w:rPr>
                <w:b/>
                <w:sz w:val="17"/>
              </w:rPr>
              <w:t>Value</w:t>
            </w:r>
          </w:p>
        </w:tc>
      </w:tr>
      <w:tr>
        <w:trPr>
          <w:cantSplit/>
        </w:trPr>
        <w:tc>
          <w:tcPr>
            <w:tcW w:type="dxa" w:w="2232"/>
            <w:tcMar>
              <w:top w:w="70" w:type="dxa"/>
              <w:start w:w="100" w:type="dxa"/>
              <w:bottom w:w="70" w:type="dxa"/>
              <w:end w:w="100" w:type="dxa"/>
            </w:tcMar>
            <w:vAlign w:val="top"/>
          </w:tcPr>
          <w:p>
            <w:pPr>
              <w:spacing w:after="20"/>
            </w:pPr>
            <w:r>
              <w:rPr>
                <w:sz w:val="16"/>
              </w:rPr>
              <w:t>Identifier</w:t>
            </w:r>
          </w:p>
        </w:tc>
        <w:tc>
          <w:tcPr>
            <w:tcW w:type="dxa" w:w="7560"/>
            <w:tcMar>
              <w:top w:w="70" w:type="dxa"/>
              <w:start w:w="100" w:type="dxa"/>
              <w:bottom w:w="70" w:type="dxa"/>
              <w:end w:w="100" w:type="dxa"/>
            </w:tcMar>
            <w:vAlign w:val="top"/>
          </w:tcPr>
          <w:p>
            <w:pPr>
              <w:spacing w:after="20"/>
            </w:pPr>
            <w:r>
              <w:rPr>
                <w:sz w:val="16"/>
              </w:rPr>
              <w:t>MBPRD-P2-I13</w:t>
            </w:r>
          </w:p>
        </w:tc>
      </w:tr>
      <w:tr>
        <w:trPr>
          <w:cantSplit/>
        </w:trPr>
        <w:tc>
          <w:tcPr>
            <w:tcW w:type="dxa" w:w="2232"/>
            <w:tcMar>
              <w:top w:w="70" w:type="dxa"/>
              <w:start w:w="100" w:type="dxa"/>
              <w:bottom w:w="70" w:type="dxa"/>
              <w:end w:w="100" w:type="dxa"/>
            </w:tcMar>
            <w:vAlign w:val="top"/>
          </w:tcPr>
          <w:p>
            <w:pPr>
              <w:spacing w:after="20"/>
            </w:pPr>
            <w:r>
              <w:rPr>
                <w:sz w:val="16"/>
              </w:rPr>
              <w:t>Status</w:t>
            </w:r>
          </w:p>
        </w:tc>
        <w:tc>
          <w:tcPr>
            <w:tcW w:type="dxa" w:w="7560"/>
            <w:tcMar>
              <w:top w:w="70" w:type="dxa"/>
              <w:start w:w="100" w:type="dxa"/>
              <w:bottom w:w="70" w:type="dxa"/>
              <w:end w:w="100" w:type="dxa"/>
            </w:tcMar>
            <w:vAlign w:val="top"/>
          </w:tcPr>
          <w:p>
            <w:pPr>
              <w:spacing w:after="20"/>
            </w:pPr>
            <w:r>
              <w:rPr>
                <w:sz w:val="16"/>
              </w:rPr>
              <w:t>Draft for founder review; approved screen direction</w:t>
            </w:r>
          </w:p>
        </w:tc>
      </w:tr>
      <w:tr>
        <w:trPr>
          <w:cantSplit/>
        </w:trPr>
        <w:tc>
          <w:tcPr>
            <w:tcW w:type="dxa" w:w="2232"/>
            <w:tcMar>
              <w:top w:w="70" w:type="dxa"/>
              <w:start w:w="100" w:type="dxa"/>
              <w:bottom w:w="70" w:type="dxa"/>
              <w:end w:w="100" w:type="dxa"/>
            </w:tcMar>
            <w:vAlign w:val="top"/>
          </w:tcPr>
          <w:p>
            <w:pPr>
              <w:spacing w:after="20"/>
            </w:pPr>
            <w:r>
              <w:rPr>
                <w:sz w:val="16"/>
              </w:rPr>
              <w:t>Date</w:t>
            </w:r>
          </w:p>
        </w:tc>
        <w:tc>
          <w:tcPr>
            <w:tcW w:type="dxa" w:w="7560"/>
            <w:tcMar>
              <w:top w:w="70" w:type="dxa"/>
              <w:start w:w="100" w:type="dxa"/>
              <w:bottom w:w="70" w:type="dxa"/>
              <w:end w:w="100" w:type="dxa"/>
            </w:tcMar>
            <w:vAlign w:val="top"/>
          </w:tcPr>
          <w:p>
            <w:pPr>
              <w:spacing w:after="20"/>
            </w:pPr>
            <w:r>
              <w:rPr>
                <w:sz w:val="16"/>
              </w:rPr>
              <w:t>4 September 2026</w:t>
            </w:r>
          </w:p>
        </w:tc>
      </w:tr>
      <w:tr>
        <w:trPr>
          <w:cantSplit/>
        </w:trPr>
        <w:tc>
          <w:tcPr>
            <w:tcW w:type="dxa" w:w="2232"/>
            <w:tcMar>
              <w:top w:w="70" w:type="dxa"/>
              <w:start w:w="100" w:type="dxa"/>
              <w:bottom w:w="70" w:type="dxa"/>
              <w:end w:w="100" w:type="dxa"/>
            </w:tcMar>
            <w:vAlign w:val="top"/>
          </w:tcPr>
          <w:p>
            <w:pPr>
              <w:spacing w:after="20"/>
            </w:pPr>
            <w:r>
              <w:rPr>
                <w:sz w:val="16"/>
              </w:rPr>
              <w:t>Increment</w:t>
            </w:r>
          </w:p>
        </w:tc>
        <w:tc>
          <w:tcPr>
            <w:tcW w:type="dxa" w:w="7560"/>
            <w:tcMar>
              <w:top w:w="70" w:type="dxa"/>
              <w:start w:w="100" w:type="dxa"/>
              <w:bottom w:w="70" w:type="dxa"/>
              <w:end w:w="100" w:type="dxa"/>
            </w:tcMar>
            <w:vAlign w:val="top"/>
          </w:tcPr>
          <w:p>
            <w:pPr>
              <w:spacing w:after="20"/>
            </w:pPr>
            <w:r>
              <w:rPr>
                <w:sz w:val="16"/>
              </w:rPr>
              <w:t>P2-I13</w:t>
            </w:r>
          </w:p>
        </w:tc>
      </w:tr>
      <w:tr>
        <w:trPr>
          <w:cantSplit/>
        </w:trPr>
        <w:tc>
          <w:tcPr>
            <w:tcW w:type="dxa" w:w="2232"/>
            <w:tcMar>
              <w:top w:w="70" w:type="dxa"/>
              <w:start w:w="100" w:type="dxa"/>
              <w:bottom w:w="70" w:type="dxa"/>
              <w:end w:w="100" w:type="dxa"/>
            </w:tcMar>
            <w:vAlign w:val="top"/>
          </w:tcPr>
          <w:p>
            <w:pPr>
              <w:spacing w:after="20"/>
            </w:pPr>
            <w:r>
              <w:rPr>
                <w:sz w:val="16"/>
              </w:rPr>
              <w:t>Primary implementer</w:t>
            </w:r>
          </w:p>
        </w:tc>
        <w:tc>
          <w:tcPr>
            <w:tcW w:type="dxa" w:w="7560"/>
            <w:tcMar>
              <w:top w:w="70" w:type="dxa"/>
              <w:start w:w="100" w:type="dxa"/>
              <w:bottom w:w="70" w:type="dxa"/>
              <w:end w:w="100" w:type="dxa"/>
            </w:tcMar>
            <w:vAlign w:val="top"/>
          </w:tcPr>
          <w:p>
            <w:pPr>
              <w:spacing w:after="20"/>
            </w:pPr>
            <w:r>
              <w:rPr>
                <w:sz w:val="16"/>
              </w:rPr>
              <w:t>Codex</w:t>
            </w:r>
          </w:p>
        </w:tc>
      </w:tr>
      <w:tr>
        <w:trPr>
          <w:cantSplit/>
        </w:trPr>
        <w:tc>
          <w:tcPr>
            <w:tcW w:type="dxa" w:w="2232"/>
            <w:tcMar>
              <w:top w:w="70" w:type="dxa"/>
              <w:start w:w="100" w:type="dxa"/>
              <w:bottom w:w="70" w:type="dxa"/>
              <w:end w:w="100" w:type="dxa"/>
            </w:tcMar>
            <w:vAlign w:val="top"/>
          </w:tcPr>
          <w:p>
            <w:pPr>
              <w:spacing w:after="20"/>
            </w:pPr>
            <w:r>
              <w:rPr>
                <w:sz w:val="16"/>
              </w:rPr>
              <w:t>Source of truth</w:t>
            </w:r>
          </w:p>
        </w:tc>
        <w:tc>
          <w:tcPr>
            <w:tcW w:type="dxa" w:w="7560"/>
            <w:tcMar>
              <w:top w:w="70" w:type="dxa"/>
              <w:start w:w="100" w:type="dxa"/>
              <w:bottom w:w="70" w:type="dxa"/>
              <w:end w:w="100" w:type="dxa"/>
            </w:tcMar>
            <w:vAlign w:val="top"/>
          </w:tcPr>
          <w:p>
            <w:pPr>
              <w:spacing w:after="20"/>
            </w:pPr>
            <w:r>
              <w:rPr>
                <w:sz w:val="16"/>
              </w:rPr>
              <w:t>Git repository after PRD and approved screen assets are committed</w:t>
            </w:r>
          </w:p>
        </w:tc>
      </w:tr>
    </w:tbl>
    <w:p>
      <w:pPr>
        <w:spacing w:after="20"/>
      </w:pPr>
    </w:p>
    <w:tbl>
      <w:tblPr>
        <w:tblW w:type="auto" w:w="0"/>
        <w:tblLayout w:type="fixed"/>
        <w:tblLook w:firstColumn="1" w:firstRow="1" w:lastColumn="0" w:lastRow="0" w:noHBand="0" w:noVBand="1" w:val="04A0"/>
      </w:tblPr>
      <w:tblGrid>
        <w:gridCol w:w="9994"/>
      </w:tblGrid>
      <w:tr>
        <w:tc>
          <w:tcPr>
            <w:tcW w:type="dxa" w:w="9720"/>
            <w:shd w:fill="EAF2F8"/>
            <w:tcMar>
              <w:top w:w="70" w:type="dxa"/>
              <w:start w:w="100" w:type="dxa"/>
              <w:bottom w:w="70" w:type="dxa"/>
              <w:end w:w="100" w:type="dxa"/>
            </w:tcMar>
          </w:tcPr>
          <w:p>
            <w:r>
              <w:rPr>
                <w:b/>
                <w:color w:val="1F5F9F"/>
              </w:rPr>
              <w:t xml:space="preserve">Increment decision  </w:t>
            </w:r>
            <w:r>
              <w:t>I13 is the Video Face/Speech/Voice Learning &amp; Pipeline Revalidation increment. It replaces pseudo-video fragment playback with one immutable source video positioned at evidence-backed moments.</w:t>
            </w:r>
          </w:p>
        </w:tc>
      </w:tr>
    </w:tbl>
    <w:p>
      <w:pPr>
        <w:spacing w:after="20"/>
      </w:pPr>
    </w:p>
    <w:p>
      <w:pPr>
        <w:pStyle w:val="Heading1"/>
      </w:pPr>
      <w:r>
        <w:t>1. Executive outcome</w:t>
      </w:r>
    </w:p>
    <w:p>
      <w:r>
        <w:t>MemoryBox will preserve each source video as one immutable object while producing many derived, time-addressed observations and moments. Face, voice, transcript, confidence, correction, and provenance records must point back to that source. The workflow must be proven on the existing bounded test-video corpus before archive-wide processing can be enabled.</w:t>
      </w:r>
    </w:p>
    <w:p>
      <w:pPr>
        <w:pStyle w:val="ListBullet"/>
        <w:spacing w:after="60"/>
      </w:pPr>
      <w:r>
        <w:t>Repair the approximately 155,000-recognition-event explosion and 1–2 second fragment artifacts.</w:t>
      </w:r>
    </w:p>
    <w:p>
      <w:pPr>
        <w:pStyle w:val="ListBullet"/>
        <w:spacing w:after="60"/>
      </w:pPr>
      <w:r>
        <w:t>Open the source video at a requested playhead position and continue normal playback.</w:t>
      </w:r>
    </w:p>
    <w:p>
      <w:pPr>
        <w:pStyle w:val="ListBullet"/>
        <w:spacing w:after="60"/>
      </w:pPr>
      <w:r>
        <w:t>Synchronize transcript navigation and playback in both directions.</w:t>
      </w:r>
    </w:p>
    <w:p>
      <w:pPr>
        <w:pStyle w:val="ListBullet"/>
        <w:spacing w:after="60"/>
      </w:pPr>
      <w:r>
        <w:t>Support owner-confirmed face and voice learning, independently or as corroborating evidence.</w:t>
      </w:r>
    </w:p>
    <w:p>
      <w:pPr>
        <w:pStyle w:val="ListBullet"/>
        <w:spacing w:after="60"/>
      </w:pPr>
      <w:r>
        <w:t>Provide reversible correction/retirement and lightweight owner-facing job visibility.</w:t>
      </w:r>
    </w:p>
    <w:p>
      <w:pPr>
        <w:pStyle w:val="ListBullet"/>
        <w:spacing w:after="60"/>
      </w:pPr>
      <w:r>
        <w:t>Prevent Archive-Wide Recognition Unlock until bounded-corpus acceptance is explicitly recorded.</w:t>
      </w:r>
    </w:p>
    <w:p>
      <w:pPr>
        <w:pStyle w:val="Heading1"/>
      </w:pPr>
      <w:r>
        <w:t>2. Mandatory code-first assessment</w:t>
      </w:r>
    </w:p>
    <w:tbl>
      <w:tblPr>
        <w:tblW w:type="auto" w:w="0"/>
        <w:tblLayout w:type="fixed"/>
        <w:tblLook w:firstColumn="1" w:firstRow="1" w:lastColumn="0" w:lastRow="0" w:noHBand="0" w:noVBand="1" w:val="04A0"/>
      </w:tblPr>
      <w:tblGrid>
        <w:gridCol w:w="9994"/>
      </w:tblGrid>
      <w:tr>
        <w:tc>
          <w:tcPr>
            <w:tcW w:type="dxa" w:w="9720"/>
            <w:shd w:fill="FFF2CC"/>
            <w:tcMar>
              <w:top w:w="70" w:type="dxa"/>
              <w:start w:w="100" w:type="dxa"/>
              <w:bottom w:w="70" w:type="dxa"/>
              <w:end w:w="100" w:type="dxa"/>
            </w:tcMar>
          </w:tcPr>
          <w:p>
            <w:r>
              <w:rPr>
                <w:b/>
                <w:color w:val="1F5F9F"/>
              </w:rPr>
              <w:t xml:space="preserve">First implementation action  </w:t>
            </w:r>
            <w:r>
              <w:t>Inspect the repository, migrations, data model, workers, tests, and current UI. Classify every requirement as Complete, Partial, Defective, Missing, or Unknown. Do not rebuild working behavior merely because it appears in this PRD. Preserve valid behavior and make the smallest coherent change.</w:t>
            </w:r>
          </w:p>
        </w:tc>
      </w:tr>
    </w:tbl>
    <w:p>
      <w:pPr>
        <w:spacing w:after="20"/>
      </w:pPr>
    </w:p>
    <w:p>
      <w:r>
        <w:t>I13 deliberately steps back into previously implemented areas. Codex must revalidate Gallery video cards, timeline expansion and increasing temporal precision, modal navigation, Person filtering, source-video retrieval, transcript display, jump-to-moment behavior, job plumbing, and face learning.</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728"/>
            <w:shd w:fill="DCE6F1"/>
            <w:tcMar>
              <w:top w:w="70" w:type="dxa"/>
              <w:start w:w="100" w:type="dxa"/>
              <w:bottom w:w="70" w:type="dxa"/>
              <w:end w:w="100" w:type="dxa"/>
            </w:tcMar>
          </w:tcPr>
          <w:p>
            <w:r>
              <w:rPr>
                <w:b/>
                <w:sz w:val="17"/>
              </w:rPr>
              <w:t>State</w:t>
            </w:r>
          </w:p>
        </w:tc>
        <w:tc>
          <w:tcPr>
            <w:tcW w:type="dxa" w:w="8064"/>
            <w:shd w:fill="DCE6F1"/>
            <w:tcMar>
              <w:top w:w="70" w:type="dxa"/>
              <w:start w:w="100" w:type="dxa"/>
              <w:bottom w:w="70" w:type="dxa"/>
              <w:end w:w="100" w:type="dxa"/>
            </w:tcMar>
          </w:tcPr>
          <w:p>
            <w:r>
              <w:rPr>
                <w:b/>
                <w:sz w:val="17"/>
              </w:rPr>
              <w:t>Required evidence</w:t>
            </w:r>
          </w:p>
        </w:tc>
      </w:tr>
      <w:tr>
        <w:trPr>
          <w:cantSplit/>
        </w:trPr>
        <w:tc>
          <w:tcPr>
            <w:tcW w:type="dxa" w:w="1728"/>
            <w:tcMar>
              <w:top w:w="70" w:type="dxa"/>
              <w:start w:w="100" w:type="dxa"/>
              <w:bottom w:w="70" w:type="dxa"/>
              <w:end w:w="100" w:type="dxa"/>
            </w:tcMar>
            <w:vAlign w:val="top"/>
          </w:tcPr>
          <w:p>
            <w:pPr>
              <w:spacing w:after="20"/>
            </w:pPr>
            <w:r>
              <w:rPr>
                <w:sz w:val="16"/>
              </w:rPr>
              <w:t>Complete</w:t>
            </w:r>
          </w:p>
        </w:tc>
        <w:tc>
          <w:tcPr>
            <w:tcW w:type="dxa" w:w="8064"/>
            <w:tcMar>
              <w:top w:w="70" w:type="dxa"/>
              <w:start w:w="100" w:type="dxa"/>
              <w:bottom w:w="70" w:type="dxa"/>
              <w:end w:w="100" w:type="dxa"/>
            </w:tcMar>
            <w:vAlign w:val="top"/>
          </w:tcPr>
          <w:p>
            <w:pPr>
              <w:spacing w:after="20"/>
            </w:pPr>
            <w:r>
              <w:rPr>
                <w:sz w:val="16"/>
              </w:rPr>
              <w:t>Code location plus automated test or reproducible proof.</w:t>
            </w:r>
          </w:p>
        </w:tc>
      </w:tr>
      <w:tr>
        <w:trPr>
          <w:cantSplit/>
        </w:trPr>
        <w:tc>
          <w:tcPr>
            <w:tcW w:type="dxa" w:w="1728"/>
            <w:tcMar>
              <w:top w:w="70" w:type="dxa"/>
              <w:start w:w="100" w:type="dxa"/>
              <w:bottom w:w="70" w:type="dxa"/>
              <w:end w:w="100" w:type="dxa"/>
            </w:tcMar>
            <w:vAlign w:val="top"/>
          </w:tcPr>
          <w:p>
            <w:pPr>
              <w:spacing w:after="20"/>
            </w:pPr>
            <w:r>
              <w:rPr>
                <w:sz w:val="16"/>
              </w:rPr>
              <w:t>Partial</w:t>
            </w:r>
          </w:p>
        </w:tc>
        <w:tc>
          <w:tcPr>
            <w:tcW w:type="dxa" w:w="8064"/>
            <w:tcMar>
              <w:top w:w="70" w:type="dxa"/>
              <w:start w:w="100" w:type="dxa"/>
              <w:bottom w:w="70" w:type="dxa"/>
              <w:end w:w="100" w:type="dxa"/>
            </w:tcMar>
            <w:vAlign w:val="top"/>
          </w:tcPr>
          <w:p>
            <w:pPr>
              <w:spacing w:after="20"/>
            </w:pPr>
            <w:r>
              <w:rPr>
                <w:sz w:val="16"/>
              </w:rPr>
              <w:t>Working portion, missing portion, and extension risk.</w:t>
            </w:r>
          </w:p>
        </w:tc>
      </w:tr>
      <w:tr>
        <w:trPr>
          <w:cantSplit/>
        </w:trPr>
        <w:tc>
          <w:tcPr>
            <w:tcW w:type="dxa" w:w="1728"/>
            <w:tcMar>
              <w:top w:w="70" w:type="dxa"/>
              <w:start w:w="100" w:type="dxa"/>
              <w:bottom w:w="70" w:type="dxa"/>
              <w:end w:w="100" w:type="dxa"/>
            </w:tcMar>
            <w:vAlign w:val="top"/>
          </w:tcPr>
          <w:p>
            <w:pPr>
              <w:spacing w:after="20"/>
            </w:pPr>
            <w:r>
              <w:rPr>
                <w:sz w:val="16"/>
              </w:rPr>
              <w:t>Defective</w:t>
            </w:r>
          </w:p>
        </w:tc>
        <w:tc>
          <w:tcPr>
            <w:tcW w:type="dxa" w:w="8064"/>
            <w:tcMar>
              <w:top w:w="70" w:type="dxa"/>
              <w:start w:w="100" w:type="dxa"/>
              <w:bottom w:w="70" w:type="dxa"/>
              <w:end w:w="100" w:type="dxa"/>
            </w:tcMar>
            <w:vAlign w:val="top"/>
          </w:tcPr>
          <w:p>
            <w:pPr>
              <w:spacing w:after="20"/>
            </w:pPr>
            <w:r>
              <w:rPr>
                <w:sz w:val="16"/>
              </w:rPr>
              <w:t>Reproduction, root cause, affected data, and safe remediation.</w:t>
            </w:r>
          </w:p>
        </w:tc>
      </w:tr>
      <w:tr>
        <w:trPr>
          <w:cantSplit/>
        </w:trPr>
        <w:tc>
          <w:tcPr>
            <w:tcW w:type="dxa" w:w="1728"/>
            <w:tcMar>
              <w:top w:w="70" w:type="dxa"/>
              <w:start w:w="100" w:type="dxa"/>
              <w:bottom w:w="70" w:type="dxa"/>
              <w:end w:w="100" w:type="dxa"/>
            </w:tcMar>
            <w:vAlign w:val="top"/>
          </w:tcPr>
          <w:p>
            <w:pPr>
              <w:spacing w:after="20"/>
            </w:pPr>
            <w:r>
              <w:rPr>
                <w:sz w:val="16"/>
              </w:rPr>
              <w:t>Missing</w:t>
            </w:r>
          </w:p>
        </w:tc>
        <w:tc>
          <w:tcPr>
            <w:tcW w:type="dxa" w:w="8064"/>
            <w:tcMar>
              <w:top w:w="70" w:type="dxa"/>
              <w:start w:w="100" w:type="dxa"/>
              <w:bottom w:w="70" w:type="dxa"/>
              <w:end w:w="100" w:type="dxa"/>
            </w:tcMar>
            <w:vAlign w:val="top"/>
          </w:tcPr>
          <w:p>
            <w:pPr>
              <w:spacing w:after="20"/>
            </w:pPr>
            <w:r>
              <w:rPr>
                <w:sz w:val="16"/>
              </w:rPr>
              <w:t>Proposed implementation and dependency impact.</w:t>
            </w:r>
          </w:p>
        </w:tc>
      </w:tr>
      <w:tr>
        <w:trPr>
          <w:cantSplit/>
        </w:trPr>
        <w:tc>
          <w:tcPr>
            <w:tcW w:type="dxa" w:w="1728"/>
            <w:tcMar>
              <w:top w:w="70" w:type="dxa"/>
              <w:start w:w="100" w:type="dxa"/>
              <w:bottom w:w="70" w:type="dxa"/>
              <w:end w:w="100" w:type="dxa"/>
            </w:tcMar>
            <w:vAlign w:val="top"/>
          </w:tcPr>
          <w:p>
            <w:pPr>
              <w:spacing w:after="20"/>
            </w:pPr>
            <w:r>
              <w:rPr>
                <w:sz w:val="16"/>
              </w:rPr>
              <w:t>Unknown</w:t>
            </w:r>
          </w:p>
        </w:tc>
        <w:tc>
          <w:tcPr>
            <w:tcW w:type="dxa" w:w="8064"/>
            <w:tcMar>
              <w:top w:w="70" w:type="dxa"/>
              <w:start w:w="100" w:type="dxa"/>
              <w:bottom w:w="70" w:type="dxa"/>
              <w:end w:w="100" w:type="dxa"/>
            </w:tcMar>
            <w:vAlign w:val="top"/>
          </w:tcPr>
          <w:p>
            <w:pPr>
              <w:spacing w:after="20"/>
            </w:pPr>
            <w:r>
              <w:rPr>
                <w:sz w:val="16"/>
              </w:rPr>
              <w:t>Investigation required; never silently treated as missing.</w:t>
            </w:r>
          </w:p>
        </w:tc>
      </w:tr>
    </w:tbl>
    <w:p>
      <w:pPr>
        <w:spacing w:after="20"/>
      </w:pPr>
    </w:p>
    <w:p>
      <w:pPr>
        <w:pStyle w:val="Heading1"/>
      </w:pPr>
      <w:r>
        <w:t>3. Scope and implementation order</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547"/>
            <w:shd w:fill="DCE6F1"/>
            <w:tcMar>
              <w:top w:w="70" w:type="dxa"/>
              <w:start w:w="100" w:type="dxa"/>
              <w:bottom w:w="70" w:type="dxa"/>
              <w:end w:w="100" w:type="dxa"/>
            </w:tcMar>
          </w:tcPr>
          <w:p>
            <w:r>
              <w:rPr>
                <w:b/>
                <w:sz w:val="17"/>
              </w:rPr>
              <w:t>#</w:t>
            </w:r>
          </w:p>
        </w:tc>
        <w:tc>
          <w:tcPr>
            <w:tcW w:type="dxa" w:w="2232"/>
            <w:shd w:fill="DCE6F1"/>
            <w:tcMar>
              <w:top w:w="70" w:type="dxa"/>
              <w:start w:w="100" w:type="dxa"/>
              <w:bottom w:w="70" w:type="dxa"/>
              <w:end w:w="100" w:type="dxa"/>
            </w:tcMar>
          </w:tcPr>
          <w:p>
            <w:r>
              <w:rPr>
                <w:b/>
                <w:sz w:val="17"/>
              </w:rPr>
              <w:t>Workstream</w:t>
            </w:r>
          </w:p>
        </w:tc>
        <w:tc>
          <w:tcPr>
            <w:tcW w:type="dxa" w:w="7013"/>
            <w:shd w:fill="DCE6F1"/>
            <w:tcMar>
              <w:top w:w="70" w:type="dxa"/>
              <w:start w:w="100" w:type="dxa"/>
              <w:bottom w:w="70" w:type="dxa"/>
              <w:end w:w="100" w:type="dxa"/>
            </w:tcMar>
          </w:tcPr>
          <w:p>
            <w:r>
              <w:rPr>
                <w:b/>
                <w:sz w:val="17"/>
              </w:rPr>
              <w:t>Required result</w:t>
            </w:r>
          </w:p>
        </w:tc>
      </w:tr>
      <w:tr>
        <w:trPr>
          <w:cantSplit/>
        </w:trPr>
        <w:tc>
          <w:tcPr>
            <w:tcW w:type="dxa" w:w="547"/>
            <w:tcMar>
              <w:top w:w="70" w:type="dxa"/>
              <w:start w:w="100" w:type="dxa"/>
              <w:bottom w:w="70" w:type="dxa"/>
              <w:end w:w="100" w:type="dxa"/>
            </w:tcMar>
            <w:vAlign w:val="top"/>
          </w:tcPr>
          <w:p>
            <w:pPr>
              <w:spacing w:after="20"/>
            </w:pPr>
            <w:r>
              <w:rPr>
                <w:sz w:val="16"/>
              </w:rPr>
              <w:t>1</w:t>
            </w:r>
          </w:p>
        </w:tc>
        <w:tc>
          <w:tcPr>
            <w:tcW w:type="dxa" w:w="2232"/>
            <w:tcMar>
              <w:top w:w="70" w:type="dxa"/>
              <w:start w:w="100" w:type="dxa"/>
              <w:bottom w:w="70" w:type="dxa"/>
              <w:end w:w="100" w:type="dxa"/>
            </w:tcMar>
            <w:vAlign w:val="top"/>
          </w:tcPr>
          <w:p>
            <w:pPr>
              <w:spacing w:after="20"/>
            </w:pPr>
            <w:r>
              <w:rPr>
                <w:sz w:val="16"/>
              </w:rPr>
              <w:t>Repair defects</w:t>
            </w:r>
          </w:p>
        </w:tc>
        <w:tc>
          <w:tcPr>
            <w:tcW w:type="dxa" w:w="7013"/>
            <w:tcMar>
              <w:top w:w="70" w:type="dxa"/>
              <w:start w:w="100" w:type="dxa"/>
              <w:bottom w:w="70" w:type="dxa"/>
              <w:end w:w="100" w:type="dxa"/>
            </w:tcMar>
            <w:vAlign w:val="top"/>
          </w:tcPr>
          <w:p>
            <w:pPr>
              <w:spacing w:after="20"/>
            </w:pPr>
            <w:r>
              <w:rPr>
                <w:sz w:val="16"/>
              </w:rPr>
              <w:t>Diagnose cause; quarantine/supersede invalid derived data; prevent recurrence; prove idempotency.</w:t>
            </w:r>
          </w:p>
        </w:tc>
      </w:tr>
      <w:tr>
        <w:trPr>
          <w:cantSplit/>
        </w:trPr>
        <w:tc>
          <w:tcPr>
            <w:tcW w:type="dxa" w:w="547"/>
            <w:tcMar>
              <w:top w:w="70" w:type="dxa"/>
              <w:start w:w="100" w:type="dxa"/>
              <w:bottom w:w="70" w:type="dxa"/>
              <w:end w:w="100" w:type="dxa"/>
            </w:tcMar>
            <w:vAlign w:val="top"/>
          </w:tcPr>
          <w:p>
            <w:pPr>
              <w:spacing w:after="20"/>
            </w:pPr>
            <w:r>
              <w:rPr>
                <w:sz w:val="16"/>
              </w:rPr>
              <w:t>2</w:t>
            </w:r>
          </w:p>
        </w:tc>
        <w:tc>
          <w:tcPr>
            <w:tcW w:type="dxa" w:w="2232"/>
            <w:tcMar>
              <w:top w:w="70" w:type="dxa"/>
              <w:start w:w="100" w:type="dxa"/>
              <w:bottom w:w="70" w:type="dxa"/>
              <w:end w:w="100" w:type="dxa"/>
            </w:tcMar>
            <w:vAlign w:val="top"/>
          </w:tcPr>
          <w:p>
            <w:pPr>
              <w:spacing w:after="20"/>
            </w:pPr>
            <w:r>
              <w:rPr>
                <w:sz w:val="16"/>
              </w:rPr>
              <w:t>Source playback</w:t>
            </w:r>
          </w:p>
        </w:tc>
        <w:tc>
          <w:tcPr>
            <w:tcW w:type="dxa" w:w="7013"/>
            <w:tcMar>
              <w:top w:w="70" w:type="dxa"/>
              <w:start w:w="100" w:type="dxa"/>
              <w:bottom w:w="70" w:type="dxa"/>
              <w:end w:w="100" w:type="dxa"/>
            </w:tcMar>
            <w:vAlign w:val="top"/>
          </w:tcPr>
          <w:p>
            <w:pPr>
              <w:spacing w:after="20"/>
            </w:pPr>
            <w:r>
              <w:rPr>
                <w:sz w:val="16"/>
              </w:rPr>
              <w:t>One source object; seek to evidence start; no artificial stop.</w:t>
            </w:r>
          </w:p>
        </w:tc>
      </w:tr>
      <w:tr>
        <w:trPr>
          <w:cantSplit/>
        </w:trPr>
        <w:tc>
          <w:tcPr>
            <w:tcW w:type="dxa" w:w="547"/>
            <w:tcMar>
              <w:top w:w="70" w:type="dxa"/>
              <w:start w:w="100" w:type="dxa"/>
              <w:bottom w:w="70" w:type="dxa"/>
              <w:end w:w="100" w:type="dxa"/>
            </w:tcMar>
            <w:vAlign w:val="top"/>
          </w:tcPr>
          <w:p>
            <w:pPr>
              <w:spacing w:after="20"/>
            </w:pPr>
            <w:r>
              <w:rPr>
                <w:sz w:val="16"/>
              </w:rPr>
              <w:t>3</w:t>
            </w:r>
          </w:p>
        </w:tc>
        <w:tc>
          <w:tcPr>
            <w:tcW w:type="dxa" w:w="2232"/>
            <w:tcMar>
              <w:top w:w="70" w:type="dxa"/>
              <w:start w:w="100" w:type="dxa"/>
              <w:bottom w:w="70" w:type="dxa"/>
              <w:end w:w="100" w:type="dxa"/>
            </w:tcMar>
            <w:vAlign w:val="top"/>
          </w:tcPr>
          <w:p>
            <w:pPr>
              <w:spacing w:after="20"/>
            </w:pPr>
            <w:r>
              <w:rPr>
                <w:sz w:val="16"/>
              </w:rPr>
              <w:t>Transcript sync</w:t>
            </w:r>
          </w:p>
        </w:tc>
        <w:tc>
          <w:tcPr>
            <w:tcW w:type="dxa" w:w="7013"/>
            <w:tcMar>
              <w:top w:w="70" w:type="dxa"/>
              <w:start w:w="100" w:type="dxa"/>
              <w:bottom w:w="70" w:type="dxa"/>
              <w:end w:w="100" w:type="dxa"/>
            </w:tcMar>
            <w:vAlign w:val="top"/>
          </w:tcPr>
          <w:p>
            <w:pPr>
              <w:spacing w:after="20"/>
            </w:pPr>
            <w:r>
              <w:rPr>
                <w:sz w:val="16"/>
              </w:rPr>
              <w:t>Viewport follows playhead; transcript selection seeks video; manual scrolling remains usable.</w:t>
            </w:r>
          </w:p>
        </w:tc>
      </w:tr>
      <w:tr>
        <w:trPr>
          <w:cantSplit/>
        </w:trPr>
        <w:tc>
          <w:tcPr>
            <w:tcW w:type="dxa" w:w="547"/>
            <w:tcMar>
              <w:top w:w="70" w:type="dxa"/>
              <w:start w:w="100" w:type="dxa"/>
              <w:bottom w:w="70" w:type="dxa"/>
              <w:end w:w="100" w:type="dxa"/>
            </w:tcMar>
            <w:vAlign w:val="top"/>
          </w:tcPr>
          <w:p>
            <w:pPr>
              <w:spacing w:after="20"/>
            </w:pPr>
            <w:r>
              <w:rPr>
                <w:sz w:val="16"/>
              </w:rPr>
              <w:t>4</w:t>
            </w:r>
          </w:p>
        </w:tc>
        <w:tc>
          <w:tcPr>
            <w:tcW w:type="dxa" w:w="2232"/>
            <w:tcMar>
              <w:top w:w="70" w:type="dxa"/>
              <w:start w:w="100" w:type="dxa"/>
              <w:bottom w:w="70" w:type="dxa"/>
              <w:end w:w="100" w:type="dxa"/>
            </w:tcMar>
            <w:vAlign w:val="top"/>
          </w:tcPr>
          <w:p>
            <w:pPr>
              <w:spacing w:after="20"/>
            </w:pPr>
            <w:r>
              <w:rPr>
                <w:sz w:val="16"/>
              </w:rPr>
              <w:t>Face tracking</w:t>
            </w:r>
          </w:p>
        </w:tc>
        <w:tc>
          <w:tcPr>
            <w:tcW w:type="dxa" w:w="7013"/>
            <w:tcMar>
              <w:top w:w="70" w:type="dxa"/>
              <w:start w:w="100" w:type="dxa"/>
              <w:bottom w:w="70" w:type="dxa"/>
              <w:end w:w="100" w:type="dxa"/>
            </w:tcMar>
            <w:vAlign w:val="top"/>
          </w:tcPr>
          <w:p>
            <w:pPr>
              <w:spacing w:after="20"/>
            </w:pPr>
            <w:r>
              <w:rPr>
                <w:sz w:val="16"/>
              </w:rPr>
              <w:t>Revalidate exemplars, continuity, gaps, joins, and sustained-person grouping.</w:t>
            </w:r>
          </w:p>
        </w:tc>
      </w:tr>
      <w:tr>
        <w:trPr>
          <w:cantSplit/>
        </w:trPr>
        <w:tc>
          <w:tcPr>
            <w:tcW w:type="dxa" w:w="547"/>
            <w:tcMar>
              <w:top w:w="70" w:type="dxa"/>
              <w:start w:w="100" w:type="dxa"/>
              <w:bottom w:w="70" w:type="dxa"/>
              <w:end w:w="100" w:type="dxa"/>
            </w:tcMar>
            <w:vAlign w:val="top"/>
          </w:tcPr>
          <w:p>
            <w:pPr>
              <w:spacing w:after="20"/>
            </w:pPr>
            <w:r>
              <w:rPr>
                <w:sz w:val="16"/>
              </w:rPr>
              <w:t>5</w:t>
            </w:r>
          </w:p>
        </w:tc>
        <w:tc>
          <w:tcPr>
            <w:tcW w:type="dxa" w:w="2232"/>
            <w:tcMar>
              <w:top w:w="70" w:type="dxa"/>
              <w:start w:w="100" w:type="dxa"/>
              <w:bottom w:w="70" w:type="dxa"/>
              <w:end w:w="100" w:type="dxa"/>
            </w:tcMar>
            <w:vAlign w:val="top"/>
          </w:tcPr>
          <w:p>
            <w:pPr>
              <w:spacing w:after="20"/>
            </w:pPr>
            <w:r>
              <w:rPr>
                <w:sz w:val="16"/>
              </w:rPr>
              <w:t>Face Learn</w:t>
            </w:r>
          </w:p>
        </w:tc>
        <w:tc>
          <w:tcPr>
            <w:tcW w:type="dxa" w:w="7013"/>
            <w:tcMar>
              <w:top w:w="70" w:type="dxa"/>
              <w:start w:w="100" w:type="dxa"/>
              <w:bottom w:w="70" w:type="dxa"/>
              <w:end w:w="100" w:type="dxa"/>
            </w:tcMar>
            <w:vAlign w:val="top"/>
          </w:tcPr>
          <w:p>
            <w:pPr>
              <w:spacing w:after="20"/>
            </w:pPr>
            <w:r>
              <w:rPr>
                <w:sz w:val="16"/>
              </w:rPr>
              <w:t>Pause, box face, assign Person, confirm, persist evidence, queue bounded recognition.</w:t>
            </w:r>
          </w:p>
        </w:tc>
      </w:tr>
      <w:tr>
        <w:trPr>
          <w:cantSplit/>
        </w:trPr>
        <w:tc>
          <w:tcPr>
            <w:tcW w:type="dxa" w:w="547"/>
            <w:tcMar>
              <w:top w:w="70" w:type="dxa"/>
              <w:start w:w="100" w:type="dxa"/>
              <w:bottom w:w="70" w:type="dxa"/>
              <w:end w:w="100" w:type="dxa"/>
            </w:tcMar>
            <w:vAlign w:val="top"/>
          </w:tcPr>
          <w:p>
            <w:pPr>
              <w:spacing w:after="20"/>
            </w:pPr>
            <w:r>
              <w:rPr>
                <w:sz w:val="16"/>
              </w:rPr>
              <w:t>6</w:t>
            </w:r>
          </w:p>
        </w:tc>
        <w:tc>
          <w:tcPr>
            <w:tcW w:type="dxa" w:w="2232"/>
            <w:tcMar>
              <w:top w:w="70" w:type="dxa"/>
              <w:start w:w="100" w:type="dxa"/>
              <w:bottom w:w="70" w:type="dxa"/>
              <w:end w:w="100" w:type="dxa"/>
            </w:tcMar>
            <w:vAlign w:val="top"/>
          </w:tcPr>
          <w:p>
            <w:pPr>
              <w:spacing w:after="20"/>
            </w:pPr>
            <w:r>
              <w:rPr>
                <w:sz w:val="16"/>
              </w:rPr>
              <w:t>Voice Learn</w:t>
            </w:r>
          </w:p>
        </w:tc>
        <w:tc>
          <w:tcPr>
            <w:tcW w:type="dxa" w:w="7013"/>
            <w:tcMar>
              <w:top w:w="70" w:type="dxa"/>
              <w:start w:w="100" w:type="dxa"/>
              <w:bottom w:w="70" w:type="dxa"/>
              <w:end w:w="100" w:type="dxa"/>
            </w:tcMar>
            <w:vAlign w:val="top"/>
          </w:tcPr>
          <w:p>
            <w:pPr>
              <w:spacing w:after="20"/>
            </w:pPr>
            <w:r>
              <w:rPr>
                <w:sz w:val="16"/>
              </w:rPr>
              <w:t>Select/refine interval, edit correction overlay, assign Person, confirm quality.</w:t>
            </w:r>
          </w:p>
        </w:tc>
      </w:tr>
      <w:tr>
        <w:trPr>
          <w:cantSplit/>
        </w:trPr>
        <w:tc>
          <w:tcPr>
            <w:tcW w:type="dxa" w:w="547"/>
            <w:tcMar>
              <w:top w:w="70" w:type="dxa"/>
              <w:start w:w="100" w:type="dxa"/>
              <w:bottom w:w="70" w:type="dxa"/>
              <w:end w:w="100" w:type="dxa"/>
            </w:tcMar>
            <w:vAlign w:val="top"/>
          </w:tcPr>
          <w:p>
            <w:pPr>
              <w:spacing w:after="20"/>
            </w:pPr>
            <w:r>
              <w:rPr>
                <w:sz w:val="16"/>
              </w:rPr>
              <w:t>7</w:t>
            </w:r>
          </w:p>
        </w:tc>
        <w:tc>
          <w:tcPr>
            <w:tcW w:type="dxa" w:w="2232"/>
            <w:tcMar>
              <w:top w:w="70" w:type="dxa"/>
              <w:start w:w="100" w:type="dxa"/>
              <w:bottom w:w="70" w:type="dxa"/>
              <w:end w:w="100" w:type="dxa"/>
            </w:tcMar>
            <w:vAlign w:val="top"/>
          </w:tcPr>
          <w:p>
            <w:pPr>
              <w:spacing w:after="20"/>
            </w:pPr>
            <w:r>
              <w:rPr>
                <w:sz w:val="16"/>
              </w:rPr>
              <w:t>Recognition</w:t>
            </w:r>
          </w:p>
        </w:tc>
        <w:tc>
          <w:tcPr>
            <w:tcW w:type="dxa" w:w="7013"/>
            <w:tcMar>
              <w:top w:w="70" w:type="dxa"/>
              <w:start w:w="100" w:type="dxa"/>
              <w:bottom w:w="70" w:type="dxa"/>
              <w:end w:w="100" w:type="dxa"/>
            </w:tcMar>
            <w:vAlign w:val="top"/>
          </w:tcPr>
          <w:p>
            <w:pPr>
              <w:spacing w:after="20"/>
            </w:pPr>
            <w:r>
              <w:rPr>
                <w:sz w:val="16"/>
              </w:rPr>
              <w:t>Run voice recognition and face/voice corroboration without requiring face presence.</w:t>
            </w:r>
          </w:p>
        </w:tc>
      </w:tr>
      <w:tr>
        <w:trPr>
          <w:cantSplit/>
        </w:trPr>
        <w:tc>
          <w:tcPr>
            <w:tcW w:type="dxa" w:w="547"/>
            <w:tcMar>
              <w:top w:w="70" w:type="dxa"/>
              <w:start w:w="100" w:type="dxa"/>
              <w:bottom w:w="70" w:type="dxa"/>
              <w:end w:w="100" w:type="dxa"/>
            </w:tcMar>
            <w:vAlign w:val="top"/>
          </w:tcPr>
          <w:p>
            <w:pPr>
              <w:spacing w:after="20"/>
            </w:pPr>
            <w:r>
              <w:rPr>
                <w:sz w:val="16"/>
              </w:rPr>
              <w:t>8</w:t>
            </w:r>
          </w:p>
        </w:tc>
        <w:tc>
          <w:tcPr>
            <w:tcW w:type="dxa" w:w="2232"/>
            <w:tcMar>
              <w:top w:w="70" w:type="dxa"/>
              <w:start w:w="100" w:type="dxa"/>
              <w:bottom w:w="70" w:type="dxa"/>
              <w:end w:w="100" w:type="dxa"/>
            </w:tcMar>
            <w:vAlign w:val="top"/>
          </w:tcPr>
          <w:p>
            <w:pPr>
              <w:spacing w:after="20"/>
            </w:pPr>
            <w:r>
              <w:rPr>
                <w:sz w:val="16"/>
              </w:rPr>
              <w:t>Lifecycle</w:t>
            </w:r>
          </w:p>
        </w:tc>
        <w:tc>
          <w:tcPr>
            <w:tcW w:type="dxa" w:w="7013"/>
            <w:tcMar>
              <w:top w:w="70" w:type="dxa"/>
              <w:start w:w="100" w:type="dxa"/>
              <w:bottom w:w="70" w:type="dxa"/>
              <w:end w:w="100" w:type="dxa"/>
            </w:tcMar>
            <w:vAlign w:val="top"/>
          </w:tcPr>
          <w:p>
            <w:pPr>
              <w:spacing w:after="20"/>
            </w:pPr>
            <w:r>
              <w:rPr>
                <w:sz w:val="16"/>
              </w:rPr>
              <w:t>Correct Person, retire evidence, invalidate dependent outputs, reprocess affected bounded scope.</w:t>
            </w:r>
          </w:p>
        </w:tc>
      </w:tr>
      <w:tr>
        <w:trPr>
          <w:cantSplit/>
        </w:trPr>
        <w:tc>
          <w:tcPr>
            <w:tcW w:type="dxa" w:w="547"/>
            <w:tcMar>
              <w:top w:w="70" w:type="dxa"/>
              <w:start w:w="100" w:type="dxa"/>
              <w:bottom w:w="70" w:type="dxa"/>
              <w:end w:w="100" w:type="dxa"/>
            </w:tcMar>
            <w:vAlign w:val="top"/>
          </w:tcPr>
          <w:p>
            <w:pPr>
              <w:spacing w:after="20"/>
            </w:pPr>
            <w:r>
              <w:rPr>
                <w:sz w:val="16"/>
              </w:rPr>
              <w:t>9</w:t>
            </w:r>
          </w:p>
        </w:tc>
        <w:tc>
          <w:tcPr>
            <w:tcW w:type="dxa" w:w="2232"/>
            <w:tcMar>
              <w:top w:w="70" w:type="dxa"/>
              <w:start w:w="100" w:type="dxa"/>
              <w:bottom w:w="70" w:type="dxa"/>
              <w:end w:w="100" w:type="dxa"/>
            </w:tcMar>
            <w:vAlign w:val="top"/>
          </w:tcPr>
          <w:p>
            <w:pPr>
              <w:spacing w:after="20"/>
            </w:pPr>
            <w:r>
              <w:rPr>
                <w:sz w:val="16"/>
              </w:rPr>
              <w:t>Administration</w:t>
            </w:r>
          </w:p>
        </w:tc>
        <w:tc>
          <w:tcPr>
            <w:tcW w:type="dxa" w:w="7013"/>
            <w:tcMar>
              <w:top w:w="70" w:type="dxa"/>
              <w:start w:w="100" w:type="dxa"/>
              <w:bottom w:w="70" w:type="dxa"/>
              <w:end w:w="100" w:type="dxa"/>
            </w:tcMar>
            <w:vAlign w:val="top"/>
          </w:tcPr>
          <w:p>
            <w:pPr>
              <w:spacing w:after="20"/>
            </w:pPr>
            <w:r>
              <w:rPr>
                <w:sz w:val="16"/>
              </w:rPr>
              <w:t>Add owner-only Admin navigation and implement Archive Health, Processing Jobs, Learned Evidence, and Historian Campaigns destinations.</w:t>
            </w:r>
          </w:p>
        </w:tc>
      </w:tr>
      <w:tr>
        <w:trPr>
          <w:cantSplit/>
        </w:trPr>
        <w:tc>
          <w:tcPr>
            <w:tcW w:type="dxa" w:w="547"/>
            <w:tcMar>
              <w:top w:w="70" w:type="dxa"/>
              <w:start w:w="100" w:type="dxa"/>
              <w:bottom w:w="70" w:type="dxa"/>
              <w:end w:w="100" w:type="dxa"/>
            </w:tcMar>
            <w:vAlign w:val="top"/>
          </w:tcPr>
          <w:p>
            <w:pPr>
              <w:spacing w:after="20"/>
            </w:pPr>
            <w:r>
              <w:rPr>
                <w:sz w:val="16"/>
              </w:rPr>
              <w:t>10</w:t>
            </w:r>
          </w:p>
        </w:tc>
        <w:tc>
          <w:tcPr>
            <w:tcW w:type="dxa" w:w="2232"/>
            <w:tcMar>
              <w:top w:w="70" w:type="dxa"/>
              <w:start w:w="100" w:type="dxa"/>
              <w:bottom w:w="70" w:type="dxa"/>
              <w:end w:w="100" w:type="dxa"/>
            </w:tcMar>
            <w:vAlign w:val="top"/>
          </w:tcPr>
          <w:p>
            <w:pPr>
              <w:spacing w:after="20"/>
            </w:pPr>
            <w:r>
              <w:rPr>
                <w:sz w:val="16"/>
              </w:rPr>
              <w:t>Bounded run</w:t>
            </w:r>
          </w:p>
        </w:tc>
        <w:tc>
          <w:tcPr>
            <w:tcW w:type="dxa" w:w="7013"/>
            <w:tcMar>
              <w:top w:w="70" w:type="dxa"/>
              <w:start w:w="100" w:type="dxa"/>
              <w:bottom w:w="70" w:type="dxa"/>
              <w:end w:w="100" w:type="dxa"/>
            </w:tcMar>
            <w:vAlign w:val="top"/>
          </w:tcPr>
          <w:p>
            <w:pPr>
              <w:spacing w:after="20"/>
            </w:pPr>
            <w:r>
              <w:rPr>
                <w:sz w:val="16"/>
              </w:rPr>
              <w:t>Use only a manifest-controlled test corpus.</w:t>
            </w:r>
          </w:p>
        </w:tc>
      </w:tr>
      <w:tr>
        <w:trPr>
          <w:cantSplit/>
        </w:trPr>
        <w:tc>
          <w:tcPr>
            <w:tcW w:type="dxa" w:w="547"/>
            <w:tcMar>
              <w:top w:w="70" w:type="dxa"/>
              <w:start w:w="100" w:type="dxa"/>
              <w:bottom w:w="70" w:type="dxa"/>
              <w:end w:w="100" w:type="dxa"/>
            </w:tcMar>
            <w:vAlign w:val="top"/>
          </w:tcPr>
          <w:p>
            <w:pPr>
              <w:spacing w:after="20"/>
            </w:pPr>
            <w:r>
              <w:rPr>
                <w:sz w:val="16"/>
              </w:rPr>
              <w:t>11</w:t>
            </w:r>
          </w:p>
        </w:tc>
        <w:tc>
          <w:tcPr>
            <w:tcW w:type="dxa" w:w="2232"/>
            <w:tcMar>
              <w:top w:w="70" w:type="dxa"/>
              <w:start w:w="100" w:type="dxa"/>
              <w:bottom w:w="70" w:type="dxa"/>
              <w:end w:w="100" w:type="dxa"/>
            </w:tcMar>
            <w:vAlign w:val="top"/>
          </w:tcPr>
          <w:p>
            <w:pPr>
              <w:spacing w:after="20"/>
            </w:pPr>
            <w:r>
              <w:rPr>
                <w:sz w:val="16"/>
              </w:rPr>
              <w:t>Acceptance</w:t>
            </w:r>
          </w:p>
        </w:tc>
        <w:tc>
          <w:tcPr>
            <w:tcW w:type="dxa" w:w="7013"/>
            <w:tcMar>
              <w:top w:w="70" w:type="dxa"/>
              <w:start w:w="100" w:type="dxa"/>
              <w:bottom w:w="70" w:type="dxa"/>
              <w:end w:w="100" w:type="dxa"/>
            </w:tcMar>
            <w:vAlign w:val="top"/>
          </w:tcPr>
          <w:p>
            <w:pPr>
              <w:spacing w:after="20"/>
            </w:pPr>
            <w:r>
              <w:rPr>
                <w:sz w:val="16"/>
              </w:rPr>
              <w:t>Pass functional, integrity, regression, performance, and safety gates.</w:t>
            </w:r>
          </w:p>
        </w:tc>
      </w:tr>
      <w:tr>
        <w:trPr>
          <w:cantSplit/>
        </w:trPr>
        <w:tc>
          <w:tcPr>
            <w:tcW w:type="dxa" w:w="547"/>
            <w:tcMar>
              <w:top w:w="70" w:type="dxa"/>
              <w:start w:w="100" w:type="dxa"/>
              <w:bottom w:w="70" w:type="dxa"/>
              <w:end w:w="100" w:type="dxa"/>
            </w:tcMar>
            <w:vAlign w:val="top"/>
          </w:tcPr>
          <w:p>
            <w:pPr>
              <w:spacing w:after="20"/>
            </w:pPr>
            <w:r>
              <w:rPr>
                <w:sz w:val="16"/>
              </w:rPr>
              <w:t>12</w:t>
            </w:r>
          </w:p>
        </w:tc>
        <w:tc>
          <w:tcPr>
            <w:tcW w:type="dxa" w:w="2232"/>
            <w:tcMar>
              <w:top w:w="70" w:type="dxa"/>
              <w:start w:w="100" w:type="dxa"/>
              <w:bottom w:w="70" w:type="dxa"/>
              <w:end w:w="100" w:type="dxa"/>
            </w:tcMar>
            <w:vAlign w:val="top"/>
          </w:tcPr>
          <w:p>
            <w:pPr>
              <w:spacing w:after="20"/>
            </w:pPr>
            <w:r>
              <w:rPr>
                <w:sz w:val="16"/>
              </w:rPr>
              <w:t>Recognition unlock</w:t>
            </w:r>
          </w:p>
        </w:tc>
        <w:tc>
          <w:tcPr>
            <w:tcW w:type="dxa" w:w="7013"/>
            <w:tcMar>
              <w:top w:w="70" w:type="dxa"/>
              <w:start w:w="100" w:type="dxa"/>
              <w:bottom w:w="70" w:type="dxa"/>
              <w:end w:w="100" w:type="dxa"/>
            </w:tcMar>
            <w:vAlign w:val="top"/>
          </w:tcPr>
          <w:p>
            <w:pPr>
              <w:spacing w:after="20"/>
            </w:pPr>
            <w:r>
              <w:rPr>
                <w:sz w:val="16"/>
              </w:rPr>
              <w:t>Manual Archive-Wide Recognition Unlock only after founder acceptance; unlocking does not start processing.</w:t>
            </w:r>
          </w:p>
        </w:tc>
      </w:tr>
    </w:tbl>
    <w:p>
      <w:pPr>
        <w:spacing w:after="20"/>
      </w:pPr>
    </w:p>
    <w:p>
      <w:pPr>
        <w:pStyle w:val="Heading1"/>
      </w:pPr>
      <w:r>
        <w:t>4. Architecture and evidence model</w:t>
      </w:r>
    </w:p>
    <w:tbl>
      <w:tblPr>
        <w:tblW w:type="auto" w:w="0"/>
        <w:tblLayout w:type="fixed"/>
        <w:tblLook w:firstColumn="1" w:firstRow="1" w:lastColumn="0" w:lastRow="0" w:noHBand="0" w:noVBand="1" w:val="04A0"/>
      </w:tblPr>
      <w:tblGrid>
        <w:gridCol w:w="9994"/>
      </w:tblGrid>
      <w:tr>
        <w:tc>
          <w:tcPr>
            <w:tcW w:type="dxa" w:w="9720"/>
            <w:shd w:fill="EAF2F8"/>
            <w:tcMar>
              <w:top w:w="70" w:type="dxa"/>
              <w:start w:w="100" w:type="dxa"/>
              <w:bottom w:w="70" w:type="dxa"/>
              <w:end w:w="100" w:type="dxa"/>
            </w:tcMar>
          </w:tcPr>
          <w:p>
            <w:r>
              <w:rPr>
                <w:b/>
                <w:color w:val="1F5F9F"/>
              </w:rPr>
              <w:t xml:space="preserve">Architectural invariant  </w:t>
            </w:r>
            <w:r>
              <w:t>One immutable source video → many derived observations/moments → many possible People → face/voice/transcript evidence → all linked to the same source. Derived records are not new videos.</w:t>
            </w:r>
          </w:p>
        </w:tc>
      </w:tr>
    </w:tbl>
    <w:p>
      <w:pPr>
        <w:spacing w:after="20"/>
      </w:pP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DCE6F1"/>
            <w:tcMar>
              <w:top w:w="70" w:type="dxa"/>
              <w:start w:w="100" w:type="dxa"/>
              <w:bottom w:w="70" w:type="dxa"/>
              <w:end w:w="100" w:type="dxa"/>
            </w:tcMar>
          </w:tcPr>
          <w:p>
            <w:r>
              <w:rPr>
                <w:b/>
                <w:sz w:val="17"/>
              </w:rPr>
              <w:t>Concept</w:t>
            </w:r>
          </w:p>
        </w:tc>
        <w:tc>
          <w:tcPr>
            <w:tcW w:type="dxa" w:w="7848"/>
            <w:shd w:fill="DCE6F1"/>
            <w:tcMar>
              <w:top w:w="70" w:type="dxa"/>
              <w:start w:w="100" w:type="dxa"/>
              <w:bottom w:w="70" w:type="dxa"/>
              <w:end w:w="100" w:type="dxa"/>
            </w:tcMar>
          </w:tcPr>
          <w:p>
            <w:r>
              <w:rPr>
                <w:b/>
                <w:sz w:val="17"/>
              </w:rPr>
              <w:t>Requirement</w:t>
            </w:r>
          </w:p>
        </w:tc>
      </w:tr>
      <w:tr>
        <w:trPr>
          <w:cantSplit/>
        </w:trPr>
        <w:tc>
          <w:tcPr>
            <w:tcW w:type="dxa" w:w="1944"/>
            <w:tcMar>
              <w:top w:w="70" w:type="dxa"/>
              <w:start w:w="100" w:type="dxa"/>
              <w:bottom w:w="70" w:type="dxa"/>
              <w:end w:w="100" w:type="dxa"/>
            </w:tcMar>
            <w:vAlign w:val="top"/>
          </w:tcPr>
          <w:p>
            <w:pPr>
              <w:spacing w:after="20"/>
            </w:pPr>
            <w:r>
              <w:rPr>
                <w:sz w:val="16"/>
              </w:rPr>
              <w:t>Source Video</w:t>
            </w:r>
          </w:p>
        </w:tc>
        <w:tc>
          <w:tcPr>
            <w:tcW w:type="dxa" w:w="7848"/>
            <w:tcMar>
              <w:top w:w="70" w:type="dxa"/>
              <w:start w:w="100" w:type="dxa"/>
              <w:bottom w:w="70" w:type="dxa"/>
              <w:end w:w="100" w:type="dxa"/>
            </w:tcMar>
            <w:vAlign w:val="top"/>
          </w:tcPr>
          <w:p>
            <w:pPr>
              <w:spacing w:after="20"/>
            </w:pPr>
            <w:r>
              <w:rPr>
                <w:sz w:val="16"/>
              </w:rPr>
              <w:t>Immutable provider-backed object with stable ID, duration, source date, provenance, and playable locator.</w:t>
            </w:r>
          </w:p>
        </w:tc>
      </w:tr>
      <w:tr>
        <w:trPr>
          <w:cantSplit/>
        </w:trPr>
        <w:tc>
          <w:tcPr>
            <w:tcW w:type="dxa" w:w="1944"/>
            <w:tcMar>
              <w:top w:w="70" w:type="dxa"/>
              <w:start w:w="100" w:type="dxa"/>
              <w:bottom w:w="70" w:type="dxa"/>
              <w:end w:w="100" w:type="dxa"/>
            </w:tcMar>
            <w:vAlign w:val="top"/>
          </w:tcPr>
          <w:p>
            <w:pPr>
              <w:spacing w:after="20"/>
            </w:pPr>
            <w:r>
              <w:rPr>
                <w:sz w:val="16"/>
              </w:rPr>
              <w:t>Observation</w:t>
            </w:r>
          </w:p>
        </w:tc>
        <w:tc>
          <w:tcPr>
            <w:tcW w:type="dxa" w:w="7848"/>
            <w:tcMar>
              <w:top w:w="70" w:type="dxa"/>
              <w:start w:w="100" w:type="dxa"/>
              <w:bottom w:w="70" w:type="dxa"/>
              <w:end w:w="100" w:type="dxa"/>
            </w:tcMar>
            <w:vAlign w:val="top"/>
          </w:tcPr>
          <w:p>
            <w:pPr>
              <w:spacing w:after="20"/>
            </w:pPr>
            <w:r>
              <w:rPr>
                <w:sz w:val="16"/>
              </w:rPr>
              <w:t>Time-ranged face box, tracked appearance, speech interval, or transcript-token range.</w:t>
            </w:r>
          </w:p>
        </w:tc>
      </w:tr>
      <w:tr>
        <w:trPr>
          <w:cantSplit/>
        </w:trPr>
        <w:tc>
          <w:tcPr>
            <w:tcW w:type="dxa" w:w="1944"/>
            <w:tcMar>
              <w:top w:w="70" w:type="dxa"/>
              <w:start w:w="100" w:type="dxa"/>
              <w:bottom w:w="70" w:type="dxa"/>
              <w:end w:w="100" w:type="dxa"/>
            </w:tcMar>
            <w:vAlign w:val="top"/>
          </w:tcPr>
          <w:p>
            <w:pPr>
              <w:spacing w:after="20"/>
            </w:pPr>
            <w:r>
              <w:rPr>
                <w:sz w:val="16"/>
              </w:rPr>
              <w:t>Moment</w:t>
            </w:r>
          </w:p>
        </w:tc>
        <w:tc>
          <w:tcPr>
            <w:tcW w:type="dxa" w:w="7848"/>
            <w:tcMar>
              <w:top w:w="70" w:type="dxa"/>
              <w:start w:w="100" w:type="dxa"/>
              <w:bottom w:w="70" w:type="dxa"/>
              <w:end w:w="100" w:type="dxa"/>
            </w:tcMar>
            <w:vAlign w:val="top"/>
          </w:tcPr>
          <w:p>
            <w:pPr>
              <w:spacing w:after="20"/>
            </w:pPr>
            <w:r>
              <w:rPr>
                <w:sz w:val="16"/>
              </w:rPr>
              <w:t>Retrieval/presentation grouping over one source video; start time and optional relevance interval, never copied media.</w:t>
            </w:r>
          </w:p>
        </w:tc>
      </w:tr>
      <w:tr>
        <w:trPr>
          <w:cantSplit/>
        </w:trPr>
        <w:tc>
          <w:tcPr>
            <w:tcW w:type="dxa" w:w="1944"/>
            <w:tcMar>
              <w:top w:w="70" w:type="dxa"/>
              <w:start w:w="100" w:type="dxa"/>
              <w:bottom w:w="70" w:type="dxa"/>
              <w:end w:w="100" w:type="dxa"/>
            </w:tcMar>
            <w:vAlign w:val="top"/>
          </w:tcPr>
          <w:p>
            <w:pPr>
              <w:spacing w:after="20"/>
            </w:pPr>
            <w:r>
              <w:rPr>
                <w:sz w:val="16"/>
              </w:rPr>
              <w:t>Learned Evidence</w:t>
            </w:r>
          </w:p>
        </w:tc>
        <w:tc>
          <w:tcPr>
            <w:tcW w:type="dxa" w:w="7848"/>
            <w:tcMar>
              <w:top w:w="70" w:type="dxa"/>
              <w:start w:w="100" w:type="dxa"/>
              <w:bottom w:w="70" w:type="dxa"/>
              <w:end w:w="100" w:type="dxa"/>
            </w:tcMar>
            <w:vAlign w:val="top"/>
          </w:tcPr>
          <w:p>
            <w:pPr>
              <w:spacing w:after="20"/>
            </w:pPr>
            <w:r>
              <w:rPr>
                <w:sz w:val="16"/>
              </w:rPr>
              <w:t>Owner-confirmed exemplar tied to Person, source, interval/frame, method, quality, status, and provenance.</w:t>
            </w:r>
          </w:p>
        </w:tc>
      </w:tr>
      <w:tr>
        <w:trPr>
          <w:cantSplit/>
        </w:trPr>
        <w:tc>
          <w:tcPr>
            <w:tcW w:type="dxa" w:w="1944"/>
            <w:tcMar>
              <w:top w:w="70" w:type="dxa"/>
              <w:start w:w="100" w:type="dxa"/>
              <w:bottom w:w="70" w:type="dxa"/>
              <w:end w:w="100" w:type="dxa"/>
            </w:tcMar>
            <w:vAlign w:val="top"/>
          </w:tcPr>
          <w:p>
            <w:pPr>
              <w:spacing w:after="20"/>
            </w:pPr>
            <w:r>
              <w:rPr>
                <w:sz w:val="16"/>
              </w:rPr>
              <w:t>Suggestion</w:t>
            </w:r>
          </w:p>
        </w:tc>
        <w:tc>
          <w:tcPr>
            <w:tcW w:type="dxa" w:w="7848"/>
            <w:tcMar>
              <w:top w:w="70" w:type="dxa"/>
              <w:start w:w="100" w:type="dxa"/>
              <w:bottom w:w="70" w:type="dxa"/>
              <w:end w:w="100" w:type="dxa"/>
            </w:tcMar>
            <w:vAlign w:val="top"/>
          </w:tcPr>
          <w:p>
            <w:pPr>
              <w:spacing w:after="20"/>
            </w:pPr>
            <w:r>
              <w:rPr>
                <w:sz w:val="16"/>
              </w:rPr>
              <w:t>Machine-derived Person association reviewable according to confidence and policy.</w:t>
            </w:r>
          </w:p>
        </w:tc>
      </w:tr>
      <w:tr>
        <w:trPr>
          <w:cantSplit/>
        </w:trPr>
        <w:tc>
          <w:tcPr>
            <w:tcW w:type="dxa" w:w="1944"/>
            <w:tcMar>
              <w:top w:w="70" w:type="dxa"/>
              <w:start w:w="100" w:type="dxa"/>
              <w:bottom w:w="70" w:type="dxa"/>
              <w:end w:w="100" w:type="dxa"/>
            </w:tcMar>
            <w:vAlign w:val="top"/>
          </w:tcPr>
          <w:p>
            <w:pPr>
              <w:spacing w:after="20"/>
            </w:pPr>
            <w:r>
              <w:rPr>
                <w:sz w:val="16"/>
              </w:rPr>
              <w:t>Correction</w:t>
            </w:r>
          </w:p>
        </w:tc>
        <w:tc>
          <w:tcPr>
            <w:tcW w:type="dxa" w:w="7848"/>
            <w:tcMar>
              <w:top w:w="70" w:type="dxa"/>
              <w:start w:w="100" w:type="dxa"/>
              <w:bottom w:w="70" w:type="dxa"/>
              <w:end w:w="100" w:type="dxa"/>
            </w:tcMar>
            <w:vAlign w:val="top"/>
          </w:tcPr>
          <w:p>
            <w:pPr>
              <w:spacing w:after="20"/>
            </w:pPr>
            <w:r>
              <w:rPr>
                <w:sz w:val="16"/>
              </w:rPr>
              <w:t>Additive adjudication superseding an association while retaining history.</w:t>
            </w:r>
          </w:p>
        </w:tc>
      </w:tr>
      <w:tr>
        <w:trPr>
          <w:cantSplit/>
        </w:trPr>
        <w:tc>
          <w:tcPr>
            <w:tcW w:type="dxa" w:w="1944"/>
            <w:tcMar>
              <w:top w:w="70" w:type="dxa"/>
              <w:start w:w="100" w:type="dxa"/>
              <w:bottom w:w="70" w:type="dxa"/>
              <w:end w:w="100" w:type="dxa"/>
            </w:tcMar>
            <w:vAlign w:val="top"/>
          </w:tcPr>
          <w:p>
            <w:pPr>
              <w:spacing w:after="20"/>
            </w:pPr>
            <w:r>
              <w:rPr>
                <w:sz w:val="16"/>
              </w:rPr>
              <w:t>Retirement</w:t>
            </w:r>
          </w:p>
        </w:tc>
        <w:tc>
          <w:tcPr>
            <w:tcW w:type="dxa" w:w="7848"/>
            <w:tcMar>
              <w:top w:w="70" w:type="dxa"/>
              <w:start w:w="100" w:type="dxa"/>
              <w:bottom w:w="70" w:type="dxa"/>
              <w:end w:w="100" w:type="dxa"/>
            </w:tcMar>
            <w:vAlign w:val="top"/>
          </w:tcPr>
          <w:p>
            <w:pPr>
              <w:spacing w:after="20"/>
            </w:pPr>
            <w:r>
              <w:rPr>
                <w:sz w:val="16"/>
              </w:rPr>
              <w:t>Stops future exemplar use; preserves source/history; may trigger reprocessing.</w:t>
            </w:r>
          </w:p>
        </w:tc>
      </w:tr>
      <w:tr>
        <w:trPr>
          <w:cantSplit/>
        </w:trPr>
        <w:tc>
          <w:tcPr>
            <w:tcW w:type="dxa" w:w="1944"/>
            <w:tcMar>
              <w:top w:w="70" w:type="dxa"/>
              <w:start w:w="100" w:type="dxa"/>
              <w:bottom w:w="70" w:type="dxa"/>
              <w:end w:w="100" w:type="dxa"/>
            </w:tcMar>
            <w:vAlign w:val="top"/>
          </w:tcPr>
          <w:p>
            <w:pPr>
              <w:spacing w:after="20"/>
            </w:pPr>
            <w:r>
              <w:rPr>
                <w:sz w:val="16"/>
              </w:rPr>
              <w:t>Processing Job</w:t>
            </w:r>
          </w:p>
        </w:tc>
        <w:tc>
          <w:tcPr>
            <w:tcW w:type="dxa" w:w="7848"/>
            <w:tcMar>
              <w:top w:w="70" w:type="dxa"/>
              <w:start w:w="100" w:type="dxa"/>
              <w:bottom w:w="70" w:type="dxa"/>
              <w:end w:w="100" w:type="dxa"/>
            </w:tcMar>
            <w:vAlign w:val="top"/>
          </w:tcPr>
          <w:p>
            <w:pPr>
              <w:spacing w:after="20"/>
            </w:pPr>
            <w:r>
              <w:rPr>
                <w:sz w:val="16"/>
              </w:rPr>
              <w:t>Bounded work unit with scope, state, progress, counts, timestamps, and error summary.</w:t>
            </w:r>
          </w:p>
        </w:tc>
      </w:tr>
    </w:tbl>
    <w:p>
      <w:pPr>
        <w:spacing w:after="20"/>
      </w:pPr>
    </w:p>
    <w:p>
      <w:pPr>
        <w:pStyle w:val="Heading2"/>
      </w:pPr>
      <w:r>
        <w:t>4.1 Integrity rules</w:t>
      </w:r>
    </w:p>
    <w:p>
      <w:pPr>
        <w:pStyle w:val="ListBullet"/>
        <w:spacing w:after="60"/>
      </w:pPr>
      <w:r>
        <w:t>No writes back to Immich; provider data may remain as provenance hints.</w:t>
      </w:r>
    </w:p>
    <w:p>
      <w:pPr>
        <w:pStyle w:val="ListBullet"/>
        <w:spacing w:after="60"/>
      </w:pPr>
      <w:r>
        <w:t>Source video, original audio, and original machine transcript remain preserved. Owner text edits are correction overlays.</w:t>
      </w:r>
    </w:p>
    <w:p>
      <w:pPr>
        <w:pStyle w:val="ListBullet"/>
        <w:spacing w:after="60"/>
      </w:pPr>
      <w:r>
        <w:t>Derived writes are idempotent for the same pipeline version, source, model, and parameters.</w:t>
      </w:r>
    </w:p>
    <w:p>
      <w:pPr>
        <w:pStyle w:val="ListBullet"/>
        <w:spacing w:after="60"/>
      </w:pPr>
      <w:r>
        <w:t>Uniqueness prevents repeated runs from multiplying equivalent observations.</w:t>
      </w:r>
    </w:p>
    <w:p>
      <w:pPr>
        <w:pStyle w:val="ListBullet"/>
        <w:spacing w:after="60"/>
      </w:pPr>
      <w:r>
        <w:t>A Person may appear without speaking or speak off-camera; neither modality requires the other.</w:t>
      </w:r>
    </w:p>
    <w:p>
      <w:pPr>
        <w:pStyle w:val="ListBullet"/>
        <w:spacing w:after="60"/>
      </w:pPr>
      <w:r>
        <w:t>Face co-occurrence alone does not establish the speaker. Face may corroborate independent voice evidence.</w:t>
      </w:r>
    </w:p>
    <w:p>
      <w:pPr>
        <w:pStyle w:val="ListBullet"/>
        <w:spacing w:after="60"/>
      </w:pPr>
      <w:r>
        <w:t>Every Gallery result resolves to the source video and a valid playhead time.</w:t>
      </w:r>
    </w:p>
    <w:p>
      <w:pPr>
        <w:pStyle w:val="Heading1"/>
      </w:pPr>
      <w:r>
        <w:t>5. Functional requirements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512"/>
            <w:shd w:fill="DCE6F1"/>
            <w:tcMar>
              <w:top w:w="70" w:type="dxa"/>
              <w:start w:w="100" w:type="dxa"/>
              <w:bottom w:w="70" w:type="dxa"/>
              <w:end w:w="100" w:type="dxa"/>
            </w:tcMar>
          </w:tcPr>
          <w:p>
            <w:r>
              <w:rPr>
                <w:b/>
                <w:sz w:val="17"/>
              </w:rPr>
              <w:t>ID</w:t>
            </w:r>
          </w:p>
        </w:tc>
        <w:tc>
          <w:tcPr>
            <w:tcW w:type="dxa" w:w="1656"/>
            <w:shd w:fill="DCE6F1"/>
            <w:tcMar>
              <w:top w:w="70" w:type="dxa"/>
              <w:start w:w="100" w:type="dxa"/>
              <w:bottom w:w="70" w:type="dxa"/>
              <w:end w:w="100" w:type="dxa"/>
            </w:tcMar>
          </w:tcPr>
          <w:p>
            <w:r>
              <w:rPr>
                <w:b/>
                <w:sz w:val="17"/>
              </w:rPr>
              <w:t>Area</w:t>
            </w:r>
          </w:p>
        </w:tc>
        <w:tc>
          <w:tcPr>
            <w:tcW w:type="dxa" w:w="6624"/>
            <w:shd w:fill="DCE6F1"/>
            <w:tcMar>
              <w:top w:w="70" w:type="dxa"/>
              <w:start w:w="100" w:type="dxa"/>
              <w:bottom w:w="70" w:type="dxa"/>
              <w:end w:w="100" w:type="dxa"/>
            </w:tcMar>
          </w:tcPr>
          <w:p>
            <w:r>
              <w:rPr>
                <w:b/>
                <w:sz w:val="17"/>
              </w:rPr>
              <w:t>Requirement</w:t>
            </w:r>
          </w:p>
        </w:tc>
      </w:tr>
      <w:tr>
        <w:trPr>
          <w:cantSplit/>
        </w:trPr>
        <w:tc>
          <w:tcPr>
            <w:tcW w:type="dxa" w:w="1512"/>
            <w:tcMar>
              <w:top w:w="70" w:type="dxa"/>
              <w:start w:w="100" w:type="dxa"/>
              <w:bottom w:w="70" w:type="dxa"/>
              <w:end w:w="100" w:type="dxa"/>
            </w:tcMar>
            <w:vAlign w:val="top"/>
          </w:tcPr>
          <w:p>
            <w:pPr>
              <w:spacing w:after="20"/>
            </w:pPr>
            <w:r>
              <w:rPr>
                <w:sz w:val="16"/>
              </w:rPr>
              <w:t>I13-FR-001</w:t>
            </w:r>
          </w:p>
        </w:tc>
        <w:tc>
          <w:tcPr>
            <w:tcW w:type="dxa" w:w="1656"/>
            <w:tcMar>
              <w:top w:w="70" w:type="dxa"/>
              <w:start w:w="100" w:type="dxa"/>
              <w:bottom w:w="70" w:type="dxa"/>
              <w:end w:w="100" w:type="dxa"/>
            </w:tcMar>
            <w:vAlign w:val="top"/>
          </w:tcPr>
          <w:p>
            <w:pPr>
              <w:spacing w:after="20"/>
            </w:pPr>
            <w:r>
              <w:rPr>
                <w:sz w:val="16"/>
              </w:rPr>
              <w:t>Inventory</w:t>
            </w:r>
          </w:p>
        </w:tc>
        <w:tc>
          <w:tcPr>
            <w:tcW w:type="dxa" w:w="6624"/>
            <w:tcMar>
              <w:top w:w="70" w:type="dxa"/>
              <w:start w:w="100" w:type="dxa"/>
              <w:bottom w:w="70" w:type="dxa"/>
              <w:end w:w="100" w:type="dxa"/>
            </w:tcMar>
            <w:vAlign w:val="top"/>
          </w:tcPr>
          <w:p>
            <w:pPr>
              <w:spacing w:after="20"/>
            </w:pPr>
            <w:r>
              <w:rPr>
                <w:sz w:val="16"/>
              </w:rPr>
              <w:t>Enumerate current recognition tables, queues, derivatives, and API/UI consumers before schema changes.</w:t>
            </w:r>
          </w:p>
        </w:tc>
      </w:tr>
      <w:tr>
        <w:trPr>
          <w:cantSplit/>
        </w:trPr>
        <w:tc>
          <w:tcPr>
            <w:tcW w:type="dxa" w:w="1512"/>
            <w:tcMar>
              <w:top w:w="70" w:type="dxa"/>
              <w:start w:w="100" w:type="dxa"/>
              <w:bottom w:w="70" w:type="dxa"/>
              <w:end w:w="100" w:type="dxa"/>
            </w:tcMar>
            <w:vAlign w:val="top"/>
          </w:tcPr>
          <w:p>
            <w:pPr>
              <w:spacing w:after="20"/>
            </w:pPr>
            <w:r>
              <w:rPr>
                <w:sz w:val="16"/>
              </w:rPr>
              <w:t>I13-FR-002</w:t>
            </w:r>
          </w:p>
        </w:tc>
        <w:tc>
          <w:tcPr>
            <w:tcW w:type="dxa" w:w="1656"/>
            <w:tcMar>
              <w:top w:w="70" w:type="dxa"/>
              <w:start w:w="100" w:type="dxa"/>
              <w:bottom w:w="70" w:type="dxa"/>
              <w:end w:w="100" w:type="dxa"/>
            </w:tcMar>
            <w:vAlign w:val="top"/>
          </w:tcPr>
          <w:p>
            <w:pPr>
              <w:spacing w:after="20"/>
            </w:pPr>
            <w:r>
              <w:rPr>
                <w:sz w:val="16"/>
              </w:rPr>
              <w:t>Root cause</w:t>
            </w:r>
          </w:p>
        </w:tc>
        <w:tc>
          <w:tcPr>
            <w:tcW w:type="dxa" w:w="6624"/>
            <w:tcMar>
              <w:top w:w="70" w:type="dxa"/>
              <w:start w:w="100" w:type="dxa"/>
              <w:bottom w:w="70" w:type="dxa"/>
              <w:end w:w="100" w:type="dxa"/>
            </w:tcMar>
            <w:vAlign w:val="top"/>
          </w:tcPr>
          <w:p>
            <w:pPr>
              <w:spacing w:after="20"/>
            </w:pPr>
            <w:r>
              <w:rPr>
                <w:sz w:val="16"/>
              </w:rPr>
              <w:t>Reproduce and document the causal chain behind approximately 155,000 events.</w:t>
            </w:r>
          </w:p>
        </w:tc>
      </w:tr>
      <w:tr>
        <w:trPr>
          <w:cantSplit/>
        </w:trPr>
        <w:tc>
          <w:tcPr>
            <w:tcW w:type="dxa" w:w="1512"/>
            <w:tcMar>
              <w:top w:w="70" w:type="dxa"/>
              <w:start w:w="100" w:type="dxa"/>
              <w:bottom w:w="70" w:type="dxa"/>
              <w:end w:w="100" w:type="dxa"/>
            </w:tcMar>
            <w:vAlign w:val="top"/>
          </w:tcPr>
          <w:p>
            <w:pPr>
              <w:spacing w:after="20"/>
            </w:pPr>
            <w:r>
              <w:rPr>
                <w:sz w:val="16"/>
              </w:rPr>
              <w:t>I13-FR-003</w:t>
            </w:r>
          </w:p>
        </w:tc>
        <w:tc>
          <w:tcPr>
            <w:tcW w:type="dxa" w:w="1656"/>
            <w:tcMar>
              <w:top w:w="70" w:type="dxa"/>
              <w:start w:w="100" w:type="dxa"/>
              <w:bottom w:w="70" w:type="dxa"/>
              <w:end w:w="100" w:type="dxa"/>
            </w:tcMar>
            <w:vAlign w:val="top"/>
          </w:tcPr>
          <w:p>
            <w:pPr>
              <w:spacing w:after="20"/>
            </w:pPr>
            <w:r>
              <w:rPr>
                <w:sz w:val="16"/>
              </w:rPr>
              <w:t>Remediation</w:t>
            </w:r>
          </w:p>
        </w:tc>
        <w:tc>
          <w:tcPr>
            <w:tcW w:type="dxa" w:w="6624"/>
            <w:tcMar>
              <w:top w:w="70" w:type="dxa"/>
              <w:start w:w="100" w:type="dxa"/>
              <w:bottom w:w="70" w:type="dxa"/>
              <w:end w:w="100" w:type="dxa"/>
            </w:tcMar>
            <w:vAlign w:val="top"/>
          </w:tcPr>
          <w:p>
            <w:pPr>
              <w:spacing w:after="20"/>
            </w:pPr>
            <w:r>
              <w:rPr>
                <w:sz w:val="16"/>
              </w:rPr>
              <w:t>Back up, then quarantine/supersede invalid derived records; publish reconciled counts.</w:t>
            </w:r>
          </w:p>
        </w:tc>
      </w:tr>
      <w:tr>
        <w:trPr>
          <w:cantSplit/>
        </w:trPr>
        <w:tc>
          <w:tcPr>
            <w:tcW w:type="dxa" w:w="1512"/>
            <w:tcMar>
              <w:top w:w="70" w:type="dxa"/>
              <w:start w:w="100" w:type="dxa"/>
              <w:bottom w:w="70" w:type="dxa"/>
              <w:end w:w="100" w:type="dxa"/>
            </w:tcMar>
            <w:vAlign w:val="top"/>
          </w:tcPr>
          <w:p>
            <w:pPr>
              <w:spacing w:after="20"/>
            </w:pPr>
            <w:r>
              <w:rPr>
                <w:sz w:val="16"/>
              </w:rPr>
              <w:t>I13-FR-004</w:t>
            </w:r>
          </w:p>
        </w:tc>
        <w:tc>
          <w:tcPr>
            <w:tcW w:type="dxa" w:w="1656"/>
            <w:tcMar>
              <w:top w:w="70" w:type="dxa"/>
              <w:start w:w="100" w:type="dxa"/>
              <w:bottom w:w="70" w:type="dxa"/>
              <w:end w:w="100" w:type="dxa"/>
            </w:tcMar>
            <w:vAlign w:val="top"/>
          </w:tcPr>
          <w:p>
            <w:pPr>
              <w:spacing w:after="20"/>
            </w:pPr>
            <w:r>
              <w:rPr>
                <w:sz w:val="16"/>
              </w:rPr>
              <w:t>Idempotency</w:t>
            </w:r>
          </w:p>
        </w:tc>
        <w:tc>
          <w:tcPr>
            <w:tcW w:type="dxa" w:w="6624"/>
            <w:tcMar>
              <w:top w:w="70" w:type="dxa"/>
              <w:start w:w="100" w:type="dxa"/>
              <w:bottom w:w="70" w:type="dxa"/>
              <w:end w:w="100" w:type="dxa"/>
            </w:tcMar>
            <w:vAlign w:val="top"/>
          </w:tcPr>
          <w:p>
            <w:pPr>
              <w:spacing w:after="20"/>
            </w:pPr>
            <w:r>
              <w:rPr>
                <w:sz w:val="16"/>
              </w:rPr>
              <w:t>Identical bounded reruns cannot create equivalent duplicate observations or moments.</w:t>
            </w:r>
          </w:p>
        </w:tc>
      </w:tr>
      <w:tr>
        <w:trPr>
          <w:cantSplit/>
        </w:trPr>
        <w:tc>
          <w:tcPr>
            <w:tcW w:type="dxa" w:w="1512"/>
            <w:tcMar>
              <w:top w:w="70" w:type="dxa"/>
              <w:start w:w="100" w:type="dxa"/>
              <w:bottom w:w="70" w:type="dxa"/>
              <w:end w:w="100" w:type="dxa"/>
            </w:tcMar>
            <w:vAlign w:val="top"/>
          </w:tcPr>
          <w:p>
            <w:pPr>
              <w:spacing w:after="20"/>
            </w:pPr>
            <w:r>
              <w:rPr>
                <w:sz w:val="16"/>
              </w:rPr>
              <w:t>I13-FR-005</w:t>
            </w:r>
          </w:p>
        </w:tc>
        <w:tc>
          <w:tcPr>
            <w:tcW w:type="dxa" w:w="1656"/>
            <w:tcMar>
              <w:top w:w="70" w:type="dxa"/>
              <w:start w:w="100" w:type="dxa"/>
              <w:bottom w:w="70" w:type="dxa"/>
              <w:end w:w="100" w:type="dxa"/>
            </w:tcMar>
            <w:vAlign w:val="top"/>
          </w:tcPr>
          <w:p>
            <w:pPr>
              <w:spacing w:after="20"/>
            </w:pPr>
            <w:r>
              <w:rPr>
                <w:sz w:val="16"/>
              </w:rPr>
              <w:t>Playback</w:t>
            </w:r>
          </w:p>
        </w:tc>
        <w:tc>
          <w:tcPr>
            <w:tcW w:type="dxa" w:w="6624"/>
            <w:tcMar>
              <w:top w:w="70" w:type="dxa"/>
              <w:start w:w="100" w:type="dxa"/>
              <w:bottom w:w="70" w:type="dxa"/>
              <w:end w:w="100" w:type="dxa"/>
            </w:tcMar>
            <w:vAlign w:val="top"/>
          </w:tcPr>
          <w:p>
            <w:pPr>
              <w:spacing w:after="20"/>
            </w:pPr>
            <w:r>
              <w:rPr>
                <w:sz w:val="16"/>
              </w:rPr>
              <w:t>Load the source, seek to evidence start, and continue beyond the relevance interval.</w:t>
            </w:r>
          </w:p>
        </w:tc>
      </w:tr>
      <w:tr>
        <w:trPr>
          <w:cantSplit/>
        </w:trPr>
        <w:tc>
          <w:tcPr>
            <w:tcW w:type="dxa" w:w="1512"/>
            <w:tcMar>
              <w:top w:w="70" w:type="dxa"/>
              <w:start w:w="100" w:type="dxa"/>
              <w:bottom w:w="70" w:type="dxa"/>
              <w:end w:w="100" w:type="dxa"/>
            </w:tcMar>
            <w:vAlign w:val="top"/>
          </w:tcPr>
          <w:p>
            <w:pPr>
              <w:spacing w:after="20"/>
            </w:pPr>
            <w:r>
              <w:rPr>
                <w:sz w:val="16"/>
              </w:rPr>
              <w:t>I13-FR-006</w:t>
            </w:r>
          </w:p>
        </w:tc>
        <w:tc>
          <w:tcPr>
            <w:tcW w:type="dxa" w:w="1656"/>
            <w:tcMar>
              <w:top w:w="70" w:type="dxa"/>
              <w:start w:w="100" w:type="dxa"/>
              <w:bottom w:w="70" w:type="dxa"/>
              <w:end w:w="100" w:type="dxa"/>
            </w:tcMar>
            <w:vAlign w:val="top"/>
          </w:tcPr>
          <w:p>
            <w:pPr>
              <w:spacing w:after="20"/>
            </w:pPr>
            <w:r>
              <w:rPr>
                <w:sz w:val="16"/>
              </w:rPr>
              <w:t>Navigation</w:t>
            </w:r>
          </w:p>
        </w:tc>
        <w:tc>
          <w:tcPr>
            <w:tcW w:type="dxa" w:w="6624"/>
            <w:tcMar>
              <w:top w:w="70" w:type="dxa"/>
              <w:start w:w="100" w:type="dxa"/>
              <w:bottom w:w="70" w:type="dxa"/>
              <w:end w:w="100" w:type="dxa"/>
            </w:tcMar>
            <w:vAlign w:val="top"/>
          </w:tcPr>
          <w:p>
            <w:pPr>
              <w:spacing w:after="20"/>
            </w:pPr>
            <w:r>
              <w:rPr>
                <w:sz w:val="16"/>
              </w:rPr>
              <w:t>Previous/Next and Gallery return preserve query, filters, timeline range, sort, and scroll.</w:t>
            </w:r>
          </w:p>
        </w:tc>
      </w:tr>
      <w:tr>
        <w:trPr>
          <w:cantSplit/>
        </w:trPr>
        <w:tc>
          <w:tcPr>
            <w:tcW w:type="dxa" w:w="1512"/>
            <w:tcMar>
              <w:top w:w="70" w:type="dxa"/>
              <w:start w:w="100" w:type="dxa"/>
              <w:bottom w:w="70" w:type="dxa"/>
              <w:end w:w="100" w:type="dxa"/>
            </w:tcMar>
            <w:vAlign w:val="top"/>
          </w:tcPr>
          <w:p>
            <w:pPr>
              <w:spacing w:after="20"/>
            </w:pPr>
            <w:r>
              <w:rPr>
                <w:sz w:val="16"/>
              </w:rPr>
              <w:t>I13-FR-007</w:t>
            </w:r>
          </w:p>
        </w:tc>
        <w:tc>
          <w:tcPr>
            <w:tcW w:type="dxa" w:w="1656"/>
            <w:tcMar>
              <w:top w:w="70" w:type="dxa"/>
              <w:start w:w="100" w:type="dxa"/>
              <w:bottom w:w="70" w:type="dxa"/>
              <w:end w:w="100" w:type="dxa"/>
            </w:tcMar>
            <w:vAlign w:val="top"/>
          </w:tcPr>
          <w:p>
            <w:pPr>
              <w:spacing w:after="20"/>
            </w:pPr>
            <w:r>
              <w:rPr>
                <w:sz w:val="16"/>
              </w:rPr>
              <w:t>Transcript follow</w:t>
            </w:r>
          </w:p>
        </w:tc>
        <w:tc>
          <w:tcPr>
            <w:tcW w:type="dxa" w:w="6624"/>
            <w:tcMar>
              <w:top w:w="70" w:type="dxa"/>
              <w:start w:w="100" w:type="dxa"/>
              <w:bottom w:w="70" w:type="dxa"/>
              <w:end w:w="100" w:type="dxa"/>
            </w:tcMar>
            <w:vAlign w:val="top"/>
          </w:tcPr>
          <w:p>
            <w:pPr>
              <w:spacing w:after="20"/>
            </w:pPr>
            <w:r>
              <w:rPr>
                <w:sz w:val="16"/>
              </w:rPr>
              <w:t>Playback highlights/scrolls the active utterance without fighting deliberate scrolling.</w:t>
            </w:r>
          </w:p>
        </w:tc>
      </w:tr>
      <w:tr>
        <w:trPr>
          <w:cantSplit/>
        </w:trPr>
        <w:tc>
          <w:tcPr>
            <w:tcW w:type="dxa" w:w="1512"/>
            <w:tcMar>
              <w:top w:w="70" w:type="dxa"/>
              <w:start w:w="100" w:type="dxa"/>
              <w:bottom w:w="70" w:type="dxa"/>
              <w:end w:w="100" w:type="dxa"/>
            </w:tcMar>
            <w:vAlign w:val="top"/>
          </w:tcPr>
          <w:p>
            <w:pPr>
              <w:spacing w:after="20"/>
            </w:pPr>
            <w:r>
              <w:rPr>
                <w:sz w:val="16"/>
              </w:rPr>
              <w:t>I13-FR-008</w:t>
            </w:r>
          </w:p>
        </w:tc>
        <w:tc>
          <w:tcPr>
            <w:tcW w:type="dxa" w:w="1656"/>
            <w:tcMar>
              <w:top w:w="70" w:type="dxa"/>
              <w:start w:w="100" w:type="dxa"/>
              <w:bottom w:w="70" w:type="dxa"/>
              <w:end w:w="100" w:type="dxa"/>
            </w:tcMar>
            <w:vAlign w:val="top"/>
          </w:tcPr>
          <w:p>
            <w:pPr>
              <w:spacing w:after="20"/>
            </w:pPr>
            <w:r>
              <w:rPr>
                <w:sz w:val="16"/>
              </w:rPr>
              <w:t>Transcript seek</w:t>
            </w:r>
          </w:p>
        </w:tc>
        <w:tc>
          <w:tcPr>
            <w:tcW w:type="dxa" w:w="6624"/>
            <w:tcMar>
              <w:top w:w="70" w:type="dxa"/>
              <w:start w:w="100" w:type="dxa"/>
              <w:bottom w:w="70" w:type="dxa"/>
              <w:end w:w="100" w:type="dxa"/>
            </w:tcMar>
            <w:vAlign w:val="top"/>
          </w:tcPr>
          <w:p>
            <w:pPr>
              <w:spacing w:after="20"/>
            </w:pPr>
            <w:r>
              <w:rPr>
                <w:sz w:val="16"/>
              </w:rPr>
              <w:t>Selecting an utterance or timestamp seeks the source video.</w:t>
            </w:r>
          </w:p>
        </w:tc>
      </w:tr>
      <w:tr>
        <w:trPr>
          <w:cantSplit/>
        </w:trPr>
        <w:tc>
          <w:tcPr>
            <w:tcW w:type="dxa" w:w="1512"/>
            <w:tcMar>
              <w:top w:w="70" w:type="dxa"/>
              <w:start w:w="100" w:type="dxa"/>
              <w:bottom w:w="70" w:type="dxa"/>
              <w:end w:w="100" w:type="dxa"/>
            </w:tcMar>
            <w:vAlign w:val="top"/>
          </w:tcPr>
          <w:p>
            <w:pPr>
              <w:spacing w:after="20"/>
            </w:pPr>
            <w:r>
              <w:rPr>
                <w:sz w:val="16"/>
              </w:rPr>
              <w:t>I13-FR-009</w:t>
            </w:r>
          </w:p>
        </w:tc>
        <w:tc>
          <w:tcPr>
            <w:tcW w:type="dxa" w:w="1656"/>
            <w:tcMar>
              <w:top w:w="70" w:type="dxa"/>
              <w:start w:w="100" w:type="dxa"/>
              <w:bottom w:w="70" w:type="dxa"/>
              <w:end w:w="100" w:type="dxa"/>
            </w:tcMar>
            <w:vAlign w:val="top"/>
          </w:tcPr>
          <w:p>
            <w:pPr>
              <w:spacing w:after="20"/>
            </w:pPr>
            <w:r>
              <w:rPr>
                <w:sz w:val="16"/>
              </w:rPr>
              <w:t>Voice sample</w:t>
            </w:r>
          </w:p>
        </w:tc>
        <w:tc>
          <w:tcPr>
            <w:tcW w:type="dxa" w:w="6624"/>
            <w:tcMar>
              <w:top w:w="70" w:type="dxa"/>
              <w:start w:w="100" w:type="dxa"/>
              <w:bottom w:w="70" w:type="dxa"/>
              <w:end w:w="100" w:type="dxa"/>
            </w:tcMar>
            <w:vAlign w:val="top"/>
          </w:tcPr>
          <w:p>
            <w:pPr>
              <w:spacing w:after="20"/>
            </w:pPr>
            <w:r>
              <w:rPr>
                <w:sz w:val="16"/>
              </w:rPr>
              <w:t>Select/refine interval, edit overlay, see quality guidance, assign Person, confirm.</w:t>
            </w:r>
          </w:p>
        </w:tc>
      </w:tr>
      <w:tr>
        <w:trPr>
          <w:cantSplit/>
        </w:trPr>
        <w:tc>
          <w:tcPr>
            <w:tcW w:type="dxa" w:w="1512"/>
            <w:tcMar>
              <w:top w:w="70" w:type="dxa"/>
              <w:start w:w="100" w:type="dxa"/>
              <w:bottom w:w="70" w:type="dxa"/>
              <w:end w:w="100" w:type="dxa"/>
            </w:tcMar>
            <w:vAlign w:val="top"/>
          </w:tcPr>
          <w:p>
            <w:pPr>
              <w:spacing w:after="20"/>
            </w:pPr>
            <w:r>
              <w:rPr>
                <w:sz w:val="16"/>
              </w:rPr>
              <w:t>I13-FR-010</w:t>
            </w:r>
          </w:p>
        </w:tc>
        <w:tc>
          <w:tcPr>
            <w:tcW w:type="dxa" w:w="1656"/>
            <w:tcMar>
              <w:top w:w="70" w:type="dxa"/>
              <w:start w:w="100" w:type="dxa"/>
              <w:bottom w:w="70" w:type="dxa"/>
              <w:end w:w="100" w:type="dxa"/>
            </w:tcMar>
            <w:vAlign w:val="top"/>
          </w:tcPr>
          <w:p>
            <w:pPr>
              <w:spacing w:after="20"/>
            </w:pPr>
            <w:r>
              <w:rPr>
                <w:sz w:val="16"/>
              </w:rPr>
              <w:t>Face sample</w:t>
            </w:r>
          </w:p>
        </w:tc>
        <w:tc>
          <w:tcPr>
            <w:tcW w:type="dxa" w:w="6624"/>
            <w:tcMar>
              <w:top w:w="70" w:type="dxa"/>
              <w:start w:w="100" w:type="dxa"/>
              <w:bottom w:w="70" w:type="dxa"/>
              <w:end w:w="100" w:type="dxa"/>
            </w:tcMar>
            <w:vAlign w:val="top"/>
          </w:tcPr>
          <w:p>
            <w:pPr>
              <w:spacing w:after="20"/>
            </w:pPr>
            <w:r>
              <w:rPr>
                <w:sz w:val="16"/>
              </w:rPr>
              <w:t>Pause, box/select face, assign Person, inspect quality/state, confirm.</w:t>
            </w:r>
          </w:p>
        </w:tc>
      </w:tr>
      <w:tr>
        <w:trPr>
          <w:cantSplit/>
        </w:trPr>
        <w:tc>
          <w:tcPr>
            <w:tcW w:type="dxa" w:w="1512"/>
            <w:tcMar>
              <w:top w:w="70" w:type="dxa"/>
              <w:start w:w="100" w:type="dxa"/>
              <w:bottom w:w="70" w:type="dxa"/>
              <w:end w:w="100" w:type="dxa"/>
            </w:tcMar>
            <w:vAlign w:val="top"/>
          </w:tcPr>
          <w:p>
            <w:pPr>
              <w:spacing w:after="20"/>
            </w:pPr>
            <w:r>
              <w:rPr>
                <w:sz w:val="16"/>
              </w:rPr>
              <w:t>I13-FR-011</w:t>
            </w:r>
          </w:p>
        </w:tc>
        <w:tc>
          <w:tcPr>
            <w:tcW w:type="dxa" w:w="1656"/>
            <w:tcMar>
              <w:top w:w="70" w:type="dxa"/>
              <w:start w:w="100" w:type="dxa"/>
              <w:bottom w:w="70" w:type="dxa"/>
              <w:end w:w="100" w:type="dxa"/>
            </w:tcMar>
            <w:vAlign w:val="top"/>
          </w:tcPr>
          <w:p>
            <w:pPr>
              <w:spacing w:after="20"/>
            </w:pPr>
            <w:r>
              <w:rPr>
                <w:sz w:val="16"/>
              </w:rPr>
              <w:t>Combined Learn</w:t>
            </w:r>
          </w:p>
        </w:tc>
        <w:tc>
          <w:tcPr>
            <w:tcW w:type="dxa" w:w="6624"/>
            <w:tcMar>
              <w:top w:w="70" w:type="dxa"/>
              <w:start w:w="100" w:type="dxa"/>
              <w:bottom w:w="70" w:type="dxa"/>
              <w:end w:w="100" w:type="dxa"/>
            </w:tcMar>
            <w:vAlign w:val="top"/>
          </w:tcPr>
          <w:p>
            <w:pPr>
              <w:spacing w:after="20"/>
            </w:pPr>
            <w:r>
              <w:rPr>
                <w:sz w:val="16"/>
              </w:rPr>
              <w:t>One action may create face, voice, or both; each remains independent evidence.</w:t>
            </w:r>
          </w:p>
        </w:tc>
      </w:tr>
      <w:tr>
        <w:trPr>
          <w:cantSplit/>
        </w:trPr>
        <w:tc>
          <w:tcPr>
            <w:tcW w:type="dxa" w:w="1512"/>
            <w:tcMar>
              <w:top w:w="70" w:type="dxa"/>
              <w:start w:w="100" w:type="dxa"/>
              <w:bottom w:w="70" w:type="dxa"/>
              <w:end w:w="100" w:type="dxa"/>
            </w:tcMar>
            <w:vAlign w:val="top"/>
          </w:tcPr>
          <w:p>
            <w:pPr>
              <w:spacing w:after="20"/>
            </w:pPr>
            <w:r>
              <w:rPr>
                <w:sz w:val="16"/>
              </w:rPr>
              <w:t>I13-FR-012</w:t>
            </w:r>
          </w:p>
        </w:tc>
        <w:tc>
          <w:tcPr>
            <w:tcW w:type="dxa" w:w="1656"/>
            <w:tcMar>
              <w:top w:w="70" w:type="dxa"/>
              <w:start w:w="100" w:type="dxa"/>
              <w:bottom w:w="70" w:type="dxa"/>
              <w:end w:w="100" w:type="dxa"/>
            </w:tcMar>
            <w:vAlign w:val="top"/>
          </w:tcPr>
          <w:p>
            <w:pPr>
              <w:spacing w:after="20"/>
            </w:pPr>
            <w:r>
              <w:rPr>
                <w:sz w:val="16"/>
              </w:rPr>
              <w:t>Background work</w:t>
            </w:r>
          </w:p>
        </w:tc>
        <w:tc>
          <w:tcPr>
            <w:tcW w:type="dxa" w:w="6624"/>
            <w:tcMar>
              <w:top w:w="70" w:type="dxa"/>
              <w:start w:w="100" w:type="dxa"/>
              <w:bottom w:w="70" w:type="dxa"/>
              <w:end w:w="100" w:type="dxa"/>
            </w:tcMar>
            <w:vAlign w:val="top"/>
          </w:tcPr>
          <w:p>
            <w:pPr>
              <w:spacing w:after="20"/>
            </w:pPr>
            <w:r>
              <w:rPr>
                <w:sz w:val="16"/>
              </w:rPr>
              <w:t>Confirmed evidence queues work restricted to bounded scope and records model/config.</w:t>
            </w:r>
          </w:p>
        </w:tc>
      </w:tr>
      <w:tr>
        <w:trPr>
          <w:cantSplit/>
        </w:trPr>
        <w:tc>
          <w:tcPr>
            <w:tcW w:type="dxa" w:w="1512"/>
            <w:tcMar>
              <w:top w:w="70" w:type="dxa"/>
              <w:start w:w="100" w:type="dxa"/>
              <w:bottom w:w="70" w:type="dxa"/>
              <w:end w:w="100" w:type="dxa"/>
            </w:tcMar>
            <w:vAlign w:val="top"/>
          </w:tcPr>
          <w:p>
            <w:pPr>
              <w:spacing w:after="20"/>
            </w:pPr>
            <w:r>
              <w:rPr>
                <w:sz w:val="16"/>
              </w:rPr>
              <w:t>I13-FR-013</w:t>
            </w:r>
          </w:p>
        </w:tc>
        <w:tc>
          <w:tcPr>
            <w:tcW w:type="dxa" w:w="1656"/>
            <w:tcMar>
              <w:top w:w="70" w:type="dxa"/>
              <w:start w:w="100" w:type="dxa"/>
              <w:bottom w:w="70" w:type="dxa"/>
              <w:end w:w="100" w:type="dxa"/>
            </w:tcMar>
            <w:vAlign w:val="top"/>
          </w:tcPr>
          <w:p>
            <w:pPr>
              <w:spacing w:after="20"/>
            </w:pPr>
            <w:r>
              <w:rPr>
                <w:sz w:val="16"/>
              </w:rPr>
              <w:t>Review</w:t>
            </w:r>
          </w:p>
        </w:tc>
        <w:tc>
          <w:tcPr>
            <w:tcW w:type="dxa" w:w="6624"/>
            <w:tcMar>
              <w:top w:w="70" w:type="dxa"/>
              <w:start w:w="100" w:type="dxa"/>
              <w:bottom w:w="70" w:type="dxa"/>
              <w:end w:w="100" w:type="dxa"/>
            </w:tcMar>
            <w:vAlign w:val="top"/>
          </w:tcPr>
          <w:p>
            <w:pPr>
              <w:spacing w:after="20"/>
            </w:pPr>
            <w:r>
              <w:rPr>
                <w:sz w:val="16"/>
              </w:rPr>
              <w:t>Suggestion exposes source, time, modality, confidence inputs, and adjudication actions.</w:t>
            </w:r>
          </w:p>
        </w:tc>
      </w:tr>
      <w:tr>
        <w:trPr>
          <w:cantSplit/>
        </w:trPr>
        <w:tc>
          <w:tcPr>
            <w:tcW w:type="dxa" w:w="1512"/>
            <w:tcMar>
              <w:top w:w="70" w:type="dxa"/>
              <w:start w:w="100" w:type="dxa"/>
              <w:bottom w:w="70" w:type="dxa"/>
              <w:end w:w="100" w:type="dxa"/>
            </w:tcMar>
            <w:vAlign w:val="top"/>
          </w:tcPr>
          <w:p>
            <w:pPr>
              <w:spacing w:after="20"/>
            </w:pPr>
            <w:r>
              <w:rPr>
                <w:sz w:val="16"/>
              </w:rPr>
              <w:t>I13-FR-014</w:t>
            </w:r>
          </w:p>
        </w:tc>
        <w:tc>
          <w:tcPr>
            <w:tcW w:type="dxa" w:w="1656"/>
            <w:tcMar>
              <w:top w:w="70" w:type="dxa"/>
              <w:start w:w="100" w:type="dxa"/>
              <w:bottom w:w="70" w:type="dxa"/>
              <w:end w:w="100" w:type="dxa"/>
            </w:tcMar>
            <w:vAlign w:val="top"/>
          </w:tcPr>
          <w:p>
            <w:pPr>
              <w:spacing w:after="20"/>
            </w:pPr>
            <w:r>
              <w:rPr>
                <w:sz w:val="16"/>
              </w:rPr>
              <w:t>Correction</w:t>
            </w:r>
          </w:p>
        </w:tc>
        <w:tc>
          <w:tcPr>
            <w:tcW w:type="dxa" w:w="6624"/>
            <w:tcMar>
              <w:top w:w="70" w:type="dxa"/>
              <w:start w:w="100" w:type="dxa"/>
              <w:bottom w:w="70" w:type="dxa"/>
              <w:end w:w="100" w:type="dxa"/>
            </w:tcMar>
            <w:vAlign w:val="top"/>
          </w:tcPr>
          <w:p>
            <w:pPr>
              <w:spacing w:after="20"/>
            </w:pPr>
            <w:r>
              <w:rPr>
                <w:sz w:val="16"/>
              </w:rPr>
              <w:t>Changing Person creates an auditable supersession and schedules re-evaluation.</w:t>
            </w:r>
          </w:p>
        </w:tc>
      </w:tr>
      <w:tr>
        <w:trPr>
          <w:cantSplit/>
        </w:trPr>
        <w:tc>
          <w:tcPr>
            <w:tcW w:type="dxa" w:w="1512"/>
            <w:tcMar>
              <w:top w:w="70" w:type="dxa"/>
              <w:start w:w="100" w:type="dxa"/>
              <w:bottom w:w="70" w:type="dxa"/>
              <w:end w:w="100" w:type="dxa"/>
            </w:tcMar>
            <w:vAlign w:val="top"/>
          </w:tcPr>
          <w:p>
            <w:pPr>
              <w:spacing w:after="20"/>
            </w:pPr>
            <w:r>
              <w:rPr>
                <w:sz w:val="16"/>
              </w:rPr>
              <w:t>I13-FR-015</w:t>
            </w:r>
          </w:p>
        </w:tc>
        <w:tc>
          <w:tcPr>
            <w:tcW w:type="dxa" w:w="1656"/>
            <w:tcMar>
              <w:top w:w="70" w:type="dxa"/>
              <w:start w:w="100" w:type="dxa"/>
              <w:bottom w:w="70" w:type="dxa"/>
              <w:end w:w="100" w:type="dxa"/>
            </w:tcMar>
            <w:vAlign w:val="top"/>
          </w:tcPr>
          <w:p>
            <w:pPr>
              <w:spacing w:after="20"/>
            </w:pPr>
            <w:r>
              <w:rPr>
                <w:sz w:val="16"/>
              </w:rPr>
              <w:t>Retirement</w:t>
            </w:r>
          </w:p>
        </w:tc>
        <w:tc>
          <w:tcPr>
            <w:tcW w:type="dxa" w:w="6624"/>
            <w:tcMar>
              <w:top w:w="70" w:type="dxa"/>
              <w:start w:w="100" w:type="dxa"/>
              <w:bottom w:w="70" w:type="dxa"/>
              <w:end w:w="100" w:type="dxa"/>
            </w:tcMar>
            <w:vAlign w:val="top"/>
          </w:tcPr>
          <w:p>
            <w:pPr>
              <w:spacing w:after="20"/>
            </w:pPr>
            <w:r>
              <w:rPr>
                <w:sz w:val="16"/>
              </w:rPr>
              <w:t>Exclude from future use; preserve source/history; mark dependent suggestions stale.</w:t>
            </w:r>
          </w:p>
        </w:tc>
      </w:tr>
      <w:tr>
        <w:trPr>
          <w:cantSplit/>
        </w:trPr>
        <w:tc>
          <w:tcPr>
            <w:tcW w:type="dxa" w:w="1512"/>
            <w:tcMar>
              <w:top w:w="70" w:type="dxa"/>
              <w:start w:w="100" w:type="dxa"/>
              <w:bottom w:w="70" w:type="dxa"/>
              <w:end w:w="100" w:type="dxa"/>
            </w:tcMar>
            <w:vAlign w:val="top"/>
          </w:tcPr>
          <w:p>
            <w:pPr>
              <w:spacing w:after="20"/>
            </w:pPr>
            <w:r>
              <w:rPr>
                <w:sz w:val="16"/>
              </w:rPr>
              <w:t>I13-FR-016</w:t>
            </w:r>
          </w:p>
        </w:tc>
        <w:tc>
          <w:tcPr>
            <w:tcW w:type="dxa" w:w="1656"/>
            <w:tcMar>
              <w:top w:w="70" w:type="dxa"/>
              <w:start w:w="100" w:type="dxa"/>
              <w:bottom w:w="70" w:type="dxa"/>
              <w:end w:w="100" w:type="dxa"/>
            </w:tcMar>
            <w:vAlign w:val="top"/>
          </w:tcPr>
          <w:p>
            <w:pPr>
              <w:spacing w:after="20"/>
            </w:pPr>
            <w:r>
              <w:rPr>
                <w:sz w:val="16"/>
              </w:rPr>
              <w:t>Jobs</w:t>
            </w:r>
          </w:p>
        </w:tc>
        <w:tc>
          <w:tcPr>
            <w:tcW w:type="dxa" w:w="6624"/>
            <w:tcMar>
              <w:top w:w="70" w:type="dxa"/>
              <w:start w:w="100" w:type="dxa"/>
              <w:bottom w:w="70" w:type="dxa"/>
              <w:end w:w="100" w:type="dxa"/>
            </w:tcMar>
            <w:vAlign w:val="top"/>
          </w:tcPr>
          <w:p>
            <w:pPr>
              <w:spacing w:after="20"/>
            </w:pPr>
            <w:r>
              <w:rPr>
                <w:sz w:val="16"/>
              </w:rPr>
              <w:t>Show scope, progress, counts, error state, and safe Pause/Retry/View actions.</w:t>
            </w:r>
          </w:p>
        </w:tc>
      </w:tr>
      <w:tr>
        <w:trPr>
          <w:cantSplit/>
        </w:trPr>
        <w:tc>
          <w:tcPr>
            <w:tcW w:type="dxa" w:w="1512"/>
            <w:tcMar>
              <w:top w:w="70" w:type="dxa"/>
              <w:start w:w="100" w:type="dxa"/>
              <w:bottom w:w="70" w:type="dxa"/>
              <w:end w:w="100" w:type="dxa"/>
            </w:tcMar>
            <w:vAlign w:val="top"/>
          </w:tcPr>
          <w:p>
            <w:pPr>
              <w:spacing w:after="20"/>
            </w:pPr>
            <w:r>
              <w:rPr>
                <w:sz w:val="16"/>
              </w:rPr>
              <w:t>I13-FR-017</w:t>
            </w:r>
          </w:p>
        </w:tc>
        <w:tc>
          <w:tcPr>
            <w:tcW w:type="dxa" w:w="1656"/>
            <w:tcMar>
              <w:top w:w="70" w:type="dxa"/>
              <w:start w:w="100" w:type="dxa"/>
              <w:bottom w:w="70" w:type="dxa"/>
              <w:end w:w="100" w:type="dxa"/>
            </w:tcMar>
            <w:vAlign w:val="top"/>
          </w:tcPr>
          <w:p>
            <w:pPr>
              <w:spacing w:after="20"/>
            </w:pPr>
            <w:r>
              <w:rPr>
                <w:sz w:val="16"/>
              </w:rPr>
              <w:t>Release lock</w:t>
            </w:r>
          </w:p>
        </w:tc>
        <w:tc>
          <w:tcPr>
            <w:tcW w:type="dxa" w:w="6624"/>
            <w:tcMar>
              <w:top w:w="70" w:type="dxa"/>
              <w:start w:w="100" w:type="dxa"/>
              <w:bottom w:w="70" w:type="dxa"/>
              <w:end w:w="100" w:type="dxa"/>
            </w:tcMar>
            <w:vAlign w:val="top"/>
          </w:tcPr>
          <w:p>
            <w:pPr>
              <w:spacing w:after="20"/>
            </w:pPr>
            <w:r>
              <w:rPr>
                <w:sz w:val="16"/>
              </w:rPr>
              <w:t>API/worker rejects archive-wide recognition until accepted gate exists.</w:t>
            </w:r>
          </w:p>
        </w:tc>
      </w:tr>
      <w:tr>
        <w:trPr>
          <w:cantSplit/>
        </w:trPr>
        <w:tc>
          <w:tcPr>
            <w:tcW w:type="dxa" w:w="1512"/>
            <w:tcMar>
              <w:top w:w="70" w:type="dxa"/>
              <w:start w:w="100" w:type="dxa"/>
              <w:bottom w:w="70" w:type="dxa"/>
              <w:end w:w="100" w:type="dxa"/>
            </w:tcMar>
            <w:vAlign w:val="top"/>
          </w:tcPr>
          <w:p>
            <w:pPr>
              <w:spacing w:after="20"/>
            </w:pPr>
            <w:r>
              <w:rPr>
                <w:sz w:val="16"/>
              </w:rPr>
              <w:t>I13-FR-018</w:t>
            </w:r>
          </w:p>
        </w:tc>
        <w:tc>
          <w:tcPr>
            <w:tcW w:type="dxa" w:w="1656"/>
            <w:tcMar>
              <w:top w:w="70" w:type="dxa"/>
              <w:start w:w="100" w:type="dxa"/>
              <w:bottom w:w="70" w:type="dxa"/>
              <w:end w:w="100" w:type="dxa"/>
            </w:tcMar>
            <w:vAlign w:val="top"/>
          </w:tcPr>
          <w:p>
            <w:pPr>
              <w:spacing w:after="20"/>
            </w:pPr>
            <w:r>
              <w:rPr>
                <w:sz w:val="16"/>
              </w:rPr>
              <w:t>Timeline</w:t>
            </w:r>
          </w:p>
        </w:tc>
        <w:tc>
          <w:tcPr>
            <w:tcW w:type="dxa" w:w="6624"/>
            <w:tcMar>
              <w:top w:w="70" w:type="dxa"/>
              <w:start w:w="100" w:type="dxa"/>
              <w:bottom w:w="70" w:type="dxa"/>
              <w:end w:w="100" w:type="dxa"/>
            </w:tcMar>
            <w:vAlign w:val="top"/>
          </w:tcPr>
          <w:p>
            <w:pPr>
              <w:spacing w:after="20"/>
            </w:pPr>
            <w:r>
              <w:rPr>
                <w:sz w:val="16"/>
              </w:rPr>
              <w:t>Revalidate range resize, playhead, and year→month→day precision with video moments.</w:t>
            </w:r>
          </w:p>
        </w:tc>
      </w:tr>
      <w:tr>
        <w:trPr>
          <w:cantSplit/>
        </w:trPr>
        <w:tc>
          <w:tcPr>
            <w:tcW w:type="dxa" w:w="1512"/>
            <w:tcMar>
              <w:top w:w="70" w:type="dxa"/>
              <w:start w:w="100" w:type="dxa"/>
              <w:bottom w:w="70" w:type="dxa"/>
              <w:end w:w="100" w:type="dxa"/>
            </w:tcMar>
            <w:vAlign w:val="top"/>
          </w:tcPr>
          <w:p>
            <w:pPr>
              <w:spacing w:after="20"/>
            </w:pPr>
            <w:r>
              <w:rPr>
                <w:sz w:val="16"/>
              </w:rPr>
              <w:t>I13-FR-019</w:t>
            </w:r>
          </w:p>
        </w:tc>
        <w:tc>
          <w:tcPr>
            <w:tcW w:type="dxa" w:w="1656"/>
            <w:tcMar>
              <w:top w:w="70" w:type="dxa"/>
              <w:start w:w="100" w:type="dxa"/>
              <w:bottom w:w="70" w:type="dxa"/>
              <w:end w:w="100" w:type="dxa"/>
            </w:tcMar>
            <w:vAlign w:val="top"/>
          </w:tcPr>
          <w:p>
            <w:pPr>
              <w:spacing w:after="20"/>
            </w:pPr>
            <w:r>
              <w:rPr>
                <w:sz w:val="16"/>
              </w:rPr>
              <w:t>Retrieval</w:t>
            </w:r>
          </w:p>
        </w:tc>
        <w:tc>
          <w:tcPr>
            <w:tcW w:type="dxa" w:w="6624"/>
            <w:tcMar>
              <w:top w:w="70" w:type="dxa"/>
              <w:start w:w="100" w:type="dxa"/>
              <w:bottom w:w="70" w:type="dxa"/>
              <w:end w:w="100" w:type="dxa"/>
            </w:tcMar>
            <w:vAlign w:val="top"/>
          </w:tcPr>
          <w:p>
            <w:pPr>
              <w:spacing w:after="20"/>
            </w:pPr>
            <w:r>
              <w:rPr>
                <w:sz w:val="16"/>
              </w:rPr>
              <w:t>Support exact phrase, Person speaking, semantic subject, and appearance queries.</w:t>
            </w:r>
          </w:p>
        </w:tc>
      </w:tr>
      <w:tr>
        <w:trPr>
          <w:cantSplit/>
        </w:trPr>
        <w:tc>
          <w:tcPr>
            <w:tcW w:type="dxa" w:w="1512"/>
            <w:tcMar>
              <w:top w:w="70" w:type="dxa"/>
              <w:start w:w="100" w:type="dxa"/>
              <w:bottom w:w="70" w:type="dxa"/>
              <w:end w:w="100" w:type="dxa"/>
            </w:tcMar>
            <w:vAlign w:val="top"/>
          </w:tcPr>
          <w:p>
            <w:pPr>
              <w:spacing w:after="20"/>
            </w:pPr>
            <w:r>
              <w:rPr>
                <w:sz w:val="16"/>
              </w:rPr>
              <w:t>I13-FR-020</w:t>
            </w:r>
          </w:p>
        </w:tc>
        <w:tc>
          <w:tcPr>
            <w:tcW w:type="dxa" w:w="1656"/>
            <w:tcMar>
              <w:top w:w="70" w:type="dxa"/>
              <w:start w:w="100" w:type="dxa"/>
              <w:bottom w:w="70" w:type="dxa"/>
              <w:end w:w="100" w:type="dxa"/>
            </w:tcMar>
            <w:vAlign w:val="top"/>
          </w:tcPr>
          <w:p>
            <w:pPr>
              <w:spacing w:after="20"/>
            </w:pPr>
            <w:r>
              <w:rPr>
                <w:sz w:val="16"/>
              </w:rPr>
              <w:t>Legacy fragments</w:t>
            </w:r>
          </w:p>
        </w:tc>
        <w:tc>
          <w:tcPr>
            <w:tcW w:type="dxa" w:w="6624"/>
            <w:tcMar>
              <w:top w:w="70" w:type="dxa"/>
              <w:start w:w="100" w:type="dxa"/>
              <w:bottom w:w="70" w:type="dxa"/>
              <w:end w:w="100" w:type="dxa"/>
            </w:tcMar>
            <w:vAlign w:val="top"/>
          </w:tcPr>
          <w:p>
            <w:pPr>
              <w:spacing w:after="20"/>
            </w:pPr>
            <w:r>
              <w:rPr>
                <w:sz w:val="16"/>
              </w:rPr>
              <w:t>Map pseudo-video records to source moments or retire them; never present as separate media.</w:t>
            </w:r>
          </w:p>
        </w:tc>
      </w:tr>
      <w:tr>
        <w:trPr>
          <w:cantSplit/>
        </w:trPr>
        <w:tc>
          <w:tcPr>
            <w:tcW w:type="dxa" w:w="1512"/>
            <w:tcMar>
              <w:top w:w="70" w:type="dxa"/>
              <w:start w:w="100" w:type="dxa"/>
              <w:bottom w:w="70" w:type="dxa"/>
              <w:end w:w="100" w:type="dxa"/>
            </w:tcMar>
            <w:vAlign w:val="top"/>
          </w:tcPr>
          <w:p>
            <w:pPr>
              <w:spacing w:after="20"/>
            </w:pPr>
            <w:r>
              <w:rPr>
                <w:sz w:val="16"/>
              </w:rPr>
              <w:t>I13-FR-021</w:t>
            </w:r>
          </w:p>
        </w:tc>
        <w:tc>
          <w:tcPr>
            <w:tcW w:type="dxa" w:w="1656"/>
            <w:tcMar>
              <w:top w:w="70" w:type="dxa"/>
              <w:start w:w="100" w:type="dxa"/>
              <w:bottom w:w="70" w:type="dxa"/>
              <w:end w:w="100" w:type="dxa"/>
            </w:tcMar>
            <w:vAlign w:val="top"/>
          </w:tcPr>
          <w:p>
            <w:pPr>
              <w:spacing w:after="20"/>
            </w:pPr>
            <w:r>
              <w:rPr>
                <w:sz w:val="16"/>
              </w:rPr>
              <w:t>Fragment inventory</w:t>
            </w:r>
          </w:p>
        </w:tc>
        <w:tc>
          <w:tcPr>
            <w:tcW w:type="dxa" w:w="6624"/>
            <w:tcMar>
              <w:top w:w="70" w:type="dxa"/>
              <w:start w:w="100" w:type="dxa"/>
              <w:bottom w:w="70" w:type="dxa"/>
              <w:end w:w="100" w:type="dxa"/>
            </w:tcMar>
            <w:vAlign w:val="top"/>
          </w:tcPr>
          <w:p>
            <w:pPr>
              <w:spacing w:after="20"/>
            </w:pPr>
            <w:r>
              <w:rPr>
                <w:sz w:val="16"/>
              </w:rPr>
              <w:t>Determine whether 1–2 second artifacts are database records, physical derivative files, or both; inventory each before remediation.</w:t>
            </w:r>
          </w:p>
        </w:tc>
      </w:tr>
      <w:tr>
        <w:trPr>
          <w:cantSplit/>
        </w:trPr>
        <w:tc>
          <w:tcPr>
            <w:tcW w:type="dxa" w:w="1512"/>
            <w:tcMar>
              <w:top w:w="70" w:type="dxa"/>
              <w:start w:w="100" w:type="dxa"/>
              <w:bottom w:w="70" w:type="dxa"/>
              <w:end w:w="100" w:type="dxa"/>
            </w:tcMar>
            <w:vAlign w:val="top"/>
          </w:tcPr>
          <w:p>
            <w:pPr>
              <w:spacing w:after="20"/>
            </w:pPr>
            <w:r>
              <w:rPr>
                <w:sz w:val="16"/>
              </w:rPr>
              <w:t>I13-FR-022</w:t>
            </w:r>
          </w:p>
        </w:tc>
        <w:tc>
          <w:tcPr>
            <w:tcW w:type="dxa" w:w="1656"/>
            <w:tcMar>
              <w:top w:w="70" w:type="dxa"/>
              <w:start w:w="100" w:type="dxa"/>
              <w:bottom w:w="70" w:type="dxa"/>
              <w:end w:w="100" w:type="dxa"/>
            </w:tcMar>
            <w:vAlign w:val="top"/>
          </w:tcPr>
          <w:p>
            <w:pPr>
              <w:spacing w:after="20"/>
            </w:pPr>
            <w:r>
              <w:rPr>
                <w:sz w:val="16"/>
              </w:rPr>
              <w:t>Fragment migration</w:t>
            </w:r>
          </w:p>
        </w:tc>
        <w:tc>
          <w:tcPr>
            <w:tcW w:type="dxa" w:w="6624"/>
            <w:tcMar>
              <w:top w:w="70" w:type="dxa"/>
              <w:start w:w="100" w:type="dxa"/>
              <w:bottom w:w="70" w:type="dxa"/>
              <w:end w:w="100" w:type="dxa"/>
            </w:tcMar>
            <w:vAlign w:val="top"/>
          </w:tcPr>
          <w:p>
            <w:pPr>
              <w:spacing w:after="20"/>
            </w:pPr>
            <w:r>
              <w:rPr>
                <w:sz w:val="16"/>
              </w:rPr>
              <w:t>Map valid fragment references to source-video observations/moments, deduplicate overlaps, update consumers, and quarantine obsolete records.</w:t>
            </w:r>
          </w:p>
        </w:tc>
      </w:tr>
      <w:tr>
        <w:trPr>
          <w:cantSplit/>
        </w:trPr>
        <w:tc>
          <w:tcPr>
            <w:tcW w:type="dxa" w:w="1512"/>
            <w:tcMar>
              <w:top w:w="70" w:type="dxa"/>
              <w:start w:w="100" w:type="dxa"/>
              <w:bottom w:w="70" w:type="dxa"/>
              <w:end w:w="100" w:type="dxa"/>
            </w:tcMar>
            <w:vAlign w:val="top"/>
          </w:tcPr>
          <w:p>
            <w:pPr>
              <w:spacing w:after="20"/>
            </w:pPr>
            <w:r>
              <w:rPr>
                <w:sz w:val="16"/>
              </w:rPr>
              <w:t>I13-FR-023</w:t>
            </w:r>
          </w:p>
        </w:tc>
        <w:tc>
          <w:tcPr>
            <w:tcW w:type="dxa" w:w="1656"/>
            <w:tcMar>
              <w:top w:w="70" w:type="dxa"/>
              <w:start w:w="100" w:type="dxa"/>
              <w:bottom w:w="70" w:type="dxa"/>
              <w:end w:w="100" w:type="dxa"/>
            </w:tcMar>
            <w:vAlign w:val="top"/>
          </w:tcPr>
          <w:p>
            <w:pPr>
              <w:spacing w:after="20"/>
            </w:pPr>
            <w:r>
              <w:rPr>
                <w:sz w:val="16"/>
              </w:rPr>
              <w:t>Derivative files</w:t>
            </w:r>
          </w:p>
        </w:tc>
        <w:tc>
          <w:tcPr>
            <w:tcW w:type="dxa" w:w="6624"/>
            <w:tcMar>
              <w:top w:w="70" w:type="dxa"/>
              <w:start w:w="100" w:type="dxa"/>
              <w:bottom w:w="70" w:type="dxa"/>
              <w:end w:w="100" w:type="dxa"/>
            </w:tcMar>
            <w:vAlign w:val="top"/>
          </w:tcPr>
          <w:p>
            <w:pPr>
              <w:spacing w:after="20"/>
            </w:pPr>
            <w:r>
              <w:rPr>
                <w:sz w:val="16"/>
              </w:rPr>
              <w:t>Delete generated fragment files only after source linkage, reference migration, backup/recovery proof, and verification that no original media is affected.</w:t>
            </w:r>
          </w:p>
        </w:tc>
      </w:tr>
      <w:tr>
        <w:trPr>
          <w:cantSplit/>
        </w:trPr>
        <w:tc>
          <w:tcPr>
            <w:tcW w:type="dxa" w:w="1512"/>
            <w:tcMar>
              <w:top w:w="70" w:type="dxa"/>
              <w:start w:w="100" w:type="dxa"/>
              <w:bottom w:w="70" w:type="dxa"/>
              <w:end w:w="100" w:type="dxa"/>
            </w:tcMar>
            <w:vAlign w:val="top"/>
          </w:tcPr>
          <w:p>
            <w:pPr>
              <w:spacing w:after="20"/>
            </w:pPr>
            <w:r>
              <w:rPr>
                <w:sz w:val="16"/>
              </w:rPr>
              <w:t>I13-FR-024</w:t>
            </w:r>
          </w:p>
        </w:tc>
        <w:tc>
          <w:tcPr>
            <w:tcW w:type="dxa" w:w="1656"/>
            <w:tcMar>
              <w:top w:w="70" w:type="dxa"/>
              <w:start w:w="100" w:type="dxa"/>
              <w:bottom w:w="70" w:type="dxa"/>
              <w:end w:w="100" w:type="dxa"/>
            </w:tcMar>
            <w:vAlign w:val="top"/>
          </w:tcPr>
          <w:p>
            <w:pPr>
              <w:spacing w:after="20"/>
            </w:pPr>
            <w:r>
              <w:rPr>
                <w:sz w:val="16"/>
              </w:rPr>
              <w:t>Admin shell</w:t>
            </w:r>
          </w:p>
        </w:tc>
        <w:tc>
          <w:tcPr>
            <w:tcW w:type="dxa" w:w="6624"/>
            <w:tcMar>
              <w:top w:w="70" w:type="dxa"/>
              <w:start w:w="100" w:type="dxa"/>
              <w:bottom w:w="70" w:type="dxa"/>
              <w:end w:w="100" w:type="dxa"/>
            </w:tcMar>
            <w:vAlign w:val="top"/>
          </w:tcPr>
          <w:p>
            <w:pPr>
              <w:spacing w:after="20"/>
            </w:pPr>
            <w:r>
              <w:rPr>
                <w:sz w:val="16"/>
              </w:rPr>
              <w:t>Add owner-only Admin to the shared primary navigation on every owner screen.</w:t>
            </w:r>
          </w:p>
        </w:tc>
      </w:tr>
      <w:tr>
        <w:trPr>
          <w:cantSplit/>
        </w:trPr>
        <w:tc>
          <w:tcPr>
            <w:tcW w:type="dxa" w:w="1512"/>
            <w:tcMar>
              <w:top w:w="70" w:type="dxa"/>
              <w:start w:w="100" w:type="dxa"/>
              <w:bottom w:w="70" w:type="dxa"/>
              <w:end w:w="100" w:type="dxa"/>
            </w:tcMar>
            <w:vAlign w:val="top"/>
          </w:tcPr>
          <w:p>
            <w:pPr>
              <w:spacing w:after="20"/>
            </w:pPr>
            <w:r>
              <w:rPr>
                <w:sz w:val="16"/>
              </w:rPr>
              <w:t>I13-FR-025</w:t>
            </w:r>
          </w:p>
        </w:tc>
        <w:tc>
          <w:tcPr>
            <w:tcW w:type="dxa" w:w="1656"/>
            <w:tcMar>
              <w:top w:w="70" w:type="dxa"/>
              <w:start w:w="100" w:type="dxa"/>
              <w:bottom w:w="70" w:type="dxa"/>
              <w:end w:w="100" w:type="dxa"/>
            </w:tcMar>
            <w:vAlign w:val="top"/>
          </w:tcPr>
          <w:p>
            <w:pPr>
              <w:spacing w:after="20"/>
            </w:pPr>
            <w:r>
              <w:rPr>
                <w:sz w:val="16"/>
              </w:rPr>
              <w:t>Admin destinations</w:t>
            </w:r>
          </w:p>
        </w:tc>
        <w:tc>
          <w:tcPr>
            <w:tcW w:type="dxa" w:w="6624"/>
            <w:tcMar>
              <w:top w:w="70" w:type="dxa"/>
              <w:start w:w="100" w:type="dxa"/>
              <w:bottom w:w="70" w:type="dxa"/>
              <w:end w:w="100" w:type="dxa"/>
            </w:tcMar>
            <w:vAlign w:val="top"/>
          </w:tcPr>
          <w:p>
            <w:pPr>
              <w:spacing w:after="20"/>
            </w:pPr>
            <w:r>
              <w:rPr>
                <w:sz w:val="16"/>
              </w:rPr>
              <w:t>Admin provides Archive Health, Processing Jobs, Learned Evidence, Historian Campaigns, Providers &amp; Ingestion, People &amp; Identity, and General Settings.</w:t>
            </w:r>
          </w:p>
        </w:tc>
      </w:tr>
      <w:tr>
        <w:trPr>
          <w:cantSplit/>
        </w:trPr>
        <w:tc>
          <w:tcPr>
            <w:tcW w:type="dxa" w:w="1512"/>
            <w:tcMar>
              <w:top w:w="70" w:type="dxa"/>
              <w:start w:w="100" w:type="dxa"/>
              <w:bottom w:w="70" w:type="dxa"/>
              <w:end w:w="100" w:type="dxa"/>
            </w:tcMar>
            <w:vAlign w:val="top"/>
          </w:tcPr>
          <w:p>
            <w:pPr>
              <w:spacing w:after="20"/>
            </w:pPr>
            <w:r>
              <w:rPr>
                <w:sz w:val="16"/>
              </w:rPr>
              <w:t>I13-FR-026</w:t>
            </w:r>
          </w:p>
        </w:tc>
        <w:tc>
          <w:tcPr>
            <w:tcW w:type="dxa" w:w="1656"/>
            <w:tcMar>
              <w:top w:w="70" w:type="dxa"/>
              <w:start w:w="100" w:type="dxa"/>
              <w:bottom w:w="70" w:type="dxa"/>
              <w:end w:w="100" w:type="dxa"/>
            </w:tcMar>
            <w:vAlign w:val="top"/>
          </w:tcPr>
          <w:p>
            <w:pPr>
              <w:spacing w:after="20"/>
            </w:pPr>
            <w:r>
              <w:rPr>
                <w:sz w:val="16"/>
              </w:rPr>
              <w:t>Unlock separation</w:t>
            </w:r>
          </w:p>
        </w:tc>
        <w:tc>
          <w:tcPr>
            <w:tcW w:type="dxa" w:w="6624"/>
            <w:tcMar>
              <w:top w:w="70" w:type="dxa"/>
              <w:start w:w="100" w:type="dxa"/>
              <w:bottom w:w="70" w:type="dxa"/>
              <w:end w:w="100" w:type="dxa"/>
            </w:tcMar>
            <w:vAlign w:val="top"/>
          </w:tcPr>
          <w:p>
            <w:pPr>
              <w:spacing w:after="20"/>
            </w:pPr>
            <w:r>
              <w:rPr>
                <w:sz w:val="16"/>
              </w:rPr>
              <w:t>Unlocking archive-wide recognition and starting archive processing are distinct, deliberate actions.</w:t>
            </w:r>
          </w:p>
        </w:tc>
      </w:tr>
    </w:tbl>
    <w:p>
      <w:pPr>
        <w:spacing w:after="20"/>
      </w:pPr>
    </w:p>
    <w:p>
      <w:r>
        <w:br w:type="page"/>
      </w:r>
    </w:p>
    <w:p>
      <w:pPr>
        <w:pStyle w:val="Heading1"/>
      </w:pPr>
      <w:r>
        <w:t>6. Approved user experience</w:t>
      </w:r>
    </w:p>
    <w:p>
      <w:r>
        <w:t>These screens are the approved I13 direction. They are behavioral references, not permission to discard the existing design system or working components. Reuse current MemoryBox components and preserve the dark theme.</w:t>
      </w:r>
    </w:p>
    <w:p>
      <w:pPr>
        <w:pStyle w:val="Heading2"/>
      </w:pPr>
      <w:r>
        <w:t>Video Detail / Learn</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exec-e9e83808-f242-468a-97e9-b480960233d7.png"/>
                    <pic:cNvPicPr/>
                  </pic:nvPicPr>
                  <pic:blipFill>
                    <a:blip r:embed="rId11"/>
                    <a:stretch>
                      <a:fillRect/>
                    </a:stretch>
                  </pic:blipFill>
                  <pic:spPr>
                    <a:xfrm>
                      <a:off x="0" y="0"/>
                      <a:ext cx="6172200" cy="3473708"/>
                    </a:xfrm>
                    <a:prstGeom prst="rect"/>
                  </pic:spPr>
                </pic:pic>
              </a:graphicData>
            </a:graphic>
          </wp:inline>
        </w:drawing>
      </w:r>
    </w:p>
    <w:p>
      <w:pPr>
        <w:pStyle w:val="Caption"/>
        <w:jc w:val="center"/>
      </w:pPr>
      <w:r>
        <w:t>Synchronized transcript selection, face sample, voice confirmation, and combined learning.</w:t>
      </w:r>
    </w:p>
    <w:p>
      <w:pPr>
        <w:pStyle w:val="Heading2"/>
      </w:pPr>
      <w:r>
        <w:t>Video Detail / People</w:t>
      </w:r>
    </w:p>
    <w:p>
      <w:pPr>
        <w:jc w:val="center"/>
      </w:pPr>
      <w:r>
        <w:drawing>
          <wp:inline xmlns:a="http://schemas.openxmlformats.org/drawingml/2006/main" xmlns:pic="http://schemas.openxmlformats.org/drawingml/2006/picture">
            <wp:extent cx="6172200" cy="3473708"/>
            <wp:docPr id="2" name="Picture 2"/>
            <wp:cNvGraphicFramePr>
              <a:graphicFrameLocks noChangeAspect="1"/>
            </wp:cNvGraphicFramePr>
            <a:graphic>
              <a:graphicData uri="http://schemas.openxmlformats.org/drawingml/2006/picture">
                <pic:pic>
                  <pic:nvPicPr>
                    <pic:cNvPr id="0" name="exec-6dddbefc-f0c9-4a98-b565-0e9db08c3bf9.png"/>
                    <pic:cNvPicPr/>
                  </pic:nvPicPr>
                  <pic:blipFill>
                    <a:blip r:embed="rId12"/>
                    <a:stretch>
                      <a:fillRect/>
                    </a:stretch>
                  </pic:blipFill>
                  <pic:spPr>
                    <a:xfrm>
                      <a:off x="0" y="0"/>
                      <a:ext cx="6172200" cy="3473708"/>
                    </a:xfrm>
                    <a:prstGeom prst="rect"/>
                  </pic:spPr>
                </pic:pic>
              </a:graphicData>
            </a:graphic>
          </wp:inline>
        </w:drawing>
      </w:r>
    </w:p>
    <w:p>
      <w:pPr>
        <w:pStyle w:val="Caption"/>
        <w:jc w:val="center"/>
      </w:pPr>
      <w:r>
        <w:t>Independent appearance and speech evidence, including review of unknown observations.</w:t>
      </w:r>
    </w:p>
    <w:p>
      <w:pPr>
        <w:pStyle w:val="Heading2"/>
      </w:pPr>
      <w:r>
        <w:t>Admin landing</w:t>
      </w:r>
    </w:p>
    <w:p>
      <w:pPr>
        <w:jc w:val="center"/>
      </w:pPr>
      <w:r>
        <w:drawing>
          <wp:inline xmlns:a="http://schemas.openxmlformats.org/drawingml/2006/main" xmlns:pic="http://schemas.openxmlformats.org/drawingml/2006/picture">
            <wp:extent cx="6172200" cy="3473708"/>
            <wp:docPr id="3" name="Picture 3"/>
            <wp:cNvGraphicFramePr>
              <a:graphicFrameLocks noChangeAspect="1"/>
            </wp:cNvGraphicFramePr>
            <a:graphic>
              <a:graphicData uri="http://schemas.openxmlformats.org/drawingml/2006/picture">
                <pic:pic>
                  <pic:nvPicPr>
                    <pic:cNvPr id="0" name="exec-ffb51647-3c7d-4049-877d-736b63725234.png"/>
                    <pic:cNvPicPr/>
                  </pic:nvPicPr>
                  <pic:blipFill>
                    <a:blip r:embed="rId13"/>
                    <a:stretch>
                      <a:fillRect/>
                    </a:stretch>
                  </pic:blipFill>
                  <pic:spPr>
                    <a:xfrm>
                      <a:off x="0" y="0"/>
                      <a:ext cx="6172200" cy="3473708"/>
                    </a:xfrm>
                    <a:prstGeom prst="rect"/>
                  </pic:spPr>
                </pic:pic>
              </a:graphicData>
            </a:graphic>
          </wp:inline>
        </w:drawing>
      </w:r>
    </w:p>
    <w:p>
      <w:pPr>
        <w:pStyle w:val="Caption"/>
        <w:jc w:val="center"/>
      </w:pPr>
      <w:r>
        <w:t>Owner-only home for Archive Health, Processing Jobs, Learned Evidence, Historian Campaigns, and setup.</w:t>
      </w:r>
    </w:p>
    <w:p>
      <w:pPr>
        <w:pStyle w:val="Heading2"/>
      </w:pPr>
      <w:r>
        <w:t>Admin / Processing Jobs</w:t>
      </w:r>
    </w:p>
    <w:p>
      <w:pPr>
        <w:jc w:val="center"/>
      </w:pPr>
      <w:r>
        <w:drawing>
          <wp:inline xmlns:a="http://schemas.openxmlformats.org/drawingml/2006/main" xmlns:pic="http://schemas.openxmlformats.org/drawingml/2006/picture">
            <wp:extent cx="6172200" cy="3473708"/>
            <wp:docPr id="4" name="Picture 4"/>
            <wp:cNvGraphicFramePr>
              <a:graphicFrameLocks noChangeAspect="1"/>
            </wp:cNvGraphicFramePr>
            <a:graphic>
              <a:graphicData uri="http://schemas.openxmlformats.org/drawingml/2006/picture">
                <pic:pic>
                  <pic:nvPicPr>
                    <pic:cNvPr id="0" name="exec-e7694049-e49d-4152-8b80-b61e1e1db0aa.png"/>
                    <pic:cNvPicPr/>
                  </pic:nvPicPr>
                  <pic:blipFill>
                    <a:blip r:embed="rId14"/>
                    <a:stretch>
                      <a:fillRect/>
                    </a:stretch>
                  </pic:blipFill>
                  <pic:spPr>
                    <a:xfrm>
                      <a:off x="0" y="0"/>
                      <a:ext cx="6172200" cy="3473708"/>
                    </a:xfrm>
                    <a:prstGeom prst="rect"/>
                  </pic:spPr>
                </pic:pic>
              </a:graphicData>
            </a:graphic>
          </wp:inline>
        </w:drawing>
      </w:r>
    </w:p>
    <w:p>
      <w:pPr>
        <w:pStyle w:val="Caption"/>
        <w:jc w:val="center"/>
      </w:pPr>
      <w:r>
        <w:t>Bounded processing status with an enforceable Archive-Wide Recognition Unlock.</w:t>
      </w:r>
    </w:p>
    <w:p>
      <w:pPr>
        <w:pStyle w:val="Heading2"/>
      </w:pPr>
      <w:r>
        <w:t>Admin / Learned Evidence</w:t>
      </w:r>
    </w:p>
    <w:p>
      <w:pPr>
        <w:jc w:val="center"/>
      </w:pPr>
      <w:r>
        <w:drawing>
          <wp:inline xmlns:a="http://schemas.openxmlformats.org/drawingml/2006/main" xmlns:pic="http://schemas.openxmlformats.org/drawingml/2006/picture">
            <wp:extent cx="6172200" cy="3473708"/>
            <wp:docPr id="5" name="Picture 5"/>
            <wp:cNvGraphicFramePr>
              <a:graphicFrameLocks noChangeAspect="1"/>
            </wp:cNvGraphicFramePr>
            <a:graphic>
              <a:graphicData uri="http://schemas.openxmlformats.org/drawingml/2006/picture">
                <pic:pic>
                  <pic:nvPicPr>
                    <pic:cNvPr id="0" name="exec-0f51e5e8-3f5c-41f9-a71f-bc434bab05ef.png"/>
                    <pic:cNvPicPr/>
                  </pic:nvPicPr>
                  <pic:blipFill>
                    <a:blip r:embed="rId15"/>
                    <a:stretch>
                      <a:fillRect/>
                    </a:stretch>
                  </pic:blipFill>
                  <pic:spPr>
                    <a:xfrm>
                      <a:off x="0" y="0"/>
                      <a:ext cx="6172200" cy="3473708"/>
                    </a:xfrm>
                    <a:prstGeom prst="rect"/>
                  </pic:spPr>
                </pic:pic>
              </a:graphicData>
            </a:graphic>
          </wp:inline>
        </w:drawing>
      </w:r>
    </w:p>
    <w:p>
      <w:pPr>
        <w:pStyle w:val="Caption"/>
        <w:jc w:val="center"/>
      </w:pPr>
      <w:r>
        <w:t>Evidence provenance, correction, transcript editing, and reversible retirement.</w:t>
      </w:r>
    </w:p>
    <w:p>
      <w:pPr>
        <w:pStyle w:val="Heading2"/>
      </w:pPr>
      <w:r>
        <w:t>6.1 Required refinements</w:t>
      </w:r>
    </w:p>
    <w:p>
      <w:pPr>
        <w:pStyle w:val="ListBullet"/>
        <w:spacing w:after="60"/>
      </w:pPr>
      <w:r>
        <w:t>Before voice confirmation, use “Assigned for learning: [Person]”; do not imply recognition already proved identity.</w:t>
      </w:r>
    </w:p>
    <w:p>
      <w:pPr>
        <w:pStyle w:val="ListBullet"/>
        <w:spacing w:after="60"/>
      </w:pPr>
      <w:r>
        <w:t>Enforce Archive-Wide Recognition Unlock in the service/API, not only through a disabled button.</w:t>
      </w:r>
    </w:p>
    <w:p>
      <w:pPr>
        <w:pStyle w:val="ListBullet"/>
        <w:spacing w:after="60"/>
      </w:pPr>
      <w:r>
        <w:t>Reconcile every Jobs count with persisted work.</w:t>
      </w:r>
    </w:p>
    <w:p>
      <w:pPr>
        <w:pStyle w:val="ListBullet"/>
        <w:spacing w:after="60"/>
      </w:pPr>
      <w:r>
        <w:t>Retirement requires a reason and states that original video/audio/transcript are preserved.</w:t>
      </w:r>
    </w:p>
    <w:p>
      <w:pPr>
        <w:pStyle w:val="ListBullet"/>
        <w:spacing w:after="60"/>
      </w:pPr>
      <w:r>
        <w:t>Admin is owner-only and appears in the shared top navigation; Processing Jobs, Learned Evidence, Archive Health, and Historian Campaigns are Admin destinations.</w:t>
      </w:r>
    </w:p>
    <w:p>
      <w:pPr>
        <w:pStyle w:val="Heading1"/>
      </w:pPr>
      <w:r>
        <w:t>7. Bounded corpus and Archive-Wide Recognition Unlock</w:t>
      </w:r>
    </w:p>
    <w:p>
      <w:r>
        <w:t>Before any new recognition run, locate or create a versioned bounded-corpus manifest. It must not be inferred from whatever files happen to be reachable.</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shd w:fill="DCE6F1"/>
            <w:tcMar>
              <w:top w:w="70" w:type="dxa"/>
              <w:start w:w="100" w:type="dxa"/>
              <w:bottom w:w="70" w:type="dxa"/>
              <w:end w:w="100" w:type="dxa"/>
            </w:tcMar>
          </w:tcPr>
          <w:p>
            <w:r>
              <w:rPr>
                <w:b/>
                <w:sz w:val="17"/>
              </w:rPr>
              <w:t>Manifest field</w:t>
            </w:r>
          </w:p>
        </w:tc>
        <w:tc>
          <w:tcPr>
            <w:tcW w:type="dxa" w:w="7704"/>
            <w:shd w:fill="DCE6F1"/>
            <w:tcMar>
              <w:top w:w="70" w:type="dxa"/>
              <w:start w:w="100" w:type="dxa"/>
              <w:bottom w:w="70" w:type="dxa"/>
              <w:end w:w="100" w:type="dxa"/>
            </w:tcMar>
          </w:tcPr>
          <w:p>
            <w:r>
              <w:rPr>
                <w:b/>
                <w:sz w:val="17"/>
              </w:rPr>
              <w:t>Requirement</w:t>
            </w:r>
          </w:p>
        </w:tc>
      </w:tr>
      <w:tr>
        <w:trPr>
          <w:cantSplit/>
        </w:trPr>
        <w:tc>
          <w:tcPr>
            <w:tcW w:type="dxa" w:w="2088"/>
            <w:tcMar>
              <w:top w:w="70" w:type="dxa"/>
              <w:start w:w="100" w:type="dxa"/>
              <w:bottom w:w="70" w:type="dxa"/>
              <w:end w:w="100" w:type="dxa"/>
            </w:tcMar>
            <w:vAlign w:val="top"/>
          </w:tcPr>
          <w:p>
            <w:pPr>
              <w:spacing w:after="20"/>
            </w:pPr>
            <w:r>
              <w:rPr>
                <w:sz w:val="16"/>
              </w:rPr>
              <w:t>ID/version</w:t>
            </w:r>
          </w:p>
        </w:tc>
        <w:tc>
          <w:tcPr>
            <w:tcW w:type="dxa" w:w="7704"/>
            <w:tcMar>
              <w:top w:w="70" w:type="dxa"/>
              <w:start w:w="100" w:type="dxa"/>
              <w:bottom w:w="70" w:type="dxa"/>
              <w:end w:w="100" w:type="dxa"/>
            </w:tcMar>
            <w:vAlign w:val="top"/>
          </w:tcPr>
          <w:p>
            <w:pPr>
              <w:spacing w:after="20"/>
            </w:pPr>
            <w:r>
              <w:rPr>
                <w:sz w:val="16"/>
              </w:rPr>
              <w:t>Stable name/version committed with evidence.</w:t>
            </w:r>
          </w:p>
        </w:tc>
      </w:tr>
      <w:tr>
        <w:trPr>
          <w:cantSplit/>
        </w:trPr>
        <w:tc>
          <w:tcPr>
            <w:tcW w:type="dxa" w:w="2088"/>
            <w:tcMar>
              <w:top w:w="70" w:type="dxa"/>
              <w:start w:w="100" w:type="dxa"/>
              <w:bottom w:w="70" w:type="dxa"/>
              <w:end w:w="100" w:type="dxa"/>
            </w:tcMar>
            <w:vAlign w:val="top"/>
          </w:tcPr>
          <w:p>
            <w:pPr>
              <w:spacing w:after="20"/>
            </w:pPr>
            <w:r>
              <w:rPr>
                <w:sz w:val="16"/>
              </w:rPr>
              <w:t>Sources</w:t>
            </w:r>
          </w:p>
        </w:tc>
        <w:tc>
          <w:tcPr>
            <w:tcW w:type="dxa" w:w="7704"/>
            <w:tcMar>
              <w:top w:w="70" w:type="dxa"/>
              <w:start w:w="100" w:type="dxa"/>
              <w:bottom w:w="70" w:type="dxa"/>
              <w:end w:w="100" w:type="dxa"/>
            </w:tcMar>
            <w:vAlign w:val="top"/>
          </w:tcPr>
          <w:p>
            <w:pPr>
              <w:spacing w:after="20"/>
            </w:pPr>
            <w:r>
              <w:rPr>
                <w:sz w:val="16"/>
              </w:rPr>
              <w:t>Exact stable video identifiers and expected count; no archive wildcard.</w:t>
            </w:r>
          </w:p>
        </w:tc>
      </w:tr>
      <w:tr>
        <w:trPr>
          <w:cantSplit/>
        </w:trPr>
        <w:tc>
          <w:tcPr>
            <w:tcW w:type="dxa" w:w="2088"/>
            <w:tcMar>
              <w:top w:w="70" w:type="dxa"/>
              <w:start w:w="100" w:type="dxa"/>
              <w:bottom w:w="70" w:type="dxa"/>
              <w:end w:w="100" w:type="dxa"/>
            </w:tcMar>
            <w:vAlign w:val="top"/>
          </w:tcPr>
          <w:p>
            <w:pPr>
              <w:spacing w:after="20"/>
            </w:pPr>
            <w:r>
              <w:rPr>
                <w:sz w:val="16"/>
              </w:rPr>
              <w:t>Coverage</w:t>
            </w:r>
          </w:p>
        </w:tc>
        <w:tc>
          <w:tcPr>
            <w:tcW w:type="dxa" w:w="7704"/>
            <w:tcMar>
              <w:top w:w="70" w:type="dxa"/>
              <w:start w:w="100" w:type="dxa"/>
              <w:bottom w:w="70" w:type="dxa"/>
              <w:end w:w="100" w:type="dxa"/>
            </w:tcMar>
            <w:vAlign w:val="top"/>
          </w:tcPr>
          <w:p>
            <w:pPr>
              <w:spacing w:after="20"/>
            </w:pPr>
            <w:r>
              <w:rPr>
                <w:sz w:val="16"/>
              </w:rPr>
              <w:t>Face-only, off-camera voice, simultaneous modalities, multiple people, poor audio, occlusion, short/long appearance, and no-match cases.</w:t>
            </w:r>
          </w:p>
        </w:tc>
      </w:tr>
      <w:tr>
        <w:trPr>
          <w:cantSplit/>
        </w:trPr>
        <w:tc>
          <w:tcPr>
            <w:tcW w:type="dxa" w:w="2088"/>
            <w:tcMar>
              <w:top w:w="70" w:type="dxa"/>
              <w:start w:w="100" w:type="dxa"/>
              <w:bottom w:w="70" w:type="dxa"/>
              <w:end w:w="100" w:type="dxa"/>
            </w:tcMar>
            <w:vAlign w:val="top"/>
          </w:tcPr>
          <w:p>
            <w:pPr>
              <w:spacing w:after="20"/>
            </w:pPr>
            <w:r>
              <w:rPr>
                <w:sz w:val="16"/>
              </w:rPr>
              <w:t>Expected truths</w:t>
            </w:r>
          </w:p>
        </w:tc>
        <w:tc>
          <w:tcPr>
            <w:tcW w:type="dxa" w:w="7704"/>
            <w:tcMar>
              <w:top w:w="70" w:type="dxa"/>
              <w:start w:w="100" w:type="dxa"/>
              <w:bottom w:w="70" w:type="dxa"/>
              <w:end w:w="100" w:type="dxa"/>
            </w:tcMar>
            <w:vAlign w:val="top"/>
          </w:tcPr>
          <w:p>
            <w:pPr>
              <w:spacing w:after="20"/>
            </w:pPr>
            <w:r>
              <w:rPr>
                <w:sz w:val="16"/>
              </w:rPr>
              <w:t>Owner-confirmed identities and approximate intervals sufficient to score results.</w:t>
            </w:r>
          </w:p>
        </w:tc>
      </w:tr>
      <w:tr>
        <w:trPr>
          <w:cantSplit/>
        </w:trPr>
        <w:tc>
          <w:tcPr>
            <w:tcW w:type="dxa" w:w="2088"/>
            <w:tcMar>
              <w:top w:w="70" w:type="dxa"/>
              <w:start w:w="100" w:type="dxa"/>
              <w:bottom w:w="70" w:type="dxa"/>
              <w:end w:w="100" w:type="dxa"/>
            </w:tcMar>
            <w:vAlign w:val="top"/>
          </w:tcPr>
          <w:p>
            <w:pPr>
              <w:spacing w:after="20"/>
            </w:pPr>
            <w:r>
              <w:rPr>
                <w:sz w:val="16"/>
              </w:rPr>
              <w:t>Authorization</w:t>
            </w:r>
          </w:p>
        </w:tc>
        <w:tc>
          <w:tcPr>
            <w:tcW w:type="dxa" w:w="7704"/>
            <w:tcMar>
              <w:top w:w="70" w:type="dxa"/>
              <w:start w:w="100" w:type="dxa"/>
              <w:bottom w:w="70" w:type="dxa"/>
              <w:end w:w="100" w:type="dxa"/>
            </w:tcMar>
            <w:vAlign w:val="top"/>
          </w:tcPr>
          <w:p>
            <w:pPr>
              <w:spacing w:after="20"/>
            </w:pPr>
            <w:r>
              <w:rPr>
                <w:sz w:val="16"/>
              </w:rPr>
              <w:t>Worker and API require a bounded-scope flag.</w:t>
            </w:r>
          </w:p>
        </w:tc>
      </w:tr>
      <w:tr>
        <w:trPr>
          <w:cantSplit/>
        </w:trPr>
        <w:tc>
          <w:tcPr>
            <w:tcW w:type="dxa" w:w="2088"/>
            <w:tcMar>
              <w:top w:w="70" w:type="dxa"/>
              <w:start w:w="100" w:type="dxa"/>
              <w:bottom w:w="70" w:type="dxa"/>
              <w:end w:w="100" w:type="dxa"/>
            </w:tcMar>
            <w:vAlign w:val="top"/>
          </w:tcPr>
          <w:p>
            <w:pPr>
              <w:spacing w:after="20"/>
            </w:pPr>
            <w:r>
              <w:rPr>
                <w:sz w:val="16"/>
              </w:rPr>
              <w:t>Unlock</w:t>
            </w:r>
          </w:p>
        </w:tc>
        <w:tc>
          <w:tcPr>
            <w:tcW w:type="dxa" w:w="7704"/>
            <w:tcMar>
              <w:top w:w="70" w:type="dxa"/>
              <w:start w:w="100" w:type="dxa"/>
              <w:bottom w:w="70" w:type="dxa"/>
              <w:end w:w="100" w:type="dxa"/>
            </w:tcMar>
            <w:vAlign w:val="top"/>
          </w:tcPr>
          <w:p>
            <w:pPr>
              <w:spacing w:after="20"/>
            </w:pPr>
            <w:r>
              <w:rPr>
                <w:sz w:val="16"/>
              </w:rPr>
              <w:t>Archive mode requires an accepted-gate record. Unlocking does not start processing; starting remains a separate intentional action.</w:t>
            </w:r>
          </w:p>
        </w:tc>
      </w:tr>
    </w:tbl>
    <w:p>
      <w:pPr>
        <w:spacing w:after="20"/>
      </w:pPr>
    </w:p>
    <w:p>
      <w:pPr>
        <w:pStyle w:val="Heading1"/>
      </w:pPr>
      <w:r>
        <w:t>8. Acceptance criteria</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800"/>
            <w:shd w:fill="DCE6F1"/>
            <w:tcMar>
              <w:top w:w="70" w:type="dxa"/>
              <w:start w:w="100" w:type="dxa"/>
              <w:bottom w:w="70" w:type="dxa"/>
              <w:end w:w="100" w:type="dxa"/>
            </w:tcMar>
          </w:tcPr>
          <w:p>
            <w:r>
              <w:rPr>
                <w:b/>
                <w:sz w:val="17"/>
              </w:rPr>
              <w:t>Gate</w:t>
            </w:r>
          </w:p>
        </w:tc>
        <w:tc>
          <w:tcPr>
            <w:tcW w:type="dxa" w:w="7992"/>
            <w:shd w:fill="DCE6F1"/>
            <w:tcMar>
              <w:top w:w="70" w:type="dxa"/>
              <w:start w:w="100" w:type="dxa"/>
              <w:bottom w:w="70" w:type="dxa"/>
              <w:end w:w="100" w:type="dxa"/>
            </w:tcMar>
          </w:tcPr>
          <w:p>
            <w:r>
              <w:rPr>
                <w:b/>
                <w:sz w:val="17"/>
              </w:rPr>
              <w:t>Pass condition</w:t>
            </w:r>
          </w:p>
        </w:tc>
      </w:tr>
      <w:tr>
        <w:trPr>
          <w:cantSplit/>
        </w:trPr>
        <w:tc>
          <w:tcPr>
            <w:tcW w:type="dxa" w:w="1800"/>
            <w:tcMar>
              <w:top w:w="70" w:type="dxa"/>
              <w:start w:w="100" w:type="dxa"/>
              <w:bottom w:w="70" w:type="dxa"/>
              <w:end w:w="100" w:type="dxa"/>
            </w:tcMar>
            <w:vAlign w:val="top"/>
          </w:tcPr>
          <w:p>
            <w:pPr>
              <w:spacing w:after="20"/>
            </w:pPr>
            <w:r>
              <w:rPr>
                <w:sz w:val="16"/>
              </w:rPr>
              <w:t>Integrity</w:t>
            </w:r>
          </w:p>
        </w:tc>
        <w:tc>
          <w:tcPr>
            <w:tcW w:type="dxa" w:w="7992"/>
            <w:tcMar>
              <w:top w:w="70" w:type="dxa"/>
              <w:start w:w="100" w:type="dxa"/>
              <w:bottom w:w="70" w:type="dxa"/>
              <w:end w:w="100" w:type="dxa"/>
            </w:tcMar>
            <w:vAlign w:val="top"/>
          </w:tcPr>
          <w:p>
            <w:pPr>
              <w:spacing w:after="20"/>
            </w:pPr>
            <w:r>
              <w:rPr>
                <w:sz w:val="16"/>
              </w:rPr>
              <w:t>Repeated bounded runs do not increase equivalent observations; every derived record resolves to one source; no pseudo-videos.</w:t>
            </w:r>
          </w:p>
        </w:tc>
      </w:tr>
      <w:tr>
        <w:trPr>
          <w:cantSplit/>
        </w:trPr>
        <w:tc>
          <w:tcPr>
            <w:tcW w:type="dxa" w:w="1800"/>
            <w:tcMar>
              <w:top w:w="70" w:type="dxa"/>
              <w:start w:w="100" w:type="dxa"/>
              <w:bottom w:w="70" w:type="dxa"/>
              <w:end w:w="100" w:type="dxa"/>
            </w:tcMar>
            <w:vAlign w:val="top"/>
          </w:tcPr>
          <w:p>
            <w:pPr>
              <w:spacing w:after="20"/>
            </w:pPr>
            <w:r>
              <w:rPr>
                <w:sz w:val="16"/>
              </w:rPr>
              <w:t>Playback</w:t>
            </w:r>
          </w:p>
        </w:tc>
        <w:tc>
          <w:tcPr>
            <w:tcW w:type="dxa" w:w="7992"/>
            <w:tcMar>
              <w:top w:w="70" w:type="dxa"/>
              <w:start w:w="100" w:type="dxa"/>
              <w:bottom w:w="70" w:type="dxa"/>
              <w:end w:w="100" w:type="dxa"/>
            </w:tcMar>
            <w:vAlign w:val="top"/>
          </w:tcPr>
          <w:p>
            <w:pPr>
              <w:spacing w:after="20"/>
            </w:pPr>
            <w:r>
              <w:rPr>
                <w:sz w:val="16"/>
              </w:rPr>
              <w:t>Sampled results open correct source/time within tolerance and continue past the evidence interval.</w:t>
            </w:r>
          </w:p>
        </w:tc>
      </w:tr>
      <w:tr>
        <w:trPr>
          <w:cantSplit/>
        </w:trPr>
        <w:tc>
          <w:tcPr>
            <w:tcW w:type="dxa" w:w="1800"/>
            <w:tcMar>
              <w:top w:w="70" w:type="dxa"/>
              <w:start w:w="100" w:type="dxa"/>
              <w:bottom w:w="70" w:type="dxa"/>
              <w:end w:w="100" w:type="dxa"/>
            </w:tcMar>
            <w:vAlign w:val="top"/>
          </w:tcPr>
          <w:p>
            <w:pPr>
              <w:spacing w:after="20"/>
            </w:pPr>
            <w:r>
              <w:rPr>
                <w:sz w:val="16"/>
              </w:rPr>
              <w:t>Transcript</w:t>
            </w:r>
          </w:p>
        </w:tc>
        <w:tc>
          <w:tcPr>
            <w:tcW w:type="dxa" w:w="7992"/>
            <w:tcMar>
              <w:top w:w="70" w:type="dxa"/>
              <w:start w:w="100" w:type="dxa"/>
              <w:bottom w:w="70" w:type="dxa"/>
              <w:end w:w="100" w:type="dxa"/>
            </w:tcMar>
            <w:vAlign w:val="top"/>
          </w:tcPr>
          <w:p>
            <w:pPr>
              <w:spacing w:after="20"/>
            </w:pPr>
            <w:r>
              <w:rPr>
                <w:sz w:val="16"/>
              </w:rPr>
              <w:t>Follow, seek, user scrolling, selection, and correction overlay all work while original remains preserved.</w:t>
            </w:r>
          </w:p>
        </w:tc>
      </w:tr>
      <w:tr>
        <w:trPr>
          <w:cantSplit/>
        </w:trPr>
        <w:tc>
          <w:tcPr>
            <w:tcW w:type="dxa" w:w="1800"/>
            <w:tcMar>
              <w:top w:w="70" w:type="dxa"/>
              <w:start w:w="100" w:type="dxa"/>
              <w:bottom w:w="70" w:type="dxa"/>
              <w:end w:w="100" w:type="dxa"/>
            </w:tcMar>
            <w:vAlign w:val="top"/>
          </w:tcPr>
          <w:p>
            <w:pPr>
              <w:spacing w:after="20"/>
            </w:pPr>
            <w:r>
              <w:rPr>
                <w:sz w:val="16"/>
              </w:rPr>
              <w:t>Face</w:t>
            </w:r>
          </w:p>
        </w:tc>
        <w:tc>
          <w:tcPr>
            <w:tcW w:type="dxa" w:w="7992"/>
            <w:tcMar>
              <w:top w:w="70" w:type="dxa"/>
              <w:start w:w="100" w:type="dxa"/>
              <w:bottom w:w="70" w:type="dxa"/>
              <w:end w:w="100" w:type="dxa"/>
            </w:tcMar>
            <w:vAlign w:val="top"/>
          </w:tcPr>
          <w:p>
            <w:pPr>
              <w:spacing w:after="20"/>
            </w:pPr>
            <w:r>
              <w:rPr>
                <w:sz w:val="16"/>
              </w:rPr>
              <w:t>Sustained appearances group sensibly; evidence can be learned, reviewed, corrected, and retired.</w:t>
            </w:r>
          </w:p>
        </w:tc>
      </w:tr>
      <w:tr>
        <w:trPr>
          <w:cantSplit/>
        </w:trPr>
        <w:tc>
          <w:tcPr>
            <w:tcW w:type="dxa" w:w="1800"/>
            <w:tcMar>
              <w:top w:w="70" w:type="dxa"/>
              <w:start w:w="100" w:type="dxa"/>
              <w:bottom w:w="70" w:type="dxa"/>
              <w:end w:w="100" w:type="dxa"/>
            </w:tcMar>
            <w:vAlign w:val="top"/>
          </w:tcPr>
          <w:p>
            <w:pPr>
              <w:spacing w:after="20"/>
            </w:pPr>
            <w:r>
              <w:rPr>
                <w:sz w:val="16"/>
              </w:rPr>
              <w:t>Voice</w:t>
            </w:r>
          </w:p>
        </w:tc>
        <w:tc>
          <w:tcPr>
            <w:tcW w:type="dxa" w:w="7992"/>
            <w:tcMar>
              <w:top w:w="70" w:type="dxa"/>
              <w:start w:w="100" w:type="dxa"/>
              <w:bottom w:w="70" w:type="dxa"/>
              <w:end w:w="100" w:type="dxa"/>
            </w:tcMar>
            <w:vAlign w:val="top"/>
          </w:tcPr>
          <w:p>
            <w:pPr>
              <w:spacing w:after="20"/>
            </w:pPr>
            <w:r>
              <w:rPr>
                <w:sz w:val="16"/>
              </w:rPr>
              <w:t>Clean confirmed samples drive suggestions including off-camera speech; face is not required.</w:t>
            </w:r>
          </w:p>
        </w:tc>
      </w:tr>
      <w:tr>
        <w:trPr>
          <w:cantSplit/>
        </w:trPr>
        <w:tc>
          <w:tcPr>
            <w:tcW w:type="dxa" w:w="1800"/>
            <w:tcMar>
              <w:top w:w="70" w:type="dxa"/>
              <w:start w:w="100" w:type="dxa"/>
              <w:bottom w:w="70" w:type="dxa"/>
              <w:end w:w="100" w:type="dxa"/>
            </w:tcMar>
            <w:vAlign w:val="top"/>
          </w:tcPr>
          <w:p>
            <w:pPr>
              <w:spacing w:after="20"/>
            </w:pPr>
            <w:r>
              <w:rPr>
                <w:sz w:val="16"/>
              </w:rPr>
              <w:t>Corroboration</w:t>
            </w:r>
          </w:p>
        </w:tc>
        <w:tc>
          <w:tcPr>
            <w:tcW w:type="dxa" w:w="7992"/>
            <w:tcMar>
              <w:top w:w="70" w:type="dxa"/>
              <w:start w:w="100" w:type="dxa"/>
              <w:bottom w:w="70" w:type="dxa"/>
              <w:end w:w="100" w:type="dxa"/>
            </w:tcMar>
            <w:vAlign w:val="top"/>
          </w:tcPr>
          <w:p>
            <w:pPr>
              <w:spacing w:after="20"/>
            </w:pPr>
            <w:r>
              <w:rPr>
                <w:sz w:val="16"/>
              </w:rPr>
              <w:t>Independent evidence remains visible; confidence may combine without collapsing modalities.</w:t>
            </w:r>
          </w:p>
        </w:tc>
      </w:tr>
      <w:tr>
        <w:trPr>
          <w:cantSplit/>
        </w:trPr>
        <w:tc>
          <w:tcPr>
            <w:tcW w:type="dxa" w:w="1800"/>
            <w:tcMar>
              <w:top w:w="70" w:type="dxa"/>
              <w:start w:w="100" w:type="dxa"/>
              <w:bottom w:w="70" w:type="dxa"/>
              <w:end w:w="100" w:type="dxa"/>
            </w:tcMar>
            <w:vAlign w:val="top"/>
          </w:tcPr>
          <w:p>
            <w:pPr>
              <w:spacing w:after="20"/>
            </w:pPr>
            <w:r>
              <w:rPr>
                <w:sz w:val="16"/>
              </w:rPr>
              <w:t>Jobs</w:t>
            </w:r>
          </w:p>
        </w:tc>
        <w:tc>
          <w:tcPr>
            <w:tcW w:type="dxa" w:w="7992"/>
            <w:tcMar>
              <w:top w:w="70" w:type="dxa"/>
              <w:start w:w="100" w:type="dxa"/>
              <w:bottom w:w="70" w:type="dxa"/>
              <w:end w:w="100" w:type="dxa"/>
            </w:tcMar>
            <w:vAlign w:val="top"/>
          </w:tcPr>
          <w:p>
            <w:pPr>
              <w:spacing w:after="20"/>
            </w:pPr>
            <w:r>
              <w:rPr>
                <w:sz w:val="16"/>
              </w:rPr>
              <w:t>Scope, progress, counts, failures, Pause/Retry, and evidence drill-through work.</w:t>
            </w:r>
          </w:p>
        </w:tc>
      </w:tr>
      <w:tr>
        <w:trPr>
          <w:cantSplit/>
        </w:trPr>
        <w:tc>
          <w:tcPr>
            <w:tcW w:type="dxa" w:w="1800"/>
            <w:tcMar>
              <w:top w:w="70" w:type="dxa"/>
              <w:start w:w="100" w:type="dxa"/>
              <w:bottom w:w="70" w:type="dxa"/>
              <w:end w:w="100" w:type="dxa"/>
            </w:tcMar>
            <w:vAlign w:val="top"/>
          </w:tcPr>
          <w:p>
            <w:pPr>
              <w:spacing w:after="20"/>
            </w:pPr>
            <w:r>
              <w:rPr>
                <w:sz w:val="16"/>
              </w:rPr>
              <w:t>Regression</w:t>
            </w:r>
          </w:p>
        </w:tc>
        <w:tc>
          <w:tcPr>
            <w:tcW w:type="dxa" w:w="7992"/>
            <w:tcMar>
              <w:top w:w="70" w:type="dxa"/>
              <w:start w:w="100" w:type="dxa"/>
              <w:bottom w:w="70" w:type="dxa"/>
              <w:end w:w="100" w:type="dxa"/>
            </w:tcMar>
            <w:vAlign w:val="top"/>
          </w:tcPr>
          <w:p>
            <w:pPr>
              <w:spacing w:after="20"/>
            </w:pPr>
            <w:r>
              <w:rPr>
                <w:sz w:val="16"/>
              </w:rPr>
              <w:t>Gallery, query context, modal navigation, Person filter, timeline expansion, and increasing precision remain operational.</w:t>
            </w:r>
          </w:p>
        </w:tc>
      </w:tr>
      <w:tr>
        <w:trPr>
          <w:cantSplit/>
        </w:trPr>
        <w:tc>
          <w:tcPr>
            <w:tcW w:type="dxa" w:w="1800"/>
            <w:tcMar>
              <w:top w:w="70" w:type="dxa"/>
              <w:start w:w="100" w:type="dxa"/>
              <w:bottom w:w="70" w:type="dxa"/>
              <w:end w:w="100" w:type="dxa"/>
            </w:tcMar>
            <w:vAlign w:val="top"/>
          </w:tcPr>
          <w:p>
            <w:pPr>
              <w:spacing w:after="20"/>
            </w:pPr>
            <w:r>
              <w:rPr>
                <w:sz w:val="16"/>
              </w:rPr>
              <w:t>Safety</w:t>
            </w:r>
          </w:p>
        </w:tc>
        <w:tc>
          <w:tcPr>
            <w:tcW w:type="dxa" w:w="7992"/>
            <w:tcMar>
              <w:top w:w="70" w:type="dxa"/>
              <w:start w:w="100" w:type="dxa"/>
              <w:bottom w:w="70" w:type="dxa"/>
              <w:end w:w="100" w:type="dxa"/>
            </w:tcMar>
            <w:vAlign w:val="top"/>
          </w:tcPr>
          <w:p>
            <w:pPr>
              <w:spacing w:after="20"/>
            </w:pPr>
            <w:r>
              <w:rPr>
                <w:sz w:val="16"/>
              </w:rPr>
              <w:t>Pre-acceptance archive starts are rejected; source/provider media is never mutated.</w:t>
            </w:r>
          </w:p>
        </w:tc>
      </w:tr>
      <w:tr>
        <w:trPr>
          <w:cantSplit/>
        </w:trPr>
        <w:tc>
          <w:tcPr>
            <w:tcW w:type="dxa" w:w="1800"/>
            <w:tcMar>
              <w:top w:w="70" w:type="dxa"/>
              <w:start w:w="100" w:type="dxa"/>
              <w:bottom w:w="70" w:type="dxa"/>
              <w:end w:w="100" w:type="dxa"/>
            </w:tcMar>
            <w:vAlign w:val="top"/>
          </w:tcPr>
          <w:p>
            <w:pPr>
              <w:spacing w:after="20"/>
            </w:pPr>
            <w:r>
              <w:rPr>
                <w:sz w:val="16"/>
              </w:rPr>
              <w:t>Proof</w:t>
            </w:r>
          </w:p>
        </w:tc>
        <w:tc>
          <w:tcPr>
            <w:tcW w:type="dxa" w:w="7992"/>
            <w:tcMar>
              <w:top w:w="70" w:type="dxa"/>
              <w:start w:w="100" w:type="dxa"/>
              <w:bottom w:w="70" w:type="dxa"/>
              <w:end w:w="100" w:type="dxa"/>
            </w:tcMar>
            <w:vAlign w:val="top"/>
          </w:tcPr>
          <w:p>
            <w:pPr>
              <w:spacing w:after="20"/>
            </w:pPr>
            <w:r>
              <w:rPr>
                <w:sz w:val="16"/>
              </w:rPr>
              <w:t>Implementation report includes before/after counts, tests, screenshots, timing, failures, and residual risks.</w:t>
            </w:r>
          </w:p>
        </w:tc>
      </w:tr>
    </w:tbl>
    <w:p>
      <w:pPr>
        <w:spacing w:after="20"/>
      </w:pPr>
    </w:p>
    <w:tbl>
      <w:tblPr>
        <w:tblW w:type="auto" w:w="0"/>
        <w:tblLayout w:type="fixed"/>
        <w:tblLook w:firstColumn="1" w:firstRow="1" w:lastColumn="0" w:lastRow="0" w:noHBand="0" w:noVBand="1" w:val="04A0"/>
      </w:tblPr>
      <w:tblGrid>
        <w:gridCol w:w="9994"/>
      </w:tblGrid>
      <w:tr>
        <w:tc>
          <w:tcPr>
            <w:tcW w:type="dxa" w:w="9720"/>
            <w:shd w:fill="FCE4D6"/>
            <w:tcMar>
              <w:top w:w="70" w:type="dxa"/>
              <w:start w:w="100" w:type="dxa"/>
              <w:bottom w:w="70" w:type="dxa"/>
              <w:end w:w="100" w:type="dxa"/>
            </w:tcMar>
          </w:tcPr>
          <w:p>
            <w:r>
              <w:rPr>
                <w:b/>
                <w:color w:val="1F5F9F"/>
              </w:rPr>
              <w:t xml:space="preserve">Archive-Wide Recognition Unlock  </w:t>
            </w:r>
            <w:r>
              <w:t>Passing tests does not unlock or start archive processing. Founder acceptance is required to unlock it, followed by a separate explicit action to start processing.</w:t>
            </w:r>
          </w:p>
        </w:tc>
      </w:tr>
    </w:tbl>
    <w:p>
      <w:pPr>
        <w:spacing w:after="20"/>
      </w:pPr>
    </w:p>
    <w:p>
      <w:pPr>
        <w:pStyle w:val="Heading1"/>
      </w:pPr>
      <w:r>
        <w:t>9. Non-functional requirements</w:t>
      </w:r>
    </w:p>
    <w:p>
      <w:pPr>
        <w:pStyle w:val="ListBullet"/>
        <w:spacing w:after="60"/>
      </w:pPr>
      <w:r>
        <w:t>Auditability: retain source, model/config, timestamps, actor, confidence inputs, and lifecycle lineage.</w:t>
      </w:r>
    </w:p>
    <w:p>
      <w:pPr>
        <w:pStyle w:val="ListBullet"/>
        <w:spacing w:after="60"/>
      </w:pPr>
      <w:r>
        <w:t>Recoverability: back up or establish rollback before material derived-data remediation.</w:t>
      </w:r>
    </w:p>
    <w:p>
      <w:pPr>
        <w:pStyle w:val="ListBullet"/>
        <w:spacing w:after="60"/>
      </w:pPr>
      <w:r>
        <w:t>Performance: transcript follow/seeking feels immediate; recognition stays asynchronous and observable.</w:t>
      </w:r>
    </w:p>
    <w:p>
      <w:pPr>
        <w:pStyle w:val="ListBullet"/>
        <w:spacing w:after="60"/>
      </w:pPr>
      <w:r>
        <w:t>Resource control: concurrency and GPU/CPU usage are bounded/configurable on FlightSim.</w:t>
      </w:r>
    </w:p>
    <w:p>
      <w:pPr>
        <w:pStyle w:val="ListBullet"/>
        <w:spacing w:after="60"/>
      </w:pPr>
      <w:r>
        <w:t>Privacy: face/voice learning remains owner-controlled and is not disclosed to contributors.</w:t>
      </w:r>
    </w:p>
    <w:p>
      <w:pPr>
        <w:pStyle w:val="ListBullet"/>
        <w:spacing w:after="60"/>
      </w:pPr>
      <w:r>
        <w:t>Accessibility: keyboard operation, visible focus, accessible labels, and non-color state indicators.</w:t>
      </w:r>
    </w:p>
    <w:p>
      <w:pPr>
        <w:pStyle w:val="ListBullet"/>
        <w:spacing w:after="60"/>
      </w:pPr>
      <w:r>
        <w:t>Observability: job counts reconcile with writes; errors identify source/phase without raw infrastructure in owner UI.</w:t>
      </w:r>
    </w:p>
    <w:p>
      <w:pPr>
        <w:pStyle w:val="Heading1"/>
      </w:pPr>
      <w:r>
        <w:t>10. Delivery and proof</w:t>
      </w:r>
    </w:p>
    <w:p>
      <w:pPr>
        <w:pStyle w:val="ListBullet"/>
        <w:spacing w:after="60"/>
      </w:pPr>
      <w:r>
        <w:t>First commit: repository assessment, classification matrix, bounded manifest, causal analysis, and plan.</w:t>
      </w:r>
    </w:p>
    <w:p>
      <w:pPr>
        <w:pStyle w:val="ListBullet"/>
        <w:spacing w:after="60"/>
      </w:pPr>
      <w:r>
        <w:t>Subsequent commits: small coherent vertical changes in approved order; migrations separate from processing runs.</w:t>
      </w:r>
    </w:p>
    <w:p>
      <w:pPr>
        <w:pStyle w:val="ListBullet"/>
        <w:spacing w:after="60"/>
      </w:pPr>
      <w:r>
        <w:t>No development/test job may target the remaining archive.</w:t>
      </w:r>
    </w:p>
    <w:p>
      <w:pPr>
        <w:pStyle w:val="ListBullet"/>
        <w:spacing w:after="60"/>
      </w:pPr>
      <w:r>
        <w:t>Each milestone reports files, migrations, tests, observed counts, UI proof, and open risks.</w:t>
      </w:r>
    </w:p>
    <w:p>
      <w:pPr>
        <w:pStyle w:val="ListBullet"/>
        <w:spacing w:after="60"/>
      </w:pPr>
      <w:r>
        <w:t>Final package includes completeness matrix, bounded-run report, acceptance checklist, rollback notes, and founder request for Archive-Wide Recognition Unlock.</w:t>
      </w:r>
    </w:p>
    <w:p>
      <w:pPr>
        <w:pStyle w:val="Heading1"/>
      </w:pPr>
      <w:r>
        <w:t>11. Out of scope</w:t>
      </w:r>
    </w:p>
    <w:p>
      <w:pPr>
        <w:pStyle w:val="ListBullet"/>
        <w:spacing w:after="60"/>
      </w:pPr>
      <w:r>
        <w:t>Replacing Immich or writing corrections to Immich.</w:t>
      </w:r>
    </w:p>
    <w:p>
      <w:pPr>
        <w:pStyle w:val="ListBullet"/>
        <w:spacing w:after="60"/>
      </w:pPr>
      <w:r>
        <w:t>General family multi-user administration.</w:t>
      </w:r>
    </w:p>
    <w:p>
      <w:pPr>
        <w:pStyle w:val="ListBullet"/>
        <w:spacing w:after="60"/>
      </w:pPr>
      <w:r>
        <w:t>I14 communications aggregation and Save as Story.</w:t>
      </w:r>
    </w:p>
    <w:p>
      <w:pPr>
        <w:pStyle w:val="ListBullet"/>
        <w:spacing w:after="60"/>
      </w:pPr>
      <w:r>
        <w:t>Later setting/activity/artifact learning.</w:t>
      </w:r>
    </w:p>
    <w:p>
      <w:pPr>
        <w:pStyle w:val="ListBullet"/>
        <w:spacing w:after="60"/>
      </w:pPr>
      <w:r>
        <w:t>Automatic Archive-Wide Recognition Unlock or automatic processing after a passing run.</w:t>
      </w:r>
    </w:p>
    <w:p>
      <w:pPr>
        <w:pStyle w:val="ListBullet"/>
        <w:spacing w:after="60"/>
      </w:pPr>
      <w:r>
        <w:t>A full developer operations console or raw logs in the owner UI.</w:t>
      </w:r>
    </w:p>
    <w:p>
      <w:pPr>
        <w:pStyle w:val="Heading1"/>
      </w:pPr>
      <w:r>
        <w:t>12. Misses, gaps, contentions, and recommended dispositions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656"/>
            <w:shd w:fill="DCE6F1"/>
            <w:tcMar>
              <w:top w:w="70" w:type="dxa"/>
              <w:start w:w="100" w:type="dxa"/>
              <w:bottom w:w="70" w:type="dxa"/>
              <w:end w:w="100" w:type="dxa"/>
            </w:tcMar>
          </w:tcPr>
          <w:p>
            <w:r>
              <w:rPr>
                <w:b/>
                <w:sz w:val="17"/>
              </w:rPr>
              <w:t>Issue</w:t>
            </w:r>
          </w:p>
        </w:tc>
        <w:tc>
          <w:tcPr>
            <w:tcW w:type="dxa" w:w="2592"/>
            <w:shd w:fill="DCE6F1"/>
            <w:tcMar>
              <w:top w:w="70" w:type="dxa"/>
              <w:start w:w="100" w:type="dxa"/>
              <w:bottom w:w="70" w:type="dxa"/>
              <w:end w:w="100" w:type="dxa"/>
            </w:tcMar>
          </w:tcPr>
          <w:p>
            <w:r>
              <w:rPr>
                <w:b/>
                <w:sz w:val="17"/>
              </w:rPr>
              <w:t>Gap</w:t>
            </w:r>
          </w:p>
        </w:tc>
        <w:tc>
          <w:tcPr>
            <w:tcW w:type="dxa" w:w="4104"/>
            <w:shd w:fill="DCE6F1"/>
            <w:tcMar>
              <w:top w:w="70" w:type="dxa"/>
              <w:start w:w="100" w:type="dxa"/>
              <w:bottom w:w="70" w:type="dxa"/>
              <w:end w:w="100" w:type="dxa"/>
            </w:tcMar>
          </w:tcPr>
          <w:p>
            <w:r>
              <w:rPr>
                <w:b/>
                <w:sz w:val="17"/>
              </w:rPr>
              <w:t>Recommended disposition</w:t>
            </w:r>
          </w:p>
        </w:tc>
        <w:tc>
          <w:tcPr>
            <w:tcW w:type="dxa" w:w="1440"/>
            <w:shd w:fill="DCE6F1"/>
            <w:tcMar>
              <w:top w:w="70" w:type="dxa"/>
              <w:start w:w="100" w:type="dxa"/>
              <w:bottom w:w="70" w:type="dxa"/>
              <w:end w:w="100" w:type="dxa"/>
            </w:tcMar>
          </w:tcPr>
          <w:p>
            <w:r>
              <w:rPr>
                <w:b/>
                <w:sz w:val="17"/>
              </w:rPr>
              <w:t>Timing</w:t>
            </w:r>
          </w:p>
        </w:tc>
      </w:tr>
      <w:tr>
        <w:trPr>
          <w:cantSplit/>
        </w:trPr>
        <w:tc>
          <w:tcPr>
            <w:tcW w:type="dxa" w:w="1656"/>
            <w:tcMar>
              <w:top w:w="70" w:type="dxa"/>
              <w:start w:w="100" w:type="dxa"/>
              <w:bottom w:w="70" w:type="dxa"/>
              <w:end w:w="100" w:type="dxa"/>
            </w:tcMar>
            <w:vAlign w:val="top"/>
          </w:tcPr>
          <w:p>
            <w:pPr>
              <w:spacing w:after="20"/>
            </w:pPr>
            <w:r>
              <w:rPr>
                <w:sz w:val="16"/>
              </w:rPr>
              <w:t>Corpus manifest</w:t>
            </w:r>
          </w:p>
        </w:tc>
        <w:tc>
          <w:tcPr>
            <w:tcW w:type="dxa" w:w="2592"/>
            <w:tcMar>
              <w:top w:w="70" w:type="dxa"/>
              <w:start w:w="100" w:type="dxa"/>
              <w:bottom w:w="70" w:type="dxa"/>
              <w:end w:w="100" w:type="dxa"/>
            </w:tcMar>
            <w:vAlign w:val="top"/>
          </w:tcPr>
          <w:p>
            <w:pPr>
              <w:spacing w:after="20"/>
            </w:pPr>
            <w:r>
              <w:rPr>
                <w:sz w:val="16"/>
              </w:rPr>
              <w:t>Exact membership/truth set is not in current planning material.</w:t>
            </w:r>
          </w:p>
        </w:tc>
        <w:tc>
          <w:tcPr>
            <w:tcW w:type="dxa" w:w="4104"/>
            <w:tcMar>
              <w:top w:w="70" w:type="dxa"/>
              <w:start w:w="100" w:type="dxa"/>
              <w:bottom w:w="70" w:type="dxa"/>
              <w:end w:w="100" w:type="dxa"/>
            </w:tcMar>
            <w:vAlign w:val="top"/>
          </w:tcPr>
          <w:p>
            <w:pPr>
              <w:spacing w:after="20"/>
            </w:pPr>
            <w:r>
              <w:rPr>
                <w:sz w:val="16"/>
              </w:rPr>
              <w:t>Locate existing; otherwise create/review before recognition run.</w:t>
            </w:r>
          </w:p>
        </w:tc>
        <w:tc>
          <w:tcPr>
            <w:tcW w:type="dxa" w:w="1440"/>
            <w:tcMar>
              <w:top w:w="70" w:type="dxa"/>
              <w:start w:w="100" w:type="dxa"/>
              <w:bottom w:w="70" w:type="dxa"/>
              <w:end w:w="100" w:type="dxa"/>
            </w:tcMar>
            <w:vAlign w:val="top"/>
          </w:tcPr>
          <w:p>
            <w:pPr>
              <w:spacing w:after="20"/>
            </w:pPr>
            <w:r>
              <w:rPr>
                <w:sz w:val="16"/>
              </w:rPr>
              <w:t>Blocks processing.</w:t>
            </w:r>
          </w:p>
        </w:tc>
      </w:tr>
      <w:tr>
        <w:trPr>
          <w:cantSplit/>
        </w:trPr>
        <w:tc>
          <w:tcPr>
            <w:tcW w:type="dxa" w:w="1656"/>
            <w:tcMar>
              <w:top w:w="70" w:type="dxa"/>
              <w:start w:w="100" w:type="dxa"/>
              <w:bottom w:w="70" w:type="dxa"/>
              <w:end w:w="100" w:type="dxa"/>
            </w:tcMar>
            <w:vAlign w:val="top"/>
          </w:tcPr>
          <w:p>
            <w:pPr>
              <w:spacing w:after="20"/>
            </w:pPr>
            <w:r>
              <w:rPr>
                <w:sz w:val="16"/>
              </w:rPr>
              <w:t>Thresholds</w:t>
            </w:r>
          </w:p>
        </w:tc>
        <w:tc>
          <w:tcPr>
            <w:tcW w:type="dxa" w:w="2592"/>
            <w:tcMar>
              <w:top w:w="70" w:type="dxa"/>
              <w:start w:w="100" w:type="dxa"/>
              <w:bottom w:w="70" w:type="dxa"/>
              <w:end w:w="100" w:type="dxa"/>
            </w:tcMar>
            <w:vAlign w:val="top"/>
          </w:tcPr>
          <w:p>
            <w:pPr>
              <w:spacing w:after="20"/>
            </w:pPr>
            <w:r>
              <w:rPr>
                <w:sz w:val="16"/>
              </w:rPr>
              <w:t>Face, voice, and corroborated confidence thresholds are unspecified.</w:t>
            </w:r>
          </w:p>
        </w:tc>
        <w:tc>
          <w:tcPr>
            <w:tcW w:type="dxa" w:w="4104"/>
            <w:tcMar>
              <w:top w:w="70" w:type="dxa"/>
              <w:start w:w="100" w:type="dxa"/>
              <w:bottom w:w="70" w:type="dxa"/>
              <w:end w:w="100" w:type="dxa"/>
            </w:tcMar>
            <w:vAlign w:val="top"/>
          </w:tcPr>
          <w:p>
            <w:pPr>
              <w:spacing w:after="20"/>
            </w:pPr>
            <w:r>
              <w:rPr>
                <w:sz w:val="16"/>
              </w:rPr>
              <w:t>Make configurable/versioned; measure corpus results before approval.</w:t>
            </w:r>
          </w:p>
        </w:tc>
        <w:tc>
          <w:tcPr>
            <w:tcW w:type="dxa" w:w="1440"/>
            <w:tcMar>
              <w:top w:w="70" w:type="dxa"/>
              <w:start w:w="100" w:type="dxa"/>
              <w:bottom w:w="70" w:type="dxa"/>
              <w:end w:w="100" w:type="dxa"/>
            </w:tcMar>
            <w:vAlign w:val="top"/>
          </w:tcPr>
          <w:p>
            <w:pPr>
              <w:spacing w:after="20"/>
            </w:pPr>
            <w:r>
              <w:rPr>
                <w:sz w:val="16"/>
              </w:rPr>
              <w:t>Blocks acceptance policy.</w:t>
            </w:r>
          </w:p>
        </w:tc>
      </w:tr>
      <w:tr>
        <w:trPr>
          <w:cantSplit/>
        </w:trPr>
        <w:tc>
          <w:tcPr>
            <w:tcW w:type="dxa" w:w="1656"/>
            <w:tcMar>
              <w:top w:w="70" w:type="dxa"/>
              <w:start w:w="100" w:type="dxa"/>
              <w:bottom w:w="70" w:type="dxa"/>
              <w:end w:w="100" w:type="dxa"/>
            </w:tcMar>
            <w:vAlign w:val="top"/>
          </w:tcPr>
          <w:p>
            <w:pPr>
              <w:spacing w:after="20"/>
            </w:pPr>
            <w:r>
              <w:rPr>
                <w:sz w:val="16"/>
              </w:rPr>
              <w:t>Transcript edits</w:t>
            </w:r>
          </w:p>
        </w:tc>
        <w:tc>
          <w:tcPr>
            <w:tcW w:type="dxa" w:w="2592"/>
            <w:tcMar>
              <w:top w:w="70" w:type="dxa"/>
              <w:start w:w="100" w:type="dxa"/>
              <w:bottom w:w="70" w:type="dxa"/>
              <w:end w:w="100" w:type="dxa"/>
            </w:tcMar>
            <w:vAlign w:val="top"/>
          </w:tcPr>
          <w:p>
            <w:pPr>
              <w:spacing w:after="20"/>
            </w:pPr>
            <w:r>
              <w:rPr>
                <w:sz w:val="16"/>
              </w:rPr>
              <w:t>Whether edits replace STT is unspecified.</w:t>
            </w:r>
          </w:p>
        </w:tc>
        <w:tc>
          <w:tcPr>
            <w:tcW w:type="dxa" w:w="4104"/>
            <w:tcMar>
              <w:top w:w="70" w:type="dxa"/>
              <w:start w:w="100" w:type="dxa"/>
              <w:bottom w:w="70" w:type="dxa"/>
              <w:end w:w="100" w:type="dxa"/>
            </w:tcMar>
            <w:vAlign w:val="top"/>
          </w:tcPr>
          <w:p>
            <w:pPr>
              <w:spacing w:after="20"/>
            </w:pPr>
            <w:r>
              <w:rPr>
                <w:sz w:val="16"/>
              </w:rPr>
              <w:t>Preserve original; store owner correction overlay for display/search/learning.</w:t>
            </w:r>
          </w:p>
        </w:tc>
        <w:tc>
          <w:tcPr>
            <w:tcW w:type="dxa" w:w="1440"/>
            <w:tcMar>
              <w:top w:w="70" w:type="dxa"/>
              <w:start w:w="100" w:type="dxa"/>
              <w:bottom w:w="70" w:type="dxa"/>
              <w:end w:w="100" w:type="dxa"/>
            </w:tcMar>
            <w:vAlign w:val="top"/>
          </w:tcPr>
          <w:p>
            <w:pPr>
              <w:spacing w:after="20"/>
            </w:pPr>
            <w:r>
              <w:rPr>
                <w:sz w:val="16"/>
              </w:rPr>
              <w:t>Recommended default.</w:t>
            </w:r>
          </w:p>
        </w:tc>
      </w:tr>
      <w:tr>
        <w:trPr>
          <w:cantSplit/>
        </w:trPr>
        <w:tc>
          <w:tcPr>
            <w:tcW w:type="dxa" w:w="1656"/>
            <w:tcMar>
              <w:top w:w="70" w:type="dxa"/>
              <w:start w:w="100" w:type="dxa"/>
              <w:bottom w:w="70" w:type="dxa"/>
              <w:end w:w="100" w:type="dxa"/>
            </w:tcMar>
            <w:vAlign w:val="top"/>
          </w:tcPr>
          <w:p>
            <w:pPr>
              <w:spacing w:after="20"/>
            </w:pPr>
            <w:r>
              <w:rPr>
                <w:sz w:val="16"/>
              </w:rPr>
              <w:t>Retirement cascade</w:t>
            </w:r>
          </w:p>
        </w:tc>
        <w:tc>
          <w:tcPr>
            <w:tcW w:type="dxa" w:w="2592"/>
            <w:tcMar>
              <w:top w:w="70" w:type="dxa"/>
              <w:start w:w="100" w:type="dxa"/>
              <w:bottom w:w="70" w:type="dxa"/>
              <w:end w:w="100" w:type="dxa"/>
            </w:tcMar>
            <w:vAlign w:val="top"/>
          </w:tcPr>
          <w:p>
            <w:pPr>
              <w:spacing w:after="20"/>
            </w:pPr>
            <w:r>
              <w:rPr>
                <w:sz w:val="16"/>
              </w:rPr>
              <w:t>Prior suggestion handling is unspecified.</w:t>
            </w:r>
          </w:p>
        </w:tc>
        <w:tc>
          <w:tcPr>
            <w:tcW w:type="dxa" w:w="4104"/>
            <w:tcMar>
              <w:top w:w="70" w:type="dxa"/>
              <w:start w:w="100" w:type="dxa"/>
              <w:bottom w:w="70" w:type="dxa"/>
              <w:end w:w="100" w:type="dxa"/>
            </w:tcMar>
            <w:vAlign w:val="top"/>
          </w:tcPr>
          <w:p>
            <w:pPr>
              <w:spacing w:after="20"/>
            </w:pPr>
            <w:r>
              <w:rPr>
                <w:sz w:val="16"/>
              </w:rPr>
              <w:t>Stop future use; mark dependent suggestions stale; reprocess affected bounded scope.</w:t>
            </w:r>
          </w:p>
        </w:tc>
        <w:tc>
          <w:tcPr>
            <w:tcW w:type="dxa" w:w="1440"/>
            <w:tcMar>
              <w:top w:w="70" w:type="dxa"/>
              <w:start w:w="100" w:type="dxa"/>
              <w:bottom w:w="70" w:type="dxa"/>
              <w:end w:w="100" w:type="dxa"/>
            </w:tcMar>
            <w:vAlign w:val="top"/>
          </w:tcPr>
          <w:p>
            <w:pPr>
              <w:spacing w:after="20"/>
            </w:pPr>
            <w:r>
              <w:rPr>
                <w:sz w:val="16"/>
              </w:rPr>
              <w:t>Confirm before lifecycle build.</w:t>
            </w:r>
          </w:p>
        </w:tc>
      </w:tr>
      <w:tr>
        <w:trPr>
          <w:cantSplit/>
        </w:trPr>
        <w:tc>
          <w:tcPr>
            <w:tcW w:type="dxa" w:w="1656"/>
            <w:tcMar>
              <w:top w:w="70" w:type="dxa"/>
              <w:start w:w="100" w:type="dxa"/>
              <w:bottom w:w="70" w:type="dxa"/>
              <w:end w:w="100" w:type="dxa"/>
            </w:tcMar>
            <w:vAlign w:val="top"/>
          </w:tcPr>
          <w:p>
            <w:pPr>
              <w:spacing w:after="20"/>
            </w:pPr>
            <w:r>
              <w:rPr>
                <w:sz w:val="16"/>
              </w:rPr>
              <w:t>155K cleanup</w:t>
            </w:r>
          </w:p>
        </w:tc>
        <w:tc>
          <w:tcPr>
            <w:tcW w:type="dxa" w:w="2592"/>
            <w:tcMar>
              <w:top w:w="70" w:type="dxa"/>
              <w:start w:w="100" w:type="dxa"/>
              <w:bottom w:w="70" w:type="dxa"/>
              <w:end w:w="100" w:type="dxa"/>
            </w:tcMar>
            <w:vAlign w:val="top"/>
          </w:tcPr>
          <w:p>
            <w:pPr>
              <w:spacing w:after="20"/>
            </w:pPr>
            <w:r>
              <w:rPr>
                <w:sz w:val="16"/>
              </w:rPr>
              <w:t>Invalid share is not yet quantified.</w:t>
            </w:r>
          </w:p>
        </w:tc>
        <w:tc>
          <w:tcPr>
            <w:tcW w:type="dxa" w:w="4104"/>
            <w:tcMar>
              <w:top w:w="70" w:type="dxa"/>
              <w:start w:w="100" w:type="dxa"/>
              <w:bottom w:w="70" w:type="dxa"/>
              <w:end w:w="100" w:type="dxa"/>
            </w:tcMar>
            <w:vAlign w:val="top"/>
          </w:tcPr>
          <w:p>
            <w:pPr>
              <w:spacing w:after="20"/>
            </w:pPr>
            <w:r>
              <w:rPr>
                <w:sz w:val="16"/>
              </w:rPr>
              <w:t>Back up; quarantine/supersede; reconcile counts; never blind-delete.</w:t>
            </w:r>
          </w:p>
        </w:tc>
        <w:tc>
          <w:tcPr>
            <w:tcW w:type="dxa" w:w="1440"/>
            <w:tcMar>
              <w:top w:w="70" w:type="dxa"/>
              <w:start w:w="100" w:type="dxa"/>
              <w:bottom w:w="70" w:type="dxa"/>
              <w:end w:w="100" w:type="dxa"/>
            </w:tcMar>
            <w:vAlign w:val="top"/>
          </w:tcPr>
          <w:p>
            <w:pPr>
              <w:spacing w:after="20"/>
            </w:pPr>
            <w:r>
              <w:rPr>
                <w:sz w:val="16"/>
              </w:rPr>
              <w:t>Root cause first.</w:t>
            </w:r>
          </w:p>
        </w:tc>
      </w:tr>
      <w:tr>
        <w:trPr>
          <w:cantSplit/>
        </w:trPr>
        <w:tc>
          <w:tcPr>
            <w:tcW w:type="dxa" w:w="1656"/>
            <w:tcMar>
              <w:top w:w="70" w:type="dxa"/>
              <w:start w:w="100" w:type="dxa"/>
              <w:bottom w:w="70" w:type="dxa"/>
              <w:end w:w="100" w:type="dxa"/>
            </w:tcMar>
            <w:vAlign w:val="top"/>
          </w:tcPr>
          <w:p>
            <w:pPr>
              <w:spacing w:after="20"/>
            </w:pPr>
            <w:r>
              <w:rPr>
                <w:sz w:val="16"/>
              </w:rPr>
              <w:t>Track grouping</w:t>
            </w:r>
          </w:p>
        </w:tc>
        <w:tc>
          <w:tcPr>
            <w:tcW w:type="dxa" w:w="2592"/>
            <w:tcMar>
              <w:top w:w="70" w:type="dxa"/>
              <w:start w:w="100" w:type="dxa"/>
              <w:bottom w:w="70" w:type="dxa"/>
              <w:end w:w="100" w:type="dxa"/>
            </w:tcMar>
            <w:vAlign w:val="top"/>
          </w:tcPr>
          <w:p>
            <w:pPr>
              <w:spacing w:after="20"/>
            </w:pPr>
            <w:r>
              <w:rPr>
                <w:sz w:val="16"/>
              </w:rPr>
              <w:t>Gap/merge tolerances are unspecified.</w:t>
            </w:r>
          </w:p>
        </w:tc>
        <w:tc>
          <w:tcPr>
            <w:tcW w:type="dxa" w:w="4104"/>
            <w:tcMar>
              <w:top w:w="70" w:type="dxa"/>
              <w:start w:w="100" w:type="dxa"/>
              <w:bottom w:w="70" w:type="dxa"/>
              <w:end w:w="100" w:type="dxa"/>
            </w:tcMar>
            <w:vAlign w:val="top"/>
          </w:tcPr>
          <w:p>
            <w:pPr>
              <w:spacing w:after="20"/>
            </w:pPr>
            <w:r>
              <w:rPr>
                <w:sz w:val="16"/>
              </w:rPr>
              <w:t>Version configurable tolerances; show sampled errors and count effects.</w:t>
            </w:r>
          </w:p>
        </w:tc>
        <w:tc>
          <w:tcPr>
            <w:tcW w:type="dxa" w:w="1440"/>
            <w:tcMar>
              <w:top w:w="70" w:type="dxa"/>
              <w:start w:w="100" w:type="dxa"/>
              <w:bottom w:w="70" w:type="dxa"/>
              <w:end w:w="100" w:type="dxa"/>
            </w:tcMar>
            <w:vAlign w:val="top"/>
          </w:tcPr>
          <w:p>
            <w:pPr>
              <w:spacing w:after="20"/>
            </w:pPr>
            <w:r>
              <w:rPr>
                <w:sz w:val="16"/>
              </w:rPr>
              <w:t>Can start configurable.</w:t>
            </w:r>
          </w:p>
        </w:tc>
      </w:tr>
      <w:tr>
        <w:trPr>
          <w:cantSplit/>
        </w:trPr>
        <w:tc>
          <w:tcPr>
            <w:tcW w:type="dxa" w:w="1656"/>
            <w:tcMar>
              <w:top w:w="70" w:type="dxa"/>
              <w:start w:w="100" w:type="dxa"/>
              <w:bottom w:w="70" w:type="dxa"/>
              <w:end w:w="100" w:type="dxa"/>
            </w:tcMar>
            <w:vAlign w:val="top"/>
          </w:tcPr>
          <w:p>
            <w:pPr>
              <w:spacing w:after="20"/>
            </w:pPr>
            <w:r>
              <w:rPr>
                <w:sz w:val="16"/>
              </w:rPr>
              <w:t>Learning reach</w:t>
            </w:r>
          </w:p>
        </w:tc>
        <w:tc>
          <w:tcPr>
            <w:tcW w:type="dxa" w:w="2592"/>
            <w:tcMar>
              <w:top w:w="70" w:type="dxa"/>
              <w:start w:w="100" w:type="dxa"/>
              <w:bottom w:w="70" w:type="dxa"/>
              <w:end w:w="100" w:type="dxa"/>
            </w:tcMar>
            <w:vAlign w:val="top"/>
          </w:tcPr>
          <w:p>
            <w:pPr>
              <w:spacing w:after="20"/>
            </w:pPr>
            <w:r>
              <w:rPr>
                <w:sz w:val="16"/>
              </w:rPr>
              <w:t>A learned exemplar might trigger full-archive work.</w:t>
            </w:r>
          </w:p>
        </w:tc>
        <w:tc>
          <w:tcPr>
            <w:tcW w:type="dxa" w:w="4104"/>
            <w:tcMar>
              <w:top w:w="70" w:type="dxa"/>
              <w:start w:w="100" w:type="dxa"/>
              <w:bottom w:w="70" w:type="dxa"/>
              <w:end w:w="100" w:type="dxa"/>
            </w:tcMar>
            <w:vAlign w:val="top"/>
          </w:tcPr>
          <w:p>
            <w:pPr>
              <w:spacing w:after="20"/>
            </w:pPr>
            <w:r>
              <w:rPr>
                <w:sz w:val="16"/>
              </w:rPr>
              <w:t>All I13 learning jobs inherit bounded scope; archive-wide recognition remains locked.</w:t>
            </w:r>
          </w:p>
        </w:tc>
        <w:tc>
          <w:tcPr>
            <w:tcW w:type="dxa" w:w="1440"/>
            <w:tcMar>
              <w:top w:w="70" w:type="dxa"/>
              <w:start w:w="100" w:type="dxa"/>
              <w:bottom w:w="70" w:type="dxa"/>
              <w:end w:w="100" w:type="dxa"/>
            </w:tcMar>
            <w:vAlign w:val="top"/>
          </w:tcPr>
          <w:p>
            <w:pPr>
              <w:spacing w:after="20"/>
            </w:pPr>
            <w:r>
              <w:rPr>
                <w:sz w:val="16"/>
              </w:rPr>
              <w:t>Firm rule.</w:t>
            </w:r>
          </w:p>
        </w:tc>
      </w:tr>
      <w:tr>
        <w:trPr>
          <w:cantSplit/>
        </w:trPr>
        <w:tc>
          <w:tcPr>
            <w:tcW w:type="dxa" w:w="1656"/>
            <w:tcMar>
              <w:top w:w="70" w:type="dxa"/>
              <w:start w:w="100" w:type="dxa"/>
              <w:bottom w:w="70" w:type="dxa"/>
              <w:end w:w="100" w:type="dxa"/>
            </w:tcMar>
            <w:vAlign w:val="top"/>
          </w:tcPr>
          <w:p>
            <w:pPr>
              <w:spacing w:after="20"/>
            </w:pPr>
            <w:r>
              <w:rPr>
                <w:sz w:val="16"/>
              </w:rPr>
              <w:t>Attribution risk</w:t>
            </w:r>
          </w:p>
        </w:tc>
        <w:tc>
          <w:tcPr>
            <w:tcW w:type="dxa" w:w="2592"/>
            <w:tcMar>
              <w:top w:w="70" w:type="dxa"/>
              <w:start w:w="100" w:type="dxa"/>
              <w:bottom w:w="70" w:type="dxa"/>
              <w:end w:w="100" w:type="dxa"/>
            </w:tcMar>
            <w:vAlign w:val="top"/>
          </w:tcPr>
          <w:p>
            <w:pPr>
              <w:spacing w:after="20"/>
            </w:pPr>
            <w:r>
              <w:rPr>
                <w:sz w:val="16"/>
              </w:rPr>
              <w:t>Visible face could be mistaken for speaker.</w:t>
            </w:r>
          </w:p>
        </w:tc>
        <w:tc>
          <w:tcPr>
            <w:tcW w:type="dxa" w:w="4104"/>
            <w:tcMar>
              <w:top w:w="70" w:type="dxa"/>
              <w:start w:w="100" w:type="dxa"/>
              <w:bottom w:w="70" w:type="dxa"/>
              <w:end w:w="100" w:type="dxa"/>
            </w:tcMar>
            <w:vAlign w:val="top"/>
          </w:tcPr>
          <w:p>
            <w:pPr>
              <w:spacing w:after="20"/>
            </w:pPr>
            <w:r>
              <w:rPr>
                <w:sz w:val="16"/>
              </w:rPr>
              <w:t>Require voice evidence or owner confirmation; face only corroborates.</w:t>
            </w:r>
          </w:p>
        </w:tc>
        <w:tc>
          <w:tcPr>
            <w:tcW w:type="dxa" w:w="1440"/>
            <w:tcMar>
              <w:top w:w="70" w:type="dxa"/>
              <w:start w:w="100" w:type="dxa"/>
              <w:bottom w:w="70" w:type="dxa"/>
              <w:end w:w="100" w:type="dxa"/>
            </w:tcMar>
            <w:vAlign w:val="top"/>
          </w:tcPr>
          <w:p>
            <w:pPr>
              <w:spacing w:after="20"/>
            </w:pPr>
            <w:r>
              <w:rPr>
                <w:sz w:val="16"/>
              </w:rPr>
              <w:t>Firm rule.</w:t>
            </w:r>
          </w:p>
        </w:tc>
      </w:tr>
      <w:tr>
        <w:trPr>
          <w:cantSplit/>
        </w:trPr>
        <w:tc>
          <w:tcPr>
            <w:tcW w:type="dxa" w:w="1656"/>
            <w:tcMar>
              <w:top w:w="70" w:type="dxa"/>
              <w:start w:w="100" w:type="dxa"/>
              <w:bottom w:w="70" w:type="dxa"/>
              <w:end w:w="100" w:type="dxa"/>
            </w:tcMar>
            <w:vAlign w:val="top"/>
          </w:tcPr>
          <w:p>
            <w:pPr>
              <w:spacing w:after="20"/>
            </w:pPr>
            <w:r>
              <w:rPr>
                <w:sz w:val="16"/>
              </w:rPr>
              <w:t>Performance targets</w:t>
            </w:r>
          </w:p>
        </w:tc>
        <w:tc>
          <w:tcPr>
            <w:tcW w:type="dxa" w:w="2592"/>
            <w:tcMar>
              <w:top w:w="70" w:type="dxa"/>
              <w:start w:w="100" w:type="dxa"/>
              <w:bottom w:w="70" w:type="dxa"/>
              <w:end w:w="100" w:type="dxa"/>
            </w:tcMar>
            <w:vAlign w:val="top"/>
          </w:tcPr>
          <w:p>
            <w:pPr>
              <w:spacing w:after="20"/>
            </w:pPr>
            <w:r>
              <w:rPr>
                <w:sz w:val="16"/>
              </w:rPr>
              <w:t>No numeric latency/runtime limits exist.</w:t>
            </w:r>
          </w:p>
        </w:tc>
        <w:tc>
          <w:tcPr>
            <w:tcW w:type="dxa" w:w="4104"/>
            <w:tcMar>
              <w:top w:w="70" w:type="dxa"/>
              <w:start w:w="100" w:type="dxa"/>
              <w:bottom w:w="70" w:type="dxa"/>
              <w:end w:w="100" w:type="dxa"/>
            </w:tcMar>
            <w:vAlign w:val="top"/>
          </w:tcPr>
          <w:p>
            <w:pPr>
              <w:spacing w:after="20"/>
            </w:pPr>
            <w:r>
              <w:rPr>
                <w:sz w:val="16"/>
              </w:rPr>
              <w:t>Capture baseline; propose thresholds from measured hardware.</w:t>
            </w:r>
          </w:p>
        </w:tc>
        <w:tc>
          <w:tcPr>
            <w:tcW w:type="dxa" w:w="1440"/>
            <w:tcMar>
              <w:top w:w="70" w:type="dxa"/>
              <w:start w:w="100" w:type="dxa"/>
              <w:bottom w:w="70" w:type="dxa"/>
              <w:end w:w="100" w:type="dxa"/>
            </w:tcMar>
            <w:vAlign w:val="top"/>
          </w:tcPr>
          <w:p>
            <w:pPr>
              <w:spacing w:after="20"/>
            </w:pPr>
            <w:r>
              <w:rPr>
                <w:sz w:val="16"/>
              </w:rPr>
              <w:t>Does not block build.</w:t>
            </w:r>
          </w:p>
        </w:tc>
      </w:tr>
    </w:tbl>
    <w:p>
      <w:pPr>
        <w:spacing w:after="20"/>
      </w:pPr>
    </w:p>
    <w:p>
      <w:pPr>
        <w:pStyle w:val="Heading1"/>
      </w:pPr>
      <w:r>
        <w:t>13. Founder decisions/questions</w:t>
      </w:r>
    </w:p>
    <w:p>
      <w:pPr>
        <w:pStyle w:val="ListBullet"/>
        <w:spacing w:after="60"/>
      </w:pPr>
      <w:r>
        <w:t>Approve immutable machine transcript plus owner correction overlay?</w:t>
      </w:r>
    </w:p>
    <w:p>
      <w:pPr>
        <w:pStyle w:val="ListBullet"/>
        <w:spacing w:after="60"/>
      </w:pPr>
      <w:r>
        <w:t>Approve retirement: stop future use, mark dependent suggestions stale, then reprocess affected bounded scope?</w:t>
      </w:r>
    </w:p>
    <w:p>
      <w:pPr>
        <w:pStyle w:val="ListBullet"/>
        <w:spacing w:after="60"/>
      </w:pPr>
      <w:r>
        <w:t>Does a versioned 22-video manifest already exist; if not, may Codex create it as the first I13 artifact?</w:t>
      </w:r>
    </w:p>
    <w:p>
      <w:pPr>
        <w:pStyle w:val="ListBullet"/>
        <w:spacing w:after="60"/>
      </w:pPr>
      <w:r>
        <w:t>Confirm Archive-Wide Recognition Unlock remains an explicit founder action for I13, with processing started separately?</w:t>
      </w:r>
    </w:p>
    <w:p>
      <w:pPr>
        <w:pStyle w:val="ListBullet"/>
        <w:spacing w:after="60"/>
      </w:pPr>
      <w:r>
        <w:t>Admin placement is approved: owner-only top navigation with Archive Health, Processing Jobs, Learned Evidence, Historian Campaigns, and setup destinations.</w:t>
      </w:r>
    </w:p>
    <w:p>
      <w:pPr>
        <w:pStyle w:val="Heading1"/>
      </w:pPr>
      <w:r>
        <w:t>Appendix A — Code completeness matrix</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1512"/>
            <w:shd w:fill="DCE6F1"/>
            <w:tcMar>
              <w:top w:w="70" w:type="dxa"/>
              <w:start w:w="100" w:type="dxa"/>
              <w:bottom w:w="70" w:type="dxa"/>
              <w:end w:w="100" w:type="dxa"/>
            </w:tcMar>
          </w:tcPr>
          <w:p>
            <w:r>
              <w:rPr>
                <w:b/>
                <w:sz w:val="17"/>
              </w:rPr>
              <w:t>Requirement</w:t>
            </w:r>
          </w:p>
        </w:tc>
        <w:tc>
          <w:tcPr>
            <w:tcW w:type="dxa" w:w="1008"/>
            <w:shd w:fill="DCE6F1"/>
            <w:tcMar>
              <w:top w:w="70" w:type="dxa"/>
              <w:start w:w="100" w:type="dxa"/>
              <w:bottom w:w="70" w:type="dxa"/>
              <w:end w:w="100" w:type="dxa"/>
            </w:tcMar>
          </w:tcPr>
          <w:p>
            <w:r>
              <w:rPr>
                <w:b/>
                <w:sz w:val="17"/>
              </w:rPr>
              <w:t>State</w:t>
            </w:r>
          </w:p>
        </w:tc>
        <w:tc>
          <w:tcPr>
            <w:tcW w:type="dxa" w:w="2880"/>
            <w:shd w:fill="DCE6F1"/>
            <w:tcMar>
              <w:top w:w="70" w:type="dxa"/>
              <w:start w:w="100" w:type="dxa"/>
              <w:bottom w:w="70" w:type="dxa"/>
              <w:end w:w="100" w:type="dxa"/>
            </w:tcMar>
          </w:tcPr>
          <w:p>
            <w:r>
              <w:rPr>
                <w:b/>
                <w:sz w:val="17"/>
              </w:rPr>
              <w:t>Evidence / location</w:t>
            </w:r>
          </w:p>
        </w:tc>
        <w:tc>
          <w:tcPr>
            <w:tcW w:type="dxa" w:w="2952"/>
            <w:shd w:fill="DCE6F1"/>
            <w:tcMar>
              <w:top w:w="70" w:type="dxa"/>
              <w:start w:w="100" w:type="dxa"/>
              <w:bottom w:w="70" w:type="dxa"/>
              <w:end w:w="100" w:type="dxa"/>
            </w:tcMar>
          </w:tcPr>
          <w:p>
            <w:r>
              <w:rPr>
                <w:b/>
                <w:sz w:val="17"/>
              </w:rPr>
              <w:t>Change needed</w:t>
            </w:r>
          </w:p>
        </w:tc>
        <w:tc>
          <w:tcPr>
            <w:tcW w:type="dxa" w:w="1440"/>
            <w:shd w:fill="DCE6F1"/>
            <w:tcMar>
              <w:top w:w="70" w:type="dxa"/>
              <w:start w:w="100" w:type="dxa"/>
              <w:bottom w:w="70" w:type="dxa"/>
              <w:end w:w="100" w:type="dxa"/>
            </w:tcMar>
          </w:tcPr>
          <w:p>
            <w:r>
              <w:rPr>
                <w:b/>
                <w:sz w:val="17"/>
              </w:rPr>
              <w:t>Test</w:t>
            </w:r>
          </w:p>
        </w:tc>
      </w:tr>
      <w:tr>
        <w:trPr>
          <w:cantSplit/>
        </w:trPr>
        <w:tc>
          <w:tcPr>
            <w:tcW w:type="dxa" w:w="1512"/>
            <w:tcMar>
              <w:top w:w="70" w:type="dxa"/>
              <w:start w:w="100" w:type="dxa"/>
              <w:bottom w:w="70" w:type="dxa"/>
              <w:end w:w="100" w:type="dxa"/>
            </w:tcMar>
            <w:vAlign w:val="top"/>
          </w:tcPr>
          <w:p>
            <w:pPr>
              <w:spacing w:after="20"/>
            </w:pPr>
            <w:r>
              <w:rPr>
                <w:sz w:val="16"/>
              </w:rPr>
              <w:t>I13-FR-001</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I13-FR-002</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I13-FR-003</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I13-FR-004</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I13-FR-005</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I13-FR-006</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I13-FR-007</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I13-FR-008</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I13-FR-009</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I13-FR-010</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I13-FR-011</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I13-FR-012</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I13-FR-013</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I13-FR-014</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I13-FR-015</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I13-FR-016</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I13-FR-017</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I13-FR-018</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I13-FR-019</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I13-FR-020</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I13-FR-021</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I13-FR-022</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I13-FR-023</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I13-FR-024</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I13-FR-025</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r>
        <w:trPr>
          <w:cantSplit/>
        </w:trPr>
        <w:tc>
          <w:tcPr>
            <w:tcW w:type="dxa" w:w="1512"/>
            <w:tcMar>
              <w:top w:w="70" w:type="dxa"/>
              <w:start w:w="100" w:type="dxa"/>
              <w:bottom w:w="70" w:type="dxa"/>
              <w:end w:w="100" w:type="dxa"/>
            </w:tcMar>
            <w:vAlign w:val="top"/>
          </w:tcPr>
          <w:p>
            <w:pPr>
              <w:spacing w:after="20"/>
            </w:pPr>
            <w:r>
              <w:rPr>
                <w:sz w:val="16"/>
              </w:rPr>
              <w:t>I13-FR-026</w:t>
            </w:r>
          </w:p>
        </w:tc>
        <w:tc>
          <w:tcPr>
            <w:tcW w:type="dxa" w:w="1008"/>
            <w:tcMar>
              <w:top w:w="70" w:type="dxa"/>
              <w:start w:w="100" w:type="dxa"/>
              <w:bottom w:w="70" w:type="dxa"/>
              <w:end w:w="100" w:type="dxa"/>
            </w:tcMar>
            <w:vAlign w:val="top"/>
          </w:tcPr>
          <w:p>
            <w:pPr>
              <w:spacing w:after="20"/>
            </w:pPr>
            <w:r>
              <w:rPr>
                <w:sz w:val="16"/>
              </w:rPr>
            </w:r>
          </w:p>
        </w:tc>
        <w:tc>
          <w:tcPr>
            <w:tcW w:type="dxa" w:w="2880"/>
            <w:tcMar>
              <w:top w:w="70" w:type="dxa"/>
              <w:start w:w="100" w:type="dxa"/>
              <w:bottom w:w="70" w:type="dxa"/>
              <w:end w:w="100" w:type="dxa"/>
            </w:tcMar>
            <w:vAlign w:val="top"/>
          </w:tcPr>
          <w:p>
            <w:pPr>
              <w:spacing w:after="20"/>
            </w:pPr>
            <w:r>
              <w:rPr>
                <w:sz w:val="16"/>
              </w:rPr>
            </w:r>
          </w:p>
        </w:tc>
        <w:tc>
          <w:tcPr>
            <w:tcW w:type="dxa" w:w="2952"/>
            <w:tcMar>
              <w:top w:w="70" w:type="dxa"/>
              <w:start w:w="100" w:type="dxa"/>
              <w:bottom w:w="70" w:type="dxa"/>
              <w:end w:w="100" w:type="dxa"/>
            </w:tcMar>
            <w:vAlign w:val="top"/>
          </w:tcPr>
          <w:p>
            <w:pPr>
              <w:spacing w:after="20"/>
            </w:pPr>
            <w:r>
              <w:rPr>
                <w:sz w:val="16"/>
              </w:rPr>
            </w:r>
          </w:p>
        </w:tc>
        <w:tc>
          <w:tcPr>
            <w:tcW w:type="dxa" w:w="1440"/>
            <w:tcMar>
              <w:top w:w="70" w:type="dxa"/>
              <w:start w:w="100" w:type="dxa"/>
              <w:bottom w:w="70" w:type="dxa"/>
              <w:end w:w="100" w:type="dxa"/>
            </w:tcMar>
            <w:vAlign w:val="top"/>
          </w:tcPr>
          <w:p>
            <w:pPr>
              <w:spacing w:after="20"/>
            </w:pPr>
            <w:r>
              <w:rPr>
                <w:sz w:val="16"/>
              </w:rPr>
            </w:r>
          </w:p>
        </w:tc>
      </w:tr>
    </w:tbl>
    <w:p>
      <w:pPr>
        <w:spacing w:after="20"/>
      </w:pPr>
    </w:p>
    <w:p>
      <w:pPr>
        <w:pStyle w:val="Heading1"/>
      </w:pPr>
      <w:r>
        <w:t>Appendix B — Source references</w:t>
      </w:r>
    </w:p>
    <w:p>
      <w:pPr>
        <w:pStyle w:val="ListBullet"/>
        <w:spacing w:after="60"/>
      </w:pPr>
      <w:r>
        <w:t>Founder-approved I13 order and architectural rule, 3–4 September 2026.</w:t>
      </w:r>
    </w:p>
    <w:p>
      <w:pPr>
        <w:pStyle w:val="ListBullet"/>
        <w:spacing w:after="60"/>
      </w:pPr>
      <w:r>
        <w:t>Approved I13 screen set: Video Learn, Video People, Processing Jobs, Learned Evidence.</w:t>
      </w:r>
    </w:p>
    <w:p>
      <w:pPr>
        <w:pStyle w:val="ListBullet"/>
        <w:spacing w:after="60"/>
      </w:pPr>
      <w:r>
        <w:t>MBUX-001 MemoryBox UX Foundation and Design Principles v0.3.</w:t>
      </w:r>
    </w:p>
    <w:p>
      <w:pPr>
        <w:pStyle w:val="ListBullet"/>
        <w:spacing w:after="60"/>
      </w:pPr>
      <w:r>
        <w:t>MBPS-001 Memory Box Product Specification v0.1 and current P2 planning decisions.</w:t>
      </w:r>
    </w:p>
    <w:p>
      <w:pPr>
        <w:pStyle w:val="ListBullet"/>
        <w:spacing w:after="60"/>
      </w:pPr>
      <w:r>
        <w:t>MBCAP-001 MemoryBox Capability Catalog — P2 Initial Draft.</w:t>
      </w:r>
    </w:p>
    <w:p>
      <w:pPr>
        <w:pStyle w:val="ListBullet"/>
        <w:spacing w:after="60"/>
      </w:pPr>
      <w:r>
        <w:t>MBEVS-001 EVS Catalog v1.0 completed.</w:t>
      </w:r>
    </w:p>
    <w:p>
      <w:pPr>
        <w:pStyle w:val="ListBullet"/>
        <w:spacing w:after="60"/>
      </w:pPr>
      <w:r>
        <w:t>MBRM-001 MemoryBox Roadmap and P2 Backlog Notes v0.1.</w:t>
      </w:r>
    </w:p>
    <w:sectPr w:rsidR="00FC693F" w:rsidRPr="0006063C" w:rsidSect="00034616">
      <w:headerReference w:type="default" r:id="rId9"/>
      <w:footerReference w:type="default" r:id="rId10"/>
      <w:pgSz w:w="12240" w:h="15840"/>
      <w:pgMar w:top="1037"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MBPRD-P2-I13  |  Draft v0.2  |  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MEMORYBOX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5F9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5F9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34E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63A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B66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P2-I13: Video Face, Speech &amp; Voice Learning</dc:title>
  <dc:subject>MemoryBox implementation-ready product requirements</dc:subject>
  <dc:creator>MemoryBox</dc:creator>
  <cp:keywords/>
  <dc:description>generated by python-docx</dc:description>
  <cp:lastModifiedBy/>
  <cp:revision>1</cp:revision>
  <dcterms:created xsi:type="dcterms:W3CDTF">2013-12-23T23:15:00Z</dcterms:created>
  <dcterms:modified xsi:type="dcterms:W3CDTF">2013-12-23T23:15:00Z</dcterms:modified>
  <cp:category/>
</cp:coreProperties>
</file>