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Cryopreservation of PBMCs</w:t>
      </w:r>
    </w:p>
    <w:p>
      <w:r>
        <w:t>Cryopreservation of PBMCs</w:t>
      </w:r>
    </w:p>
    <w:p>
      <w:r>
        <w:t>Safety: Follow BSL-2 practices and institutional IACUC/IRB approvals.</w:t>
      </w:r>
    </w:p>
    <w:p>
      <w:r>
        <w:t>Purpose: This SOP describes standardized procedures to ensure data integrity and reproducibility.</w:t>
      </w:r>
    </w:p>
    <w:p>
      <w:r>
        <w:t>Materials: List all reagents with catalog numbers, instruments (e.g., BD LSRFortessa), and consumables.</w:t>
      </w:r>
    </w:p>
    <w:p>
      <w:r>
        <w:t>Procedure: Detail volume, incubation time, temperature, centrifugation speed, and gating strategy.</w:t>
      </w:r>
    </w:p>
    <w:p>
      <w:r>
        <w:t>Documentation: Record lot numbers, deviations, and corrective actions in ELN.</w:t>
      </w:r>
    </w:p>
    <w:p>
      <w:r>
        <w:t>QC: Include acceptance criteria, positive/negative controls, and repeat thresholds.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