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PBMC Isolation Protocol</w:t>
      </w:r>
    </w:p>
    <w:p>
      <w:r>
        <w:t>PBMC Isolation Protocol</w:t>
      </w:r>
    </w:p>
    <w:p>
      <w:r>
        <w:t>Safety: Follow BSL-2 practices and institutional IACUC/IRB approvals.</w:t>
      </w:r>
    </w:p>
    <w:p>
      <w:r>
        <w:t>QC: Include acceptance criteria, positive/negative controls, and repeat thresholds.</w:t>
      </w:r>
    </w:p>
    <w:p>
      <w:r>
        <w:t>Procedure: Detail volume, incubation time, temperature, centrifugation speed, and gating strategy.</w:t>
      </w:r>
    </w:p>
    <w:p>
      <w:r>
        <w:t>Materials: List all reagents with catalog numbers, instruments (e.g., BD LSRFortessa), and consumables.</w:t>
      </w:r>
    </w:p>
    <w:p>
      <w:r>
        <w:t>Purpose: This SOP describes standardized procedures to ensure data integrity and reproducibility.</w:t>
      </w:r>
    </w:p>
    <w:p>
      <w:r>
        <w:t>Documentation: Record lot numbers, deviations, and corrective actions in ELN.</w:t>
      </w:r>
    </w:p>
    <w:p>
      <w:r>
        <w:t>Customer: Pfizer</w:t>
        <w:br/>
        <w:t>Pricing:</w:t>
        <w:br/>
        <w:t>- Flow cytometry panel (16-color) — qty 7 × $2,499.55 = $17,496.85</w:t>
        <w:br/>
        <w:t>- PBMC isolation (per sample) — qty 10 × $2,221.89 = $22,218.90</w:t>
        <w:br/>
        <w:t>- ELISA cytokine panel — qty 6 × $902.13 = $5,412.78</w:t>
        <w:br/>
        <w:t>Subtotal: $45,128.53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