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微软雅黑" w:hAnsi="微软雅黑"/>
          <w:b/>
          <w:color w:val="1E3A8A"/>
          <w:sz w:val="44"/>
        </w:rPr>
        <w:t>缠论立体买卖点全景实战指南与量化操盘手册</w:t>
      </w:r>
    </w:p>
    <w:p>
      <w:pPr>
        <w:spacing w:after="480"/>
        <w:jc w:val="center"/>
      </w:pPr>
      <w:r>
        <w:rPr>
          <w:rFonts w:ascii="微软雅黑" w:hAnsi="微软雅黑"/>
          <w:color w:val="475569"/>
          <w:sz w:val="24"/>
        </w:rPr>
        <w:t>—— 从分型中枢几何学、多级别区间套到动力学背驰与量化实战风控</w:t>
      </w:r>
    </w:p>
    <w:p>
      <w:pPr>
        <w:spacing w:after="640"/>
        <w:jc w:val="center"/>
      </w:pPr>
      <w:r>
        <w:rPr>
          <w:rFonts w:ascii="微软雅黑" w:hAnsi="微软雅黑"/>
          <w:color w:val="64748B"/>
          <w:sz w:val="19"/>
        </w:rPr>
        <w:t>easy_tdx 量化投研团队 编撰 · 实盘量化标准版 · 2026 年度操盘指引</w:t>
      </w:r>
    </w:p>
    <w:tbl>
      <w:tblPr>
        <w:tblW w:type="auto" w:w="0"/>
        <w:jc w:val="center"/>
        <w:tblLayout w:type="fixed"/>
        <w:tblLook w:firstColumn="1" w:firstRow="1" w:lastColumn="0" w:lastRow="0" w:noHBand="0" w:noVBand="1" w:val="04A0"/>
      </w:tblPr>
      <w:tblGrid>
        <w:gridCol w:w="9648"/>
      </w:tblGrid>
      <w:tr>
        <w:tc>
          <w:tcPr>
            <w:tcW w:type="dxa" w:w="9360"/>
            <w:shd w:fill="F0F9FF"/>
            <w:tcMar>
              <w:top w:w="140" w:type="dxa"/>
              <w:bottom w:w="140" w:type="dxa"/>
              <w:left w:w="200" w:type="dxa"/>
              <w:right w:w="200" w:type="dxa"/>
            </w:tcMar>
            <w:tcBorders>
              <w:left w:val="single" w:sz="24" w:space="0" w:color="0284C7"/>
              <w:top w:val="none"/>
              <w:bottom w:val="none"/>
              <w:right w:val="none"/>
            </w:tcBorders>
          </w:tcPr>
          <w:p>
            <w:pPr>
              <w:spacing w:before="40" w:after="80" w:line="288" w:lineRule="auto"/>
            </w:pPr>
            <w:r>
              <w:rPr>
                <w:rFonts w:ascii="微软雅黑" w:hAnsi="微软雅黑"/>
                <w:b/>
                <w:color w:val="1E3A8A"/>
                <w:sz w:val="21"/>
              </w:rPr>
              <w:t>【导言与研报导读】</w:t>
              <w:br/>
            </w:r>
            <w:r>
              <w:rPr>
                <w:rFonts w:ascii="微软雅黑" w:hAnsi="微软雅黑"/>
                <w:color w:val="1E293B"/>
                <w:sz w:val="20"/>
              </w:rPr>
              <w:t>本手册系统梳理缠中说禅理论（缠论）的形态学架构、动力学背驰理论与三类经典买卖点逻辑，结合 easy_tdx 多周期立体共振算法与量化回测实战经验，为量化交易者与主观交易员提供客观、清晰、可执行的买卖决策依据与风控准则。</w:t>
            </w:r>
          </w:p>
        </w:tc>
      </w:tr>
    </w:tbl>
    <w:p>
      <w:pPr>
        <w:spacing w:after="80"/>
      </w:pPr>
    </w:p>
    <w:p>
      <w:pPr>
        <w:pStyle w:val="Heading1"/>
        <w:keepNext/>
        <w:spacing w:before="360" w:after="120"/>
      </w:pPr>
      <w:r>
        <w:rPr>
          <w:rFonts w:ascii="微软雅黑" w:hAnsi="微软雅黑"/>
          <w:b/>
          <w:color w:val="1E3A8A"/>
          <w:sz w:val="32"/>
        </w:rPr>
        <w:t>第一章：缠论几何学基石与核心架构</w:t>
      </w:r>
    </w:p>
    <w:p>
      <w:pPr>
        <w:spacing w:before="0" w:after="100" w:line="300" w:lineRule="auto"/>
      </w:pPr>
      <w:r>
        <w:rPr>
          <w:rFonts w:ascii="微软雅黑" w:hAnsi="微软雅黑"/>
          <w:color w:val="334155"/>
          <w:sz w:val="21"/>
        </w:rPr>
        <w:t>缠中说禅理论的核心哲学在于「不患」与「走势终完美」。缠论通过严格的数学几何定义，将看似杂乱无章的金融市场走势逐层解构为具有自相似性（分形几何）的客观结构，彻底排除了主观臆测与随意性。</w:t>
      </w:r>
    </w:p>
    <w:p>
      <w:pPr>
        <w:pStyle w:val="Heading2"/>
        <w:keepNext/>
        <w:spacing w:before="280" w:after="80"/>
      </w:pPr>
      <w:r>
        <w:rPr>
          <w:rFonts w:ascii="微软雅黑" w:hAnsi="微软雅黑"/>
          <w:b/>
          <w:color w:val="0F766E"/>
          <w:sz w:val="26"/>
        </w:rPr>
        <w:t>1.1 K 线包含关系处理</w:t>
      </w:r>
    </w:p>
    <w:p>
      <w:pPr>
        <w:spacing w:before="0" w:after="100" w:line="300" w:lineRule="auto"/>
      </w:pPr>
      <w:r>
        <w:rPr>
          <w:rFonts w:ascii="微软雅黑" w:hAnsi="微软雅黑"/>
          <w:b/>
          <w:color w:val="0F172A"/>
          <w:sz w:val="21"/>
        </w:rPr>
        <w:t>定义：</w:t>
      </w:r>
      <w:r>
        <w:rPr>
          <w:rFonts w:ascii="微软雅黑" w:hAnsi="微软雅黑"/>
          <w:color w:val="334155"/>
          <w:sz w:val="21"/>
        </w:rPr>
        <w:t>当两根相邻 K 线存在其中一根的高低点完全落在另一根的范围之内时，即构成包含关系（第 n 根与第 n+1 根）。</w:t>
      </w:r>
    </w:p>
    <w:p>
      <w:pPr>
        <w:spacing w:before="0" w:after="100" w:line="300" w:lineRule="auto"/>
      </w:pPr>
      <w:r>
        <w:rPr>
          <w:rFonts w:ascii="微软雅黑" w:hAnsi="微软雅黑"/>
          <w:color w:val="334155"/>
          <w:sz w:val="21"/>
        </w:rPr>
        <w:t>• 向上处理（当前趋势向上）：取两根 K 线的最大高点作为新高点，最大低点作为新低点（高高取高，低低取高）。</w:t>
        <w:br/>
        <w:t>• 向下处理（当前趋势向下）：取两根 K 线的最小高点作为新高点，最小低点作为新低点（高高取低，低低取低）。</w:t>
        <w:br/>
        <w:t>包含关系处理后，所有伪分型被过滤，还原市场最纯粹的震荡与波动极值。</w:t>
      </w:r>
    </w:p>
    <w:p>
      <w:pPr>
        <w:pStyle w:val="Heading2"/>
        <w:keepNext/>
        <w:spacing w:before="280" w:after="80"/>
      </w:pPr>
      <w:r>
        <w:rPr>
          <w:rFonts w:ascii="微软雅黑" w:hAnsi="微软雅黑"/>
          <w:b/>
          <w:color w:val="0F766E"/>
          <w:sz w:val="26"/>
        </w:rPr>
        <w:t>1.2 顶分型与底分型</w:t>
      </w:r>
    </w:p>
    <w:p>
      <w:pPr>
        <w:spacing w:before="0" w:after="100" w:line="300" w:lineRule="auto"/>
      </w:pPr>
      <w:r>
        <w:rPr>
          <w:rFonts w:ascii="微软雅黑" w:hAnsi="微软雅黑"/>
          <w:color w:val="334155"/>
          <w:sz w:val="21"/>
        </w:rPr>
        <w:t>经过包含处理后的连续三根 K 线：</w:t>
      </w:r>
    </w:p>
    <w:p>
      <w:pPr>
        <w:spacing w:before="0" w:after="100" w:line="300" w:lineRule="auto"/>
      </w:pPr>
      <w:r>
        <w:rPr>
          <w:rFonts w:ascii="微软雅黑" w:hAnsi="微软雅黑"/>
          <w:b/>
          <w:color w:val="0F172A"/>
          <w:sz w:val="21"/>
        </w:rPr>
        <w:t>• 顶分型（Top Fractal）：</w:t>
      </w:r>
      <w:r>
        <w:rPr>
          <w:rFonts w:ascii="微软雅黑" w:hAnsi="微软雅黑"/>
          <w:color w:val="334155"/>
          <w:sz w:val="21"/>
        </w:rPr>
        <w:t>中间一根的高点是三根中最高，且低点也是三根中最高，构成顶部的转折雏形。</w:t>
      </w:r>
    </w:p>
    <w:p>
      <w:pPr>
        <w:spacing w:before="0" w:after="100" w:line="300" w:lineRule="auto"/>
      </w:pPr>
      <w:r>
        <w:rPr>
          <w:rFonts w:ascii="微软雅黑" w:hAnsi="微软雅黑"/>
          <w:b/>
          <w:color w:val="0F172A"/>
          <w:sz w:val="21"/>
        </w:rPr>
        <w:t>• 底分型（Bottom Fractal）：</w:t>
      </w:r>
      <w:r>
        <w:rPr>
          <w:rFonts w:ascii="微软雅黑" w:hAnsi="微软雅黑"/>
          <w:color w:val="334155"/>
          <w:sz w:val="21"/>
        </w:rPr>
        <w:t>中间一根的低点是三根中最低，且高点也是三根中最低，构成底部的回升雏形。</w:t>
      </w:r>
    </w:p>
    <w:p>
      <w:pPr>
        <w:spacing w:before="0" w:after="100" w:line="300" w:lineRule="auto"/>
      </w:pPr>
      <w:r>
        <w:rPr>
          <w:rFonts w:ascii="微软雅黑" w:hAnsi="微软雅黑"/>
          <w:color w:val="334155"/>
          <w:sz w:val="21"/>
        </w:rPr>
        <w:t>分型是转折的必要条件而非充分条件。真正的有效买卖点必须配合「分型停顿确认」与「次级别背驰结构」。</w:t>
      </w:r>
    </w:p>
    <w:p>
      <w:pPr>
        <w:pStyle w:val="Heading2"/>
        <w:keepNext/>
        <w:spacing w:before="280" w:after="80"/>
      </w:pPr>
      <w:r>
        <w:rPr>
          <w:rFonts w:ascii="微软雅黑" w:hAnsi="微软雅黑"/>
          <w:b/>
          <w:color w:val="0F766E"/>
          <w:sz w:val="26"/>
        </w:rPr>
        <w:t>1.3 严格笔与线段</w:t>
      </w:r>
    </w:p>
    <w:p>
      <w:pPr>
        <w:spacing w:before="0" w:after="100" w:line="300" w:lineRule="auto"/>
      </w:pPr>
      <w:r>
        <w:rPr>
          <w:rFonts w:ascii="微软雅黑" w:hAnsi="微软雅黑"/>
          <w:b/>
          <w:color w:val="0F172A"/>
          <w:sz w:val="21"/>
        </w:rPr>
        <w:t>• 笔（Bi）：</w:t>
      </w:r>
      <w:r>
        <w:rPr>
          <w:rFonts w:ascii="微软雅黑" w:hAnsi="微软雅黑"/>
          <w:color w:val="334155"/>
          <w:sz w:val="21"/>
        </w:rPr>
        <w:t>两个相邻的顶分型与底分型之间，至少包含一根无任何重叠的独立 K 线（即从顶分型极值到低分型极值总计至少包含 5 根包含处理后的 K 线），且高低点具有严格方向性，构成一「笔」。</w:t>
      </w:r>
    </w:p>
    <w:p>
      <w:pPr>
        <w:spacing w:before="0" w:after="100" w:line="300" w:lineRule="auto"/>
      </w:pPr>
      <w:r>
        <w:rPr>
          <w:rFonts w:ascii="微软雅黑" w:hAnsi="微软雅黑"/>
          <w:b/>
          <w:color w:val="0F172A"/>
          <w:sz w:val="21"/>
        </w:rPr>
        <w:t>• 线段（Segment）：</w:t>
      </w:r>
      <w:r>
        <w:rPr>
          <w:rFonts w:ascii="微软雅黑" w:hAnsi="微软雅黑"/>
          <w:color w:val="334155"/>
          <w:sz w:val="21"/>
        </w:rPr>
        <w:t>由至少连续三笔构成，且前三笔必须有价格重叠区间。线段是比笔更高一级的几何单位，用以构筑中枢。</w:t>
      </w:r>
    </w:p>
    <w:p>
      <w:pPr>
        <w:pStyle w:val="Heading2"/>
        <w:keepNext/>
        <w:spacing w:before="280" w:after="80"/>
      </w:pPr>
      <w:r>
        <w:rPr>
          <w:rFonts w:ascii="微软雅黑" w:hAnsi="微软雅黑"/>
          <w:b/>
          <w:color w:val="0F766E"/>
          <w:sz w:val="26"/>
        </w:rPr>
        <w:t>1.4 缠中说禅走势中枢</w:t>
      </w:r>
    </w:p>
    <w:p>
      <w:pPr>
        <w:spacing w:before="0" w:after="100" w:line="300" w:lineRule="auto"/>
      </w:pPr>
      <w:r>
        <w:rPr>
          <w:rFonts w:ascii="微软雅黑" w:hAnsi="微软雅黑"/>
          <w:b/>
          <w:color w:val="0F172A"/>
          <w:sz w:val="21"/>
        </w:rPr>
        <w:t>严格定义：</w:t>
      </w:r>
      <w:r>
        <w:rPr>
          <w:rFonts w:ascii="微软雅黑" w:hAnsi="微软雅黑"/>
          <w:color w:val="334155"/>
          <w:sz w:val="21"/>
        </w:rPr>
        <w:t>某级别走势类型中，被至少三个连续次级别走势类型所重叠的部分，称为该级别的走势中枢。在实战分析中，常以前三笔（或三条线段）的交集作为本级别中枢：</w:t>
      </w:r>
    </w:p>
    <w:p>
      <w:pPr>
        <w:spacing w:before="0" w:after="100" w:line="300" w:lineRule="auto"/>
      </w:pPr>
      <w:r>
        <w:rPr>
          <w:rFonts w:ascii="微软雅黑" w:hAnsi="微软雅黑"/>
          <w:color w:val="334155"/>
          <w:sz w:val="21"/>
        </w:rPr>
        <w:t>• 中枢高点（ZG）：前三段高点中的最小值，ZG = min(g1, g2, g3)；</w:t>
        <w:br/>
        <w:t>• 中枢低点（ZD）：前三段低点中的最大值，ZD = max(d1, d2, d3)；</w:t>
        <w:br/>
        <w:t>• 中枢波动最高点（GG）：前三段所有触及的最高价格，GG = max(g1, g2, g3)；</w:t>
        <w:br/>
        <w:t>• 中枢波动最低点（DD）：前三段所有触及的最低价格，DD = min(d1, d2, d3)。</w:t>
        <w:br/>
        <w:t>中枢区间严格由 [ZD, ZG] 决定，中枢是多空力量争夺的引力中心。</w:t>
      </w:r>
    </w:p>
    <w:p>
      <w:pPr>
        <w:pStyle w:val="Heading1"/>
        <w:keepNext/>
        <w:spacing w:before="360" w:after="120"/>
      </w:pPr>
      <w:r>
        <w:rPr>
          <w:rFonts w:ascii="微软雅黑" w:hAnsi="微软雅黑"/>
          <w:b/>
          <w:color w:val="1E3A8A"/>
          <w:sz w:val="32"/>
        </w:rPr>
        <w:t>第二章：动力学与背驰判定法则</w:t>
      </w:r>
    </w:p>
    <w:p>
      <w:pPr>
        <w:spacing w:before="0" w:after="100" w:line="300" w:lineRule="auto"/>
      </w:pPr>
      <w:r>
        <w:rPr>
          <w:rFonts w:ascii="微软雅黑" w:hAnsi="微软雅黑"/>
          <w:color w:val="334155"/>
          <w:sz w:val="21"/>
        </w:rPr>
        <w:t>形态学解决走势的「骨架」，动力学解决走势的「血肉与动能」。没有背驰，就没有第一类买卖点；背驰是多空合力衰竭、趋势无法维持的原动力。</w:t>
      </w:r>
    </w:p>
    <w:p>
      <w:pPr>
        <w:pStyle w:val="Heading2"/>
        <w:keepNext/>
        <w:spacing w:before="280" w:after="80"/>
      </w:pPr>
      <w:r>
        <w:rPr>
          <w:rFonts w:ascii="微软雅黑" w:hAnsi="微软雅黑"/>
          <w:b/>
          <w:color w:val="0F766E"/>
          <w:sz w:val="26"/>
        </w:rPr>
        <w:t>2.1 趋势背驰与盘整背驰</w:t>
      </w:r>
    </w:p>
    <w:p>
      <w:pPr>
        <w:spacing w:before="0" w:after="100" w:line="300" w:lineRule="auto"/>
      </w:pPr>
      <w:r>
        <w:rPr>
          <w:rFonts w:ascii="微软雅黑" w:hAnsi="微软雅黑"/>
          <w:b/>
          <w:color w:val="0F172A"/>
          <w:sz w:val="21"/>
        </w:rPr>
        <w:t>• 标准趋势背驰：</w:t>
      </w:r>
      <w:r>
        <w:rPr>
          <w:rFonts w:ascii="微软雅黑" w:hAnsi="微软雅黑"/>
          <w:color w:val="334155"/>
          <w:sz w:val="21"/>
        </w:rPr>
        <w:t>在同级别下跌趋势中，必须包含至少两个同向走势中枢（A 和 B），形态为 a + A + b + B + c。当创出新低的 c 段与离开第一个中枢的 b 段相比，动能发生显著衰竭时，构成标准趋势背驰。</w:t>
      </w:r>
    </w:p>
    <w:p>
      <w:pPr>
        <w:spacing w:before="0" w:after="100" w:line="300" w:lineRule="auto"/>
      </w:pPr>
      <w:r>
        <w:rPr>
          <w:rFonts w:ascii="微软雅黑" w:hAnsi="微软雅黑"/>
          <w:b/>
          <w:color w:val="0F172A"/>
          <w:sz w:val="21"/>
        </w:rPr>
        <w:t>• 盘整背驰：</w:t>
      </w:r>
      <w:r>
        <w:rPr>
          <w:rFonts w:ascii="微软雅黑" w:hAnsi="微软雅黑"/>
          <w:color w:val="334155"/>
          <w:sz w:val="21"/>
        </w:rPr>
        <w:t>走势仅包含一个中枢 A，形态为 a + A + b。离开中枢创出新低的 b 段与进入中枢的 a 段相比发生动能衰竭。盘整背驰引发的反弹级别通常低于趋势背驰。</w:t>
      </w:r>
    </w:p>
    <w:p>
      <w:pPr>
        <w:pStyle w:val="Heading2"/>
        <w:keepNext/>
        <w:spacing w:before="280" w:after="80"/>
      </w:pPr>
      <w:r>
        <w:rPr>
          <w:rFonts w:ascii="微软雅黑" w:hAnsi="微软雅黑"/>
          <w:b/>
          <w:color w:val="0F766E"/>
          <w:sz w:val="26"/>
        </w:rPr>
        <w:t>2.2 MACD 辅助背驰量化判定指标</w:t>
      </w:r>
    </w:p>
    <w:p>
      <w:pPr>
        <w:spacing w:before="0" w:after="100" w:line="300" w:lineRule="auto"/>
      </w:pPr>
      <w:r>
        <w:rPr>
          <w:rFonts w:ascii="微软雅黑" w:hAnsi="微软雅黑"/>
          <w:color w:val="334155"/>
          <w:sz w:val="21"/>
        </w:rPr>
        <w:t>缠论原著指出，MACD 是辅助判定背驰最敏锐的显微镜：</w:t>
        <w:br/>
        <w:t>1. 红绿柱面积对比：c 段绿柱线总面积显著小于 b 段绿柱线面积（动能衰减 30% 以上）；</w:t>
        <w:br/>
        <w:t>2. 黄白线极值对比：股价创出新低，但 DIF/DEA 黄白线明显未创新低，甚至产生大幅抬升；</w:t>
        <w:br/>
        <w:t>3. 柱子高度与斜率：c 段下跌角度平缓，红柱间歇出现或绿柱极其短小，表明空头抛压耗尽。</w:t>
      </w:r>
    </w:p>
    <w:tbl>
      <w:tblPr>
        <w:tblW w:type="auto" w:w="0"/>
        <w:jc w:val="center"/>
        <w:tblLayout w:type="fixed"/>
        <w:tblLook w:firstColumn="1" w:firstRow="1" w:lastColumn="0" w:lastRow="0" w:noHBand="0" w:noVBand="1" w:val="04A0"/>
      </w:tblPr>
      <w:tblGrid>
        <w:gridCol w:w="9648"/>
      </w:tblGrid>
      <w:tr>
        <w:tc>
          <w:tcPr>
            <w:tcW w:type="dxa" w:w="9360"/>
            <w:shd w:fill="F0FDFA"/>
            <w:tcMar>
              <w:top w:w="140" w:type="dxa"/>
              <w:bottom w:w="140" w:type="dxa"/>
              <w:left w:w="200" w:type="dxa"/>
              <w:right w:w="200" w:type="dxa"/>
            </w:tcMar>
            <w:tcBorders>
              <w:left w:val="single" w:sz="24" w:space="0" w:color="0D9488"/>
              <w:top w:val="none"/>
              <w:bottom w:val="none"/>
              <w:right w:val="none"/>
            </w:tcBorders>
          </w:tcPr>
          <w:p>
            <w:pPr>
              <w:spacing w:before="40" w:after="80" w:line="288" w:lineRule="auto"/>
            </w:pPr>
            <w:r>
              <w:rPr>
                <w:rFonts w:ascii="微软雅黑" w:hAnsi="微软雅黑"/>
                <w:b/>
                <w:color w:val="1E3A8A"/>
                <w:sz w:val="21"/>
              </w:rPr>
              <w:t>【背驰三部曲定律】</w:t>
              <w:br/>
            </w:r>
            <w:r>
              <w:rPr>
                <w:rFonts w:ascii="微软雅黑" w:hAnsi="微软雅黑"/>
                <w:color w:val="1E293B"/>
                <w:sz w:val="20"/>
              </w:rPr>
              <w:t>背驰必然引发三种后续走势：1. 回拉到最后一个中枢（最弱）；2. 演化为更大级别的走势中枢（中等）；3. 形成逆向的反转走势（最强）。无论哪种情况，背驰点均具备确定性的反弹安全垫。</w:t>
            </w:r>
          </w:p>
        </w:tc>
      </w:tr>
    </w:tbl>
    <w:p>
      <w:pPr>
        <w:spacing w:after="80"/>
      </w:pPr>
    </w:p>
    <w:p>
      <w:pPr>
        <w:pStyle w:val="Heading1"/>
        <w:keepNext/>
        <w:spacing w:before="360" w:after="120"/>
      </w:pPr>
      <w:r>
        <w:rPr>
          <w:rFonts w:ascii="微软雅黑" w:hAnsi="微软雅黑"/>
          <w:b/>
          <w:color w:val="1E3A8A"/>
          <w:sz w:val="32"/>
        </w:rPr>
        <w:t>第三章：缠论三大买点深度解析与实战战法</w:t>
      </w:r>
    </w:p>
    <w:p>
      <w:pPr>
        <w:pStyle w:val="Heading2"/>
        <w:keepNext/>
        <w:spacing w:before="280" w:after="80"/>
      </w:pPr>
      <w:r>
        <w:rPr>
          <w:rFonts w:ascii="微软雅黑" w:hAnsi="微软雅黑"/>
          <w:b/>
          <w:color w:val="0F766E"/>
          <w:sz w:val="26"/>
        </w:rPr>
        <w:t>3.1 第一类买点（1Buy - 趋势逆转极值点 / 抄底买点）</w:t>
      </w:r>
    </w:p>
    <w:p>
      <w:pPr>
        <w:spacing w:before="0" w:after="100" w:line="300" w:lineRule="auto"/>
      </w:pPr>
      <w:r>
        <w:rPr>
          <w:rFonts w:ascii="微软雅黑" w:hAnsi="微软雅黑"/>
          <w:b/>
          <w:color w:val="0F172A"/>
          <w:sz w:val="21"/>
        </w:rPr>
        <w:t>几何学定义：</w:t>
      </w:r>
      <w:r>
        <w:rPr>
          <w:rFonts w:ascii="微软雅黑" w:hAnsi="微软雅黑"/>
          <w:color w:val="334155"/>
          <w:sz w:val="21"/>
        </w:rPr>
        <w:t>在下跌趋势中，离开最后一个中枢的背驰段（c 段）结束时，由趋势背驰所引发的转折点，即为第一类买点。该点标志着原下跌走势的彻底终结。</w:t>
      </w:r>
    </w:p>
    <w:p>
      <w:pPr>
        <w:spacing w:before="0" w:after="100" w:line="300" w:lineRule="auto"/>
      </w:pPr>
      <w:r>
        <w:rPr>
          <w:rFonts w:ascii="微软雅黑" w:hAnsi="微软雅黑"/>
          <w:color w:val="334155"/>
          <w:sz w:val="21"/>
        </w:rPr>
        <w:t>• 前提条件：本级别必须出现完整的下跌趋势（至少包含 2 个同级别中枢 A 和 B）；</w:t>
        <w:br/>
        <w:t>• 动能验证：c 段与 b 段相比发生绝对背驰（MACD 绿柱大幅收敛，黄白线明显底背离）；</w:t>
        <w:br/>
        <w:t>• 区间套确认：大级别出现背驰段时，进入次级别（如日线背驰看 30F，30F 背驰看 5F），次级别同步出现第一类买点，构筑多周期立体共振。</w:t>
      </w:r>
    </w:p>
    <w:p>
      <w:pPr>
        <w:spacing w:before="0" w:after="100" w:line="300" w:lineRule="auto"/>
      </w:pPr>
      <w:r>
        <w:rPr>
          <w:rFonts w:ascii="微软雅黑" w:hAnsi="微软雅黑"/>
          <w:color w:val="334155"/>
          <w:sz w:val="21"/>
        </w:rPr>
        <w:t>• 实战优缺点：盈亏比通常高达 1:5 以上，位列全局利润空间之冠；但因属于左侧极值抄底，若背驰段出现中枢延伸或加速下跌，容易遭受回撤。</w:t>
        <w:br/>
        <w:t>• 严格风控止损：一旦有效跌破第一类买点形成时的最低价格，必须无条件执行止损！</w:t>
      </w:r>
    </w:p>
    <w:p>
      <w:pPr>
        <w:pStyle w:val="Heading2"/>
        <w:keepNext/>
        <w:spacing w:before="280" w:after="80"/>
      </w:pPr>
      <w:r>
        <w:rPr>
          <w:rFonts w:ascii="微软雅黑" w:hAnsi="微软雅黑"/>
          <w:b/>
          <w:color w:val="0F766E"/>
          <w:sz w:val="26"/>
        </w:rPr>
        <w:t>3.2 第二类买点（2Buy - 趋势确立确认点 / 最稳健低吸买点）</w:t>
      </w:r>
    </w:p>
    <w:p>
      <w:pPr>
        <w:spacing w:before="0" w:after="100" w:line="300" w:lineRule="auto"/>
      </w:pPr>
      <w:r>
        <w:rPr>
          <w:rFonts w:ascii="微软雅黑" w:hAnsi="微软雅黑"/>
          <w:b/>
          <w:color w:val="0F172A"/>
          <w:sz w:val="21"/>
        </w:rPr>
        <w:t>几何学定义：</w:t>
      </w:r>
      <w:r>
        <w:rPr>
          <w:rFonts w:ascii="微软雅黑" w:hAnsi="微软雅黑"/>
          <w:color w:val="334155"/>
          <w:sz w:val="21"/>
        </w:rPr>
        <w:t>在第一类买点出现后，价格展开第一次次级别向上反弹；随后展开次级别的向下回踩，而这次回踩的最低点不跌破第一类买点的低点，该回抽转折点即为第二类买点。</w:t>
      </w:r>
    </w:p>
    <w:p>
      <w:pPr>
        <w:spacing w:before="0" w:after="100" w:line="300" w:lineRule="auto"/>
      </w:pPr>
      <w:r>
        <w:rPr>
          <w:rFonts w:ascii="微软雅黑" w:hAnsi="微软雅黑"/>
          <w:b/>
          <w:color w:val="0F172A"/>
          <w:sz w:val="21"/>
        </w:rPr>
        <w:t>博弈心理学：</w:t>
      </w:r>
      <w:r>
        <w:rPr>
          <w:rFonts w:ascii="微软雅黑" w:hAnsi="微软雅黑"/>
          <w:color w:val="334155"/>
          <w:sz w:val="21"/>
        </w:rPr>
        <w:t>一买发生后，市场情绪从极度恐慌转为试探性反弹；主力资金在低位进场后展开洗盘回踩，测试下方的真实抛压。当空头再也无法把价格砸破一买原低点时，标志着多头防线构筑成功，趋势正式由跌转升。</w:t>
      </w:r>
    </w:p>
    <w:p>
      <w:pPr>
        <w:spacing w:before="0" w:after="100" w:line="300" w:lineRule="auto"/>
      </w:pPr>
      <w:r>
        <w:rPr>
          <w:rFonts w:ascii="微软雅黑" w:hAnsi="微软雅黑"/>
          <w:color w:val="334155"/>
          <w:sz w:val="21"/>
        </w:rPr>
        <w:t>根据回踩深度，二买具备两种经典强弱形态：</w:t>
        <w:br/>
        <w:t>• 强势二买（Strong 2Buy）：次级别回抽甚至不跌破前中枢的下轨 ZD（或回抽仅在中枢上部），多头动能极其强盛，后续常演化为主升暴风眼；</w:t>
        <w:br/>
        <w:t>• 稳健二买（Steady 2Buy）：回踩较深，接近一买低点附近，形成双底或头肩底右肩，右侧胜率最高、风险收益比最扎实。</w:t>
      </w:r>
    </w:p>
    <w:p>
      <w:pPr>
        <w:spacing w:before="0" w:after="100" w:line="300" w:lineRule="auto"/>
      </w:pPr>
      <w:r>
        <w:rPr>
          <w:rFonts w:ascii="微软雅黑" w:hAnsi="微软雅黑"/>
          <w:b/>
          <w:color w:val="0F172A"/>
          <w:sz w:val="21"/>
        </w:rPr>
        <w:t>操盘策略：</w:t>
      </w:r>
      <w:r>
        <w:rPr>
          <w:rFonts w:ascii="微软雅黑" w:hAnsi="微软雅黑"/>
          <w:color w:val="334155"/>
          <w:sz w:val="21"/>
        </w:rPr>
        <w:t>以二买自身回踩低点（或一买低点下方 1%~2%）作为铁血止损线。二买是稳健型机构与大资金建仓的最核心买点，胜率通常稳定在 65%~75%。</w:t>
      </w:r>
    </w:p>
    <w:p>
      <w:pPr>
        <w:pStyle w:val="Heading2"/>
        <w:keepNext/>
        <w:spacing w:before="280" w:after="80"/>
      </w:pPr>
      <w:r>
        <w:rPr>
          <w:rFonts w:ascii="微软雅黑" w:hAnsi="微软雅黑"/>
          <w:b/>
          <w:color w:val="0F766E"/>
          <w:sz w:val="26"/>
        </w:rPr>
        <w:t>3.3 第三类买点（3Buy - 中枢破坏突破点 / 主升浪暴风眼）</w:t>
      </w:r>
    </w:p>
    <w:p>
      <w:pPr>
        <w:spacing w:before="0" w:after="100" w:line="300" w:lineRule="auto"/>
      </w:pPr>
      <w:r>
        <w:rPr>
          <w:rFonts w:ascii="微软雅黑" w:hAnsi="微软雅黑"/>
          <w:b/>
          <w:color w:val="0F172A"/>
          <w:sz w:val="21"/>
        </w:rPr>
        <w:t>几何学定义：</w:t>
      </w:r>
      <w:r>
        <w:rPr>
          <w:rFonts w:ascii="微软雅黑" w:hAnsi="微软雅黑"/>
          <w:color w:val="334155"/>
          <w:sz w:val="21"/>
        </w:rPr>
        <w:t>一个次级别走势类型向上离开中枢后，其后的次级别向下回抽走势，其低点不触及该中枢的高点 ZG（即回踩低点 &gt; ZG），该回抽转折点即为第三类买点。</w:t>
      </w:r>
    </w:p>
    <w:p>
      <w:pPr>
        <w:spacing w:before="0" w:after="100" w:line="300" w:lineRule="auto"/>
      </w:pPr>
      <w:r>
        <w:rPr>
          <w:rFonts w:ascii="微软雅黑" w:hAnsi="微软雅黑"/>
          <w:color w:val="334155"/>
          <w:sz w:val="21"/>
        </w:rPr>
        <w:t>第三类买点的出现，宣告原中枢对价格的「万有引力」彻底失效，价格进入主升加速浪或孕育更高一级别的上涨中枢。这是最适合趋势追随者、打板族和短线暴利选手的绝佳进攻位置。</w:t>
      </w:r>
    </w:p>
    <w:p>
      <w:pPr>
        <w:spacing w:before="0" w:after="100" w:line="300" w:lineRule="auto"/>
      </w:pPr>
      <w:r>
        <w:rPr>
          <w:rFonts w:ascii="微软雅黑" w:hAnsi="微软雅黑"/>
          <w:color w:val="334155"/>
          <w:sz w:val="21"/>
        </w:rPr>
        <w:t>• 真假突破辨析：若次级别回抽的一瞬间触碰到了中枢上轨 ZG，哪怕仅仅重叠 1 分钱，该点也自动退化为中枢震荡，三买直接夭折！</w:t>
        <w:br/>
        <w:t>• 入场时机：必须等待次级别向下回抽出现底分型或小级别内部衰竭时介入，严禁在脱离中枢的单边拉升途中追高。</w:t>
      </w:r>
    </w:p>
    <w:p>
      <w:pPr>
        <w:spacing w:before="0" w:after="100" w:line="300" w:lineRule="auto"/>
      </w:pPr>
      <w:r>
        <w:rPr>
          <w:rFonts w:ascii="微软雅黑" w:hAnsi="微软雅黑"/>
          <w:b/>
          <w:color w:val="0F172A"/>
          <w:sz w:val="21"/>
        </w:rPr>
        <w:t>防线与风控：</w:t>
      </w:r>
      <w:r>
        <w:rPr>
          <w:rFonts w:ascii="微软雅黑" w:hAnsi="微软雅黑"/>
          <w:color w:val="334155"/>
          <w:sz w:val="21"/>
        </w:rPr>
        <w:t>止损线直接设立在中枢上轨 ZG 之下 0.5%~1%。一旦跌回中枢，说明突破失败，立即保本或微亏离场。</w:t>
      </w:r>
    </w:p>
    <w:p>
      <w:pPr>
        <w:pStyle w:val="Heading2"/>
        <w:keepNext/>
        <w:spacing w:before="280" w:after="80"/>
      </w:pPr>
      <w:r>
        <w:rPr>
          <w:rFonts w:ascii="微软雅黑" w:hAnsi="微软雅黑"/>
          <w:b/>
          <w:color w:val="0F766E"/>
          <w:sz w:val="26"/>
        </w:rPr>
        <w:t>3.4 缠论特殊衍生买点：类二买与二三买合力</w:t>
      </w:r>
    </w:p>
    <w:p>
      <w:pPr>
        <w:spacing w:before="0" w:after="100" w:line="300" w:lineRule="auto"/>
      </w:pPr>
      <w:r>
        <w:rPr>
          <w:rFonts w:ascii="微软雅黑" w:hAnsi="微软雅黑"/>
          <w:b/>
          <w:color w:val="0F172A"/>
          <w:sz w:val="21"/>
        </w:rPr>
        <w:t>1. 类二买（Quasi 2Buy）：</w:t>
      </w:r>
      <w:r>
        <w:rPr>
          <w:rFonts w:ascii="微软雅黑" w:hAnsi="微软雅黑"/>
          <w:color w:val="334155"/>
          <w:sz w:val="21"/>
        </w:rPr>
        <w:t>在中枢震荡形态中，次级别下探触及中枢下轨 ZD 不破后反弹，随后再度次级别回抽确认不创新低，形态类似于二买，称为「类二买」。适用于箱体高抛低吸。</w:t>
      </w:r>
    </w:p>
    <w:p>
      <w:pPr>
        <w:spacing w:before="0" w:after="100" w:line="300" w:lineRule="auto"/>
      </w:pPr>
      <w:r>
        <w:rPr>
          <w:rFonts w:ascii="微软雅黑" w:hAnsi="微软雅黑"/>
          <w:b/>
          <w:color w:val="0F172A"/>
          <w:sz w:val="21"/>
        </w:rPr>
        <w:t>2. 二三买合力（Combo 2+3 Buy）：</w:t>
      </w:r>
      <w:r>
        <w:rPr>
          <w:rFonts w:ascii="微软雅黑" w:hAnsi="微软雅黑"/>
          <w:color w:val="334155"/>
          <w:sz w:val="21"/>
        </w:rPr>
        <w:t>在强势爆发股中极为常见。一买后第一波强劲拉升直接穿透前中枢，随后的次级别回抽不仅不破一买低点，且其回抽低点直接稳稳站在原中枢上轨 ZG 之上！此时「第二类买点」与「第三类买点」在同一时空高度重叠共振。这是全市场动能最狂暴、爆发力最强、最短时间内拉出连板的主升买点（easy_tdx 默认核心推荐买点组合）。</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1584"/>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买点类型</w:t>
            </w:r>
          </w:p>
        </w:tc>
        <w:tc>
          <w:tcPr>
            <w:tcW w:type="dxa" w:w="2592"/>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战法核心逻辑</w:t>
            </w:r>
          </w:p>
        </w:tc>
        <w:tc>
          <w:tcPr>
            <w:tcW w:type="dxa" w:w="1584"/>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适用行情环境</w:t>
            </w:r>
          </w:p>
        </w:tc>
        <w:tc>
          <w:tcPr>
            <w:tcW w:type="dxa" w:w="1152"/>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历史胜率区间</w:t>
            </w:r>
          </w:p>
        </w:tc>
        <w:tc>
          <w:tcPr>
            <w:tcW w:type="dxa" w:w="1152"/>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盈亏比表现</w:t>
            </w:r>
          </w:p>
        </w:tc>
        <w:tc>
          <w:tcPr>
            <w:tcW w:type="dxa" w:w="1296"/>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推荐实战仓位</w:t>
            </w:r>
          </w:p>
        </w:tc>
      </w:tr>
      <w:tr>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第一类买点 (1Buy)</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下跌趋势背驰段终点，抓极值逆转大波段</w:t>
            </w:r>
          </w:p>
        </w:tc>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大级别长期单边深跌末期</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50% ~ 60%</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1:5 ~ 1:10 (极高)</w:t>
            </w:r>
          </w:p>
        </w:tc>
        <w:tc>
          <w:tcPr>
            <w:tcW w:type="dxa" w:w="129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10% ~ 20% (左侧试仓)</w:t>
            </w:r>
          </w:p>
        </w:tc>
      </w:tr>
      <w:tr>
        <w:tc>
          <w:tcPr>
            <w:tcW w:type="dxa" w:w="1584"/>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第二类买点 (2Buy)</w:t>
            </w:r>
          </w:p>
        </w:tc>
        <w:tc>
          <w:tcPr>
            <w:tcW w:type="dxa" w:w="259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一买后次级别回抽不破前低，右侧趋势确立</w:t>
            </w:r>
          </w:p>
        </w:tc>
        <w:tc>
          <w:tcPr>
            <w:tcW w:type="dxa" w:w="1584"/>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反弹初期，确认见底走入上升通道</w:t>
            </w:r>
          </w:p>
        </w:tc>
        <w:tc>
          <w:tcPr>
            <w:tcW w:type="dxa" w:w="115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65% ~ 75%</w:t>
            </w:r>
          </w:p>
        </w:tc>
        <w:tc>
          <w:tcPr>
            <w:tcW w:type="dxa" w:w="115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1:3 ~ 1:5 (优异)</w:t>
            </w:r>
          </w:p>
        </w:tc>
        <w:tc>
          <w:tcPr>
            <w:tcW w:type="dxa" w:w="1296"/>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40% ~ 60% (主仓低吸)</w:t>
            </w:r>
          </w:p>
        </w:tc>
      </w:tr>
      <w:tr>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第三类买点 (3Buy)</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强力突破中枢，次级别回踩不跌回 ZG</w:t>
            </w:r>
          </w:p>
        </w:tc>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主升浪启动、突破盘整箱体</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60% ~ 70%</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1:2 ~ 1:4 (爆发快)</w:t>
            </w:r>
          </w:p>
        </w:tc>
        <w:tc>
          <w:tcPr>
            <w:tcW w:type="dxa" w:w="129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30% ~ 50% (追涨加速)</w:t>
            </w:r>
          </w:p>
        </w:tc>
      </w:tr>
      <w:tr>
        <w:tc>
          <w:tcPr>
            <w:tcW w:type="dxa" w:w="1584"/>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二三买合力 (Combo)</w:t>
            </w:r>
          </w:p>
        </w:tc>
        <w:tc>
          <w:tcPr>
            <w:tcW w:type="dxa" w:w="259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次级别回踩既不破一买低点，又立于 ZG 上方</w:t>
            </w:r>
          </w:p>
        </w:tc>
        <w:tc>
          <w:tcPr>
            <w:tcW w:type="dxa" w:w="1584"/>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强势板块领头羊、突破龙头</w:t>
            </w:r>
          </w:p>
        </w:tc>
        <w:tc>
          <w:tcPr>
            <w:tcW w:type="dxa" w:w="115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70% ~ 82%</w:t>
            </w:r>
          </w:p>
        </w:tc>
        <w:tc>
          <w:tcPr>
            <w:tcW w:type="dxa" w:w="115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1:4 ~ 1:8 (最狂暴)</w:t>
            </w:r>
          </w:p>
        </w:tc>
        <w:tc>
          <w:tcPr>
            <w:tcW w:type="dxa" w:w="1296"/>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50% ~ 80% (重仓出击)</w:t>
            </w:r>
          </w:p>
        </w:tc>
      </w:tr>
      <w:tr>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类二买 (Quasi)</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中枢箱体下沿受到坚实支撑后的二次回踩</w:t>
            </w:r>
          </w:p>
        </w:tc>
        <w:tc>
          <w:tcPr>
            <w:tcW w:type="dxa" w:w="1584"/>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宽幅箱体震荡与结构性轮动</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55% ~ 65%</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1:2 ~ 1:3 (适中)</w:t>
            </w:r>
          </w:p>
        </w:tc>
        <w:tc>
          <w:tcPr>
            <w:tcW w:type="dxa" w:w="129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20% ~ 30% (高抛低吸)</w:t>
            </w:r>
          </w:p>
        </w:tc>
      </w:tr>
    </w:tbl>
    <w:p>
      <w:pPr>
        <w:spacing w:after="80"/>
      </w:pPr>
    </w:p>
    <w:p>
      <w:pPr>
        <w:pStyle w:val="Heading1"/>
        <w:keepNext/>
        <w:spacing w:before="360" w:after="120"/>
      </w:pPr>
      <w:r>
        <w:rPr>
          <w:rFonts w:ascii="微软雅黑" w:hAnsi="微软雅黑"/>
          <w:b/>
          <w:color w:val="1E3A8A"/>
          <w:sz w:val="32"/>
        </w:rPr>
        <w:t>第四章：缠论三大卖点深度解析与逃顶风控</w:t>
      </w:r>
    </w:p>
    <w:p>
      <w:pPr>
        <w:spacing w:before="0" w:after="100" w:line="300" w:lineRule="auto"/>
      </w:pPr>
      <w:r>
        <w:rPr>
          <w:rFonts w:ascii="微软雅黑" w:hAnsi="微软雅黑"/>
          <w:color w:val="334155"/>
          <w:sz w:val="21"/>
        </w:rPr>
        <w:t>买点买，卖点卖；只做买卖点之间的走势段。卖点是风险防控的生命线，更是保住利润、规避断崖式下跌的铁血戒律。</w:t>
      </w:r>
    </w:p>
    <w:p>
      <w:pPr>
        <w:pStyle w:val="Heading2"/>
        <w:keepNext/>
        <w:spacing w:before="280" w:after="80"/>
      </w:pPr>
      <w:r>
        <w:rPr>
          <w:rFonts w:ascii="微软雅黑" w:hAnsi="微软雅黑"/>
          <w:b/>
          <w:color w:val="0F766E"/>
          <w:sz w:val="26"/>
        </w:rPr>
        <w:t>4.1 第一类卖点（1Sell - 趋势顶背驰逃顶）</w:t>
      </w:r>
    </w:p>
    <w:p>
      <w:pPr>
        <w:spacing w:before="0" w:after="100" w:line="300" w:lineRule="auto"/>
      </w:pPr>
      <w:r>
        <w:rPr>
          <w:rFonts w:ascii="微软雅黑" w:hAnsi="微软雅黑"/>
          <w:color w:val="334155"/>
          <w:sz w:val="21"/>
        </w:rPr>
        <w:t>上升趋势中，离开最后一个上涨中枢的背驰段创新高时，动能衰竭所形成的极值点。MACD 红柱急剧缩减、黄白线顶背离。这是大牛股或主升浪最高点的精准撤离时机。</w:t>
      </w:r>
    </w:p>
    <w:p>
      <w:pPr>
        <w:pStyle w:val="Heading2"/>
        <w:keepNext/>
        <w:spacing w:before="280" w:after="80"/>
      </w:pPr>
      <w:r>
        <w:rPr>
          <w:rFonts w:ascii="微软雅黑" w:hAnsi="微软雅黑"/>
          <w:b/>
          <w:color w:val="0F766E"/>
          <w:sz w:val="26"/>
        </w:rPr>
        <w:t>4.2 第二类卖点（2Sell - 反抽无力次高点离场）</w:t>
      </w:r>
    </w:p>
    <w:p>
      <w:pPr>
        <w:spacing w:before="0" w:after="100" w:line="300" w:lineRule="auto"/>
      </w:pPr>
      <w:r>
        <w:rPr>
          <w:rFonts w:ascii="微软雅黑" w:hAnsi="微软雅黑"/>
          <w:color w:val="334155"/>
          <w:sz w:val="21"/>
        </w:rPr>
        <w:t>一卖出现后价格初次次级别下跌，随后的次级别向上反抽，其高点无法突破一卖的历史高点，该转折点即为第二类卖点。这是空头二次发力、多头逃命的黄金窗口，通常伴随头肩顶右肩或双顶雏形，必须坚决降仓或清仓。</w:t>
      </w:r>
    </w:p>
    <w:p>
      <w:pPr>
        <w:pStyle w:val="Heading2"/>
        <w:keepNext/>
        <w:spacing w:before="280" w:after="80"/>
      </w:pPr>
      <w:r>
        <w:rPr>
          <w:rFonts w:ascii="微软雅黑" w:hAnsi="微软雅黑"/>
          <w:b/>
          <w:color w:val="0F766E"/>
          <w:sz w:val="26"/>
        </w:rPr>
        <w:t>4.3 第三类卖点（3Sell - 破位中枢主跌浪避险）</w:t>
      </w:r>
    </w:p>
    <w:p>
      <w:pPr>
        <w:spacing w:before="0" w:after="100" w:line="300" w:lineRule="auto"/>
      </w:pPr>
      <w:r>
        <w:rPr>
          <w:rFonts w:ascii="微软雅黑" w:hAnsi="微软雅黑"/>
          <w:color w:val="334155"/>
          <w:sz w:val="21"/>
        </w:rPr>
        <w:t>价格次级别跌破中枢下轨 ZD，随后展开的次级别向上反抽，其反抽最高点无法触碰中枢下轨 ZD（反抽高点 &lt; ZD）。第三类卖点标志着上涨或盘整彻底解体，向下单边主跌浪正式启航。实战中遇到三卖无论盈亏，必须 100% 清仓空仓，坚决规避阴跌或暴跌惨剧！</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卖点类型</w:t>
            </w:r>
          </w:p>
        </w:tc>
        <w:tc>
          <w:tcPr>
            <w:tcW w:type="dxa" w:w="3168"/>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形态与动力学特征</w:t>
            </w:r>
          </w:p>
        </w:tc>
        <w:tc>
          <w:tcPr>
            <w:tcW w:type="dxa" w:w="2592"/>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警示信号与反抽特征</w:t>
            </w:r>
          </w:p>
        </w:tc>
        <w:tc>
          <w:tcPr>
            <w:tcW w:type="dxa" w:w="1872"/>
            <w:shd w:fill="1E3A8A"/>
            <w:tcMar>
              <w:top w:w="120" w:type="dxa"/>
              <w:bottom w:w="120" w:type="dxa"/>
              <w:left w:w="120" w:type="dxa"/>
              <w:right w:w="120" w:type="dxa"/>
            </w:tcMar>
            <w:tcBorders>
              <w:top w:val="single" w:sz="8" w:space="0" w:color="1E3A8A"/>
              <w:bottom w:val="single" w:sz="8" w:space="0" w:color="1E3A8A"/>
              <w:left w:val="none"/>
              <w:right w:val="none"/>
            </w:tcBorders>
            <w:vAlign w:val="center"/>
          </w:tcPr>
          <w:p>
            <w:pPr>
              <w:spacing w:before="40" w:after="40"/>
              <w:jc w:val="center"/>
            </w:pPr>
            <w:r>
              <w:rPr>
                <w:rFonts w:ascii="微软雅黑" w:hAnsi="微软雅黑"/>
                <w:b/>
                <w:color w:val="FFFFFF"/>
                <w:sz w:val="19"/>
              </w:rPr>
              <w:t>操盘应对准则</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第一类卖点 (1Sell)</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连续两中枢上涨后创历史新高，MACD 顶背离明显</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大级别天量滞涨，次级别冲高动能衰竭</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减仓 50%~70%，锁定顶部暴利</w:t>
            </w:r>
          </w:p>
        </w:tc>
      </w:tr>
      <w:tr>
        <w:tc>
          <w:tcPr>
            <w:tcW w:type="dxa" w:w="1728"/>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第二类卖点 (2Sell)</w:t>
            </w:r>
          </w:p>
        </w:tc>
        <w:tc>
          <w:tcPr>
            <w:tcW w:type="dxa" w:w="3168"/>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一卖后急跌回踩，次级别反抽明显受阻不过前高</w:t>
            </w:r>
          </w:p>
        </w:tc>
        <w:tc>
          <w:tcPr>
            <w:tcW w:type="dxa" w:w="259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多头反扑无力，均线系统呈现死叉缠绕</w:t>
            </w:r>
          </w:p>
        </w:tc>
        <w:tc>
          <w:tcPr>
            <w:tcW w:type="dxa" w:w="1872"/>
            <w:shd w:fill="F8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清仓剩余筹码，确认上升通道瓦解</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center"/>
            </w:pPr>
            <w:r>
              <w:rPr>
                <w:rFonts w:ascii="微软雅黑" w:hAnsi="微软雅黑"/>
                <w:color w:val="334155"/>
                <w:sz w:val="18"/>
              </w:rPr>
              <w:t>第三类卖点 (3Sell)</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破位跌破中枢下轨 ZD，随后反弹无力触及 ZD</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反弹被 ZD 强力压制，空头完全控盘</w:t>
            </w:r>
          </w:p>
        </w:tc>
        <w:tc>
          <w:tcPr>
            <w:tcW w:type="dxa" w:w="187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40" w:after="40" w:line="276" w:lineRule="auto"/>
              <w:jc w:val="left"/>
            </w:pPr>
            <w:r>
              <w:rPr>
                <w:rFonts w:ascii="微软雅黑" w:hAnsi="微软雅黑"/>
                <w:color w:val="334155"/>
                <w:sz w:val="18"/>
              </w:rPr>
              <w:t>绝对清仓空仓，严禁任何抄底臆想</w:t>
            </w:r>
          </w:p>
        </w:tc>
      </w:tr>
    </w:tbl>
    <w:p>
      <w:pPr>
        <w:spacing w:after="80"/>
      </w:pPr>
    </w:p>
    <w:p>
      <w:pPr>
        <w:pStyle w:val="Heading1"/>
        <w:keepNext/>
        <w:spacing w:before="360" w:after="120"/>
      </w:pPr>
      <w:r>
        <w:rPr>
          <w:rFonts w:ascii="微软雅黑" w:hAnsi="微软雅黑"/>
          <w:b/>
          <w:color w:val="1E3A8A"/>
          <w:sz w:val="32"/>
        </w:rPr>
        <w:t>第五章：多周期立体共振与区间套操盘法则</w:t>
      </w:r>
    </w:p>
    <w:p>
      <w:pPr>
        <w:spacing w:before="0" w:after="100" w:line="300" w:lineRule="auto"/>
      </w:pPr>
      <w:r>
        <w:rPr>
          <w:rFonts w:ascii="微软雅黑" w:hAnsi="微软雅黑"/>
          <w:color w:val="334155"/>
          <w:sz w:val="21"/>
        </w:rPr>
        <w:t>单一级别的买卖点容易受到次级别随机波动的噪音干扰。缠论实战的精髓在于「多级别区间套（Interval Nesting）」与「立体多周期共振（Resonance）」。</w:t>
      </w:r>
    </w:p>
    <w:p>
      <w:pPr>
        <w:pStyle w:val="Heading2"/>
        <w:keepNext/>
        <w:spacing w:before="280" w:after="80"/>
      </w:pPr>
      <w:r>
        <w:rPr>
          <w:rFonts w:ascii="微软雅黑" w:hAnsi="微软雅黑"/>
          <w:b/>
          <w:color w:val="0F766E"/>
          <w:sz w:val="26"/>
        </w:rPr>
        <w:t>5.1 大小级别联动工作流</w:t>
      </w:r>
    </w:p>
    <w:p>
      <w:pPr>
        <w:spacing w:before="0" w:after="100" w:line="300" w:lineRule="auto"/>
      </w:pPr>
      <w:r>
        <w:rPr>
          <w:rFonts w:ascii="微软雅黑" w:hAnsi="微软雅黑"/>
          <w:color w:val="334155"/>
          <w:sz w:val="21"/>
        </w:rPr>
        <w:t>• 月线 / 周线（宏观大势）：决定战略安全边际。大级别处于上涨趋势或周线底分型阶段，小级别的买点才具备澎湃的溢价空间；</w:t>
        <w:br/>
        <w:t>• 日线（战役中枢）：量化投资的主战场。确定当前标的所处的形态中枢位置（中枢内部、中枢上方还是突破阶段）；</w:t>
        <w:br/>
        <w:t>• 30分钟 / 5分钟（战术落点）：运用区间套逐级深入微观结构。在日线进入一买或二买候选窗口时，打开 5 分钟图，在 5 分钟周期的内部背驰拐点敲下买单，将买入成本精确控制在毫厘之间，彻底避免追高。</w:t>
      </w:r>
    </w:p>
    <w:p>
      <w:pPr>
        <w:pStyle w:val="Heading2"/>
        <w:keepNext/>
        <w:spacing w:before="280" w:after="80"/>
      </w:pPr>
      <w:r>
        <w:rPr>
          <w:rFonts w:ascii="微软雅黑" w:hAnsi="微软雅黑"/>
          <w:b/>
          <w:color w:val="0F766E"/>
          <w:sz w:val="26"/>
        </w:rPr>
        <w:t>5.2 easy_tdx 立体共振多维量化矩阵</w:t>
      </w:r>
    </w:p>
    <w:p>
      <w:pPr>
        <w:spacing w:before="0" w:after="100" w:line="300" w:lineRule="auto"/>
      </w:pPr>
      <w:r>
        <w:rPr>
          <w:rFonts w:ascii="微软雅黑" w:hAnsi="微软雅黑"/>
          <w:color w:val="334155"/>
          <w:sz w:val="21"/>
        </w:rPr>
        <w:t>在 easy_tdx 算法引擎中，系统自动将日线（DAY）、30分钟（30F）与5分钟（5F）三级别买卖点打通计算：</w:t>
        <w:br/>
        <w:t>1. 双重共振（2-Period Resonance）：大级别 2Buy + 次级别 3Buy，胜率提升至 68% 以上；</w:t>
        <w:br/>
        <w:t>2. 三重立体共振（3-Period Triple Resonance）：高、中、低三个周期同步在同一时空触发买点信号，胜率高达 78%~85%，为主力资金大规模建仓的最佳时机。</w:t>
      </w:r>
    </w:p>
    <w:p>
      <w:pPr>
        <w:pStyle w:val="Heading1"/>
        <w:keepNext/>
        <w:spacing w:before="360" w:after="120"/>
      </w:pPr>
      <w:r>
        <w:rPr>
          <w:rFonts w:ascii="微软雅黑" w:hAnsi="微软雅黑"/>
          <w:b/>
          <w:color w:val="1E3A8A"/>
          <w:sz w:val="32"/>
        </w:rPr>
        <w:t>第六章：量化实战风控铁律与操盘五大禁忌</w:t>
      </w:r>
    </w:p>
    <w:p>
      <w:pPr>
        <w:pStyle w:val="Heading2"/>
        <w:keepNext/>
        <w:spacing w:before="280" w:after="80"/>
      </w:pPr>
      <w:r>
        <w:rPr>
          <w:rFonts w:ascii="微软雅黑" w:hAnsi="微软雅黑"/>
          <w:b/>
          <w:color w:val="0F766E"/>
          <w:sz w:val="26"/>
        </w:rPr>
        <w:t>6.1 仓位管理金字塔模型</w:t>
      </w:r>
    </w:p>
    <w:p>
      <w:pPr>
        <w:spacing w:before="0" w:after="100" w:line="300" w:lineRule="auto"/>
      </w:pPr>
      <w:r>
        <w:rPr>
          <w:rFonts w:ascii="微软雅黑" w:hAnsi="微软雅黑"/>
          <w:color w:val="334155"/>
          <w:sz w:val="21"/>
        </w:rPr>
        <w:t>科学的资金管理是量化操盘立于不败之地的基石：</w:t>
        <w:br/>
        <w:t>• 试仓期（一买出现）：投入 10%~20% 底仓，严守一买止损线；</w:t>
        <w:br/>
        <w:t>• 加仓期（二买确立）：确认回踩不破底，重仓加仓 30%~40%，使总仓位达 50%~60%；</w:t>
        <w:br/>
        <w:t>• 冲刺期（三买爆发）：突破中枢回踩不破 ZG，投入 20% 追随主升浪，打满仓位；</w:t>
        <w:br/>
        <w:t>• 减仓期（一卖出现）：无条件减仓 60%，利润落袋为安；</w:t>
        <w:br/>
        <w:t>• 清仓期（二卖或三卖）：清空所有筹码，耐心等待下一个一买或二买。</w:t>
      </w:r>
    </w:p>
    <w:p>
      <w:pPr>
        <w:pStyle w:val="Heading2"/>
        <w:keepNext/>
        <w:spacing w:before="280" w:after="80"/>
      </w:pPr>
      <w:r>
        <w:rPr>
          <w:rFonts w:ascii="微软雅黑" w:hAnsi="微软雅黑"/>
          <w:b/>
          <w:color w:val="0F766E"/>
          <w:sz w:val="26"/>
        </w:rPr>
        <w:t>6.2 缠论操盘五大核心禁忌</w:t>
      </w:r>
    </w:p>
    <w:p>
      <w:pPr>
        <w:spacing w:before="0" w:after="100" w:line="300" w:lineRule="auto"/>
      </w:pPr>
      <w:r>
        <w:rPr>
          <w:rFonts w:ascii="微软雅黑" w:hAnsi="微软雅黑"/>
          <w:color w:val="334155"/>
          <w:sz w:val="21"/>
        </w:rPr>
        <w:t>1. 禁盲目抄底：下跌趋势中枢没有至少出现两个之前，绝不主观猜底，坚决不抄没有背驰的底；</w:t>
        <w:br/>
        <w:t>2. 禁盘中追高：买点必然出现在次级别下跌回踩的转折处，任何在连续中阳线或分时拉升途中的追买都是违背缠论纪律的自杀行为；</w:t>
        <w:br/>
        <w:t>3. 禁死扛三卖：中枢下轨破位后反抽不过形成的第三类卖点，是主跌浪的号角，死扛必遭重创；</w:t>
        <w:br/>
        <w:t>4. 禁混淆级别：日线级别的买点不能用 1 分钟级别的微小波动来判定止损，必须级别与风控严格对齐；</w:t>
        <w:br/>
        <w:t>5. 禁带情绪交易：缠论是一套纯粹的几何客观分类系统。走势如行云流水，分类如庖丁解牛，买点现则买，卖点现则卖，心无旁骛。</w:t>
      </w:r>
    </w:p>
    <w:tbl>
      <w:tblPr>
        <w:tblW w:type="auto" w:w="0"/>
        <w:jc w:val="center"/>
        <w:tblLayout w:type="fixed"/>
        <w:tblLook w:firstColumn="1" w:firstRow="1" w:lastColumn="0" w:lastRow="0" w:noHBand="0" w:noVBand="1" w:val="04A0"/>
      </w:tblPr>
      <w:tblGrid>
        <w:gridCol w:w="9648"/>
      </w:tblGrid>
      <w:tr>
        <w:tc>
          <w:tcPr>
            <w:tcW w:type="dxa" w:w="9360"/>
            <w:shd w:fill="FEF2F2"/>
            <w:tcMar>
              <w:top w:w="140" w:type="dxa"/>
              <w:bottom w:w="140" w:type="dxa"/>
              <w:left w:w="200" w:type="dxa"/>
              <w:right w:w="200" w:type="dxa"/>
            </w:tcMar>
            <w:tcBorders>
              <w:left w:val="single" w:sz="24" w:space="0" w:color="B91C1C"/>
              <w:top w:val="none"/>
              <w:bottom w:val="none"/>
              <w:right w:val="none"/>
            </w:tcBorders>
          </w:tcPr>
          <w:p>
            <w:pPr>
              <w:spacing w:before="40" w:after="80" w:line="288" w:lineRule="auto"/>
            </w:pPr>
            <w:r>
              <w:rPr>
                <w:rFonts w:ascii="微软雅黑" w:hAnsi="微软雅黑"/>
                <w:b/>
                <w:color w:val="1E3A8A"/>
                <w:sz w:val="21"/>
              </w:rPr>
              <w:t>【操盘座右铭】</w:t>
              <w:br/>
            </w:r>
            <w:r>
              <w:rPr>
                <w:rFonts w:ascii="微软雅黑" w:hAnsi="微软雅黑"/>
                <w:color w:val="1E293B"/>
                <w:sz w:val="20"/>
              </w:rPr>
              <w:t>市场是所有参与者合力的展现，走势早已包含了所有信息。投资者唯一要做的事情，就是像猎手一样，耐心等待猎物走进你所圈定的买卖点几何结构之中。不达买点绝不出手，既达卖点决不留恋！</w:t>
            </w:r>
          </w:p>
        </w:tc>
      </w:tr>
    </w:tbl>
    <w:p>
      <w:pPr>
        <w:spacing w:after="8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