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SWIMNOTE OFFICE V1 개발 설계도</w:t>
      </w:r>
    </w:p>
    <w:p>
      <w:pPr>
        <w:pStyle w:val="Subtitle"/>
      </w:pPr>
      <w:r>
        <w:t>기존 실행본 재사용과 완성 프로그램 우선 실행계획</w:t>
      </w:r>
    </w:p>
    <w:p>
      <w:r>
        <w:t>버전 V1.1  |  확정일 2026년 10월 17일  |  전달 대상 SWIMNOTE APP Replit</w:t>
      </w:r>
    </w:p>
    <w:p>
      <w:r>
        <w:t>이 문서는 2026년 10월 15일 V1.0의 기능 범위를 유지하면서 개발 순서와 검증 절차를 수정한 실행 기준이다. 기존 실행 프로그램과 앱 자산을 우선 재사용해 설치 가능한 OFFICE를 빠르게 완성한다. 별도 검증 시스템을 제품 개발의 선행 조건으로 만들지 않는다.</w:t>
      </w:r>
    </w:p>
    <w:p>
      <w:pPr>
        <w:pStyle w:val="Heading2"/>
      </w:pPr>
      <w:r>
        <w:t>1 최우선 고정 원칙</w:t>
      </w:r>
    </w:p>
    <w:p>
      <w:pPr>
        <w:pStyle w:val="ListBullet"/>
      </w:pPr>
      <w:r>
        <w:t>기능은 줄이지 않는다. 기존 앱 기능과 합의된 레거시 회원관리 기능을 모두 구현한다.</w:t>
      </w:r>
    </w:p>
    <w:p>
      <w:pPr>
        <w:pStyle w:val="ListBullet"/>
      </w:pPr>
      <w:r>
        <w:t>순서는 앱 기능 PC 이식과 전체 화면 구성 → 부족한 레거시 기능 → Billing 및 AI 연결 → 상용 마무리다.</w:t>
      </w:r>
    </w:p>
    <w:p>
      <w:pPr>
        <w:pStyle w:val="ListBullet"/>
      </w:pPr>
      <w:r>
        <w:t>완성한 AI 레이아웃·Navigation·Action과 기존 정상 실행본을 재사용한다. 다시 설계하거나 처음부터 만들지 않는다.</w:t>
      </w:r>
    </w:p>
    <w:p>
      <w:pPr>
        <w:pStyle w:val="ListBullet"/>
      </w:pPr>
      <w:r>
        <w:t>사용자는 다운로드 → 설치 → 실행 → 문제 화면 전달만 한다. 개발 도구 설치·소스 빌드·터미널 작업을 요구하지 않는다.</w:t>
      </w:r>
    </w:p>
    <w:p>
      <w:pPr>
        <w:pStyle w:val="ListBullet"/>
      </w:pPr>
      <w:r>
        <w:t>필요한 변경 검사만 수행하고 통합 실행본에서 문제를 찾아 수정한다. 실행하지 않은 환경을 PASS로 보고하지 않는다.</w:t>
      </w:r>
    </w:p>
    <w:p>
      <w:pPr>
        <w:pStyle w:val="Heading2"/>
      </w:pPr>
      <w:r>
        <w:t>2 문서 적용과 변경 통제</w:t>
      </w:r>
    </w:p>
    <w:p>
      <w:r>
        <w:t>사용자의 최신 명시 지시가 최우선이다. 본 문서는 V1.0의 순서·검증·단계 대기 절차와 충돌하는 부분을 대체한다. 충돌하지 않는 기능·데이터·권한·금융 계약은 유지한다. 기능 추가·삭제, 별도 DB/서버 구성, 전면 재설계는 임의로 하지 않는다.</w:t>
      </w:r>
    </w:p>
    <w:p>
      <w:r>
        <w:t>Replit은 필요한 확인 뒤 구현·빌드를 같은 작업에서 이어간다. 매 작은 Task마다 보고 후 대기하지 않는다. 차단된 기능만 분리하고 독립적으로 가능한 작업은 계속한다.</w:t>
      </w:r>
    </w:p>
    <w:p>
      <w:pPr>
        <w:pStyle w:val="Heading2"/>
      </w:pPr>
      <w:r>
        <w:t>3 현재 상태의 해석</w:t>
      </w:r>
    </w:p>
    <w:p>
      <w:r>
        <w:t>기존 실행 제품과 AI 화면이 있다는 것은 사용자 확인 사항이다. 검색·수정·반이동 및 Linux 합성 환경 검증은 기존 완료보고를 재사용한다. Windows 로컬 DB 검증본의 기동 실패는 별도 환경의 실패이며 제품 기능 전체 실패로 확대하지 않는다. 제품 경로의 실제 연결·배포 상태는 필요한 부분만 확인한다.</w:t>
      </w:r>
    </w:p>
    <w:p>
      <w:r>
        <w:br w:type="page"/>
      </w:r>
    </w:p>
    <w:p>
      <w:pPr>
        <w:pStyle w:val="Heading1"/>
      </w:pPr>
      <w:r>
        <w:t>기능 범위와 재사용 순서</w:t>
      </w:r>
    </w:p>
    <w:p>
      <w:r>
        <w:t>아래 기능은 V1 유지 범위다. 기존 구현이 있으면 연결하고, 없으면 필요한 부분만 추가한다. 전체 저장소 재감사 대신 관련 화면·API·Service의 기존 연결을 확인한다.</w:t>
      </w:r>
    </w:p>
    <w:tbl>
      <w:tblPr>
        <w:tblW w:type="auto" w:w="0"/>
        <w:tblLayout w:type="fixed"/>
        <w:tblLook w:firstColumn="1" w:firstRow="1" w:lastColumn="0" w:lastRow="0" w:noHBand="0" w:noVBand="1" w:val="04A0"/>
      </w:tblPr>
      <w:tblGrid>
        <w:gridCol w:w="1728"/>
        <w:gridCol w:w="8352"/>
      </w:tblGrid>
      <w:tr>
        <w:trPr>
          <w:cantSplit/>
          <w:tblHeader/>
        </w:trPr>
        <w:tc>
          <w:tcPr>
            <w:tcW w:type="dxa" w:w="1728"/>
            <w:tcBorders>
              <w:top w:val="single" w:sz="4" w:color="D9D9D9"/>
              <w:left w:val="single" w:sz="4" w:color="D9D9D9"/>
              <w:bottom w:val="single" w:sz="4" w:color="D9D9D9"/>
              <w:right w:val="single" w:sz="4" w:color="D9D9D9"/>
            </w:tcBorders>
            <w:shd w:fill="E8EDF2"/>
          </w:tcPr>
          <w:p>
            <w:pPr>
              <w:spacing w:before="80" w:after="80"/>
            </w:pPr>
            <w:r>
              <w:rPr>
                <w:b/>
                <w:sz w:val="18"/>
              </w:rPr>
              <w:t>업무 영역</w:t>
            </w:r>
          </w:p>
        </w:tc>
        <w:tc>
          <w:tcPr>
            <w:tcW w:type="dxa" w:w="8352"/>
            <w:tcBorders>
              <w:top w:val="single" w:sz="4" w:color="D9D9D9"/>
              <w:left w:val="single" w:sz="4" w:color="D9D9D9"/>
              <w:bottom w:val="single" w:sz="4" w:color="D9D9D9"/>
              <w:right w:val="single" w:sz="4" w:color="D9D9D9"/>
            </w:tcBorders>
            <w:shd w:fill="E8EDF2"/>
          </w:tcPr>
          <w:p>
            <w:pPr>
              <w:spacing w:before="80" w:after="80"/>
            </w:pPr>
            <w:r>
              <w:rPr>
                <w:b/>
                <w:sz w:val="18"/>
              </w:rPr>
              <w:t>유지할 기능</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대시보드</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기존 대시보드와 KPI 상세 이동</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회원관리</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재원·신규·지난회원·Archive, 보호자·연락처·메모·상담 및 교육 이력</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수업관리</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시간표·반·정원·대기자·반이동</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출결과 보강</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출석·결석·수정이력·보강 요청·배정</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교육관리</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일지·피드·앨범·교육기록·커리큘럼·성장리포트</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학부모 소통</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요청·답장·공지·Push/SMS의 PC 관리</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직원과 설정</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선생님·직원·역할·권한, Pool·운영·Desktop 설정</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신규와 상담</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문의·상담이력·미등록·체험·레벨테스트·대기자·등록전환</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재등록과 수납</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가격표·할인·회차조정·재등록·Invoice·미납·수동수납·수동환불</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결제내역</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Payment 기록·PG 연결상태, 승인 조건 충족 후 Smartro 연동</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통계와 자료</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회원·매출·재등록·미납·강사정산, Excel/CSV와 필요한 기본 PDF</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대량 업무</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필요한 대량 회원관리·재등록·수납 처리</w:t>
            </w:r>
          </w:p>
        </w:tc>
      </w:tr>
      <w:tr>
        <w:trPr>
          <w:cantSplit/>
        </w:trPr>
        <w:tc>
          <w:tcPr>
            <w:tcW w:type="dxa" w:w="1728"/>
            <w:tcBorders>
              <w:top w:val="single" w:sz="4" w:color="D9D9D9"/>
              <w:left w:val="single" w:sz="4" w:color="D9D9D9"/>
              <w:bottom w:val="single" w:sz="4" w:color="D9D9D9"/>
              <w:right w:val="single" w:sz="4" w:color="D9D9D9"/>
            </w:tcBorders>
          </w:tcPr>
          <w:p>
            <w:pPr>
              <w:spacing w:before="80" w:after="80"/>
            </w:pPr>
            <w:r>
              <w:rPr>
                <w:b w:val="0"/>
                <w:sz w:val="18"/>
              </w:rPr>
              <w:t>AI 작업창</w:t>
            </w:r>
          </w:p>
        </w:tc>
        <w:tc>
          <w:tcPr>
            <w:tcW w:type="dxa" w:w="8352"/>
            <w:tcBorders>
              <w:top w:val="single" w:sz="4" w:color="D9D9D9"/>
              <w:left w:val="single" w:sz="4" w:color="D9D9D9"/>
              <w:bottom w:val="single" w:sz="4" w:color="D9D9D9"/>
              <w:right w:val="single" w:sz="4" w:color="D9D9D9"/>
            </w:tcBorders>
          </w:tcPr>
          <w:p>
            <w:pPr>
              <w:spacing w:before="80" w:after="80"/>
            </w:pPr>
            <w:r>
              <w:rPr>
                <w:b w:val="0"/>
                <w:sz w:val="18"/>
              </w:rPr>
              <w:t>기존 레이아웃·Context·검색·수정·반이동·화면 열기·작업 카드·결과 보기·공개 업무 연결</w:t>
            </w:r>
          </w:p>
        </w:tc>
      </w:tr>
    </w:tbl>
    <w:p>
      <w:pPr>
        <w:pStyle w:val="Heading2"/>
      </w:pPr>
      <w:r>
        <w:t>이식 우선순위</w:t>
      </w:r>
    </w:p>
    <w:p>
      <w:r>
        <w:t>기존 Web/PC 화면과 API를 먼저 재사용한다. 앱에만 있는 업무는 데이터·권한·API 계약을 재사용하고 PC용 목록·상세·편집 UI만 맞춘다. 모바일 UI를 그대로 옮기려는 대규모 재작성이나 모바일 동시 수정은 하지 않는다.</w:t>
      </w:r>
    </w:p>
    <w:p>
      <w:r>
        <w:t>학부모 소통·전송 방식 등 surface 차이는 실제 계약을 확인한다. 미지원 전송·가짜 수치·샘플 저장을 실제 기능처럼 표시하지 않는다. 실발송은 기존 승인 경계를 따른다.</w:t>
      </w:r>
    </w:p>
    <w:p>
      <w:r>
        <w:br w:type="page"/>
      </w:r>
    </w:p>
    <w:p>
      <w:pPr>
        <w:pStyle w:val="Heading1"/>
      </w:pPr>
      <w:r>
        <w:t>10단계 조정 계획</w:t>
      </w:r>
    </w:p>
    <w:p>
      <w:r>
        <w:t>단계 번호는 기존 설계 추적을 위해 유지한다. 단계별 독립 검증 프로젝트로 분리하지 않고 기능 통합을 중심으로 묶어 진행한다.</w:t>
      </w:r>
    </w:p>
    <w:tbl>
      <w:tblPr>
        <w:tblW w:type="auto" w:w="0"/>
        <w:tblLayout w:type="fixed"/>
        <w:tblLook w:firstColumn="1" w:firstRow="1" w:lastColumn="0" w:lastRow="0" w:noHBand="0" w:noVBand="1" w:val="04A0"/>
      </w:tblPr>
      <w:tblGrid>
        <w:gridCol w:w="1656"/>
        <w:gridCol w:w="8424"/>
      </w:tblGrid>
      <w:tr>
        <w:trPr>
          <w:cantSplit/>
          <w:tblHeader/>
        </w:trPr>
        <w:tc>
          <w:tcPr>
            <w:tcW w:type="dxa" w:w="1656"/>
            <w:tcBorders>
              <w:top w:val="single" w:sz="4" w:color="D9D9D9"/>
              <w:left w:val="single" w:sz="4" w:color="D9D9D9"/>
              <w:bottom w:val="single" w:sz="4" w:color="D9D9D9"/>
              <w:right w:val="single" w:sz="4" w:color="D9D9D9"/>
            </w:tcBorders>
            <w:shd w:fill="E8EDF2"/>
          </w:tcPr>
          <w:p>
            <w:pPr>
              <w:spacing w:before="80" w:after="80"/>
            </w:pPr>
            <w:r>
              <w:rPr>
                <w:b/>
                <w:sz w:val="18"/>
              </w:rPr>
              <w:t>단계</w:t>
            </w:r>
          </w:p>
        </w:tc>
        <w:tc>
          <w:tcPr>
            <w:tcW w:type="dxa" w:w="8424"/>
            <w:tcBorders>
              <w:top w:val="single" w:sz="4" w:color="D9D9D9"/>
              <w:left w:val="single" w:sz="4" w:color="D9D9D9"/>
              <w:bottom w:val="single" w:sz="4" w:color="D9D9D9"/>
              <w:right w:val="single" w:sz="4" w:color="D9D9D9"/>
            </w:tcBorders>
            <w:shd w:fill="E8EDF2"/>
          </w:tcPr>
          <w:p>
            <w:pPr>
              <w:spacing w:before="80" w:after="80"/>
            </w:pPr>
            <w:r>
              <w:rPr>
                <w:b/>
                <w:sz w:val="18"/>
              </w:rPr>
              <w:t>진행 내용과 축소할 절차</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1 실행 기반</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기존 정상 실행본·인증·서버·패키징 재사용. Foundation 재시작 없이 실제 실행 차단 오류만 수정.</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2 화면과 이동</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완성한 AI 레이아웃·History·Side Workspace 유지. 전체 메뉴와 업무 화면의 틀을 먼저 채움.</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3 첫 AI 업무</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기존 검색·정보수정·반이동 구현을 제품 경로에 연결. 로컬 검증 DB 해결을 기다리지 않음.</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4 앱 기능 이식</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즉시 우선. 출결·보강·교육·소통 등 기존 기능을 실제 조회·저장과 함께 PC에 연결.</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5 레거시 운영</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상담·체험·대기자·등록전환·직원 업무와 필요한 대량 기능 추가. 기존 회원·반 데이터 재사용.</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6 Payment Core</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가격·할인·회차·재등록·Invoice·미납·수동수납·수동환불 연결. 직접 관련 금액·중복 검사 유지.</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7 AI 확장</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각 기능 연결 시 같은 Action을 AI에도 등록. Context·대상 확인·FAST PATH·필요한 복합 계획 확장.</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8 기능 coverage</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별도 대규모 검사 시스템 없이 기능 목록의 메뉴·Action·AI 연결 누락만 해소.</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9 Smartro</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기존 범위 유지. 문서·계정·테스트 환경·실거래 승인 의존 부분만 대기. 다른 개발은 계속.</w:t>
            </w:r>
          </w:p>
        </w:tc>
      </w:tr>
      <w:tr>
        <w:trPr>
          <w:cantSplit/>
        </w:trPr>
        <w:tc>
          <w:tcPr>
            <w:tcW w:type="dxa" w:w="1656"/>
            <w:tcBorders>
              <w:top w:val="single" w:sz="4" w:color="D9D9D9"/>
              <w:left w:val="single" w:sz="4" w:color="D9D9D9"/>
              <w:bottom w:val="single" w:sz="4" w:color="D9D9D9"/>
              <w:right w:val="single" w:sz="4" w:color="D9D9D9"/>
            </w:tcBorders>
          </w:tcPr>
          <w:p>
            <w:pPr>
              <w:spacing w:before="80" w:after="80"/>
            </w:pPr>
            <w:r>
              <w:rPr>
                <w:b w:val="0"/>
                <w:sz w:val="18"/>
              </w:rPr>
              <w:t>10 상용 마무리</w:t>
            </w:r>
          </w:p>
        </w:tc>
        <w:tc>
          <w:tcPr>
            <w:tcW w:type="dxa" w:w="8424"/>
            <w:tcBorders>
              <w:top w:val="single" w:sz="4" w:color="D9D9D9"/>
              <w:left w:val="single" w:sz="4" w:color="D9D9D9"/>
              <w:bottom w:val="single" w:sz="4" w:color="D9D9D9"/>
              <w:right w:val="single" w:sz="4" w:color="D9D9D9"/>
            </w:tcBorders>
          </w:tcPr>
          <w:p>
            <w:pPr>
              <w:spacing w:before="80" w:after="80"/>
            </w:pPr>
            <w:r>
              <w:rPr>
                <w:b w:val="0"/>
                <w:sz w:val="18"/>
              </w:rPr>
              <w:t>설치 가능한 통합본 우선 전달 후 실제 결함 수정. 최종 고객 배포 전 서명·업데이트·권한·금융·OS 범위 확인.</w:t>
            </w:r>
          </w:p>
        </w:tc>
      </w:tr>
    </w:tbl>
    <w:p>
      <w:pPr>
        <w:pStyle w:val="Heading2"/>
      </w:pPr>
      <w:r>
        <w:t>실행 순서</w:t>
      </w:r>
    </w:p>
    <w:p>
      <w:r>
        <w:t>기존 실행본 확인 및 Stage 3 연결 → Stage 4를 우선해 전체 PC 화면·업무 구성 → Stage 5와 6 완성. Stage 7과 8은 각 업무에 함께 적용한다. Stage 9의 외부 의존성은 분리하고 Stage 10에서 고객 배포 조건을 마무리한다.</w:t>
      </w:r>
    </w:p>
    <w:p>
      <w:r>
        <w:t>1차 설치본은 앱 기능을 모아 이식한 시점에 전달한다. 이것을 V1 전체 완료로 선언하지 않는다. 레거시·Billing·AI 연결을 이어 완성하고 최종 기능 통합본을 전달한다.</w:t>
      </w:r>
    </w:p>
    <w:p>
      <w:r>
        <w:br w:type="page"/>
      </w:r>
    </w:p>
    <w:p>
      <w:pPr>
        <w:pStyle w:val="Heading1"/>
      </w:pPr>
      <w:r>
        <w:t>구현과 검증의 고정 경계</w:t>
      </w:r>
    </w:p>
    <w:p>
      <w:pPr>
        <w:pStyle w:val="Heading2"/>
      </w:pPr>
      <w:r>
        <w:t>1 유지할 제품 구조</w:t>
      </w:r>
    </w:p>
    <w:p>
      <w:r>
        <w:t>Windows Electron → 기존 React/Vite PC 화면 → 기존 또는 최소 확장 API → 기존 서버 PostgreSQL. 사용자 PC에 별도 PostgreSQL·API 서버를 설치시키는 구조는 이번 제품 경로에 추가하지 않는다. 기존 정상 제품의 정확한 source·연결·빌드 경로만 좁게 확인한다.</w:t>
      </w:r>
    </w:p>
    <w:p>
      <w:pPr>
        <w:pStyle w:val="Heading2"/>
      </w:pPr>
      <w:r>
        <w:t>2 AI와 일반 화면의 공통 실행</w:t>
      </w:r>
    </w:p>
    <w:p>
      <w:r>
        <w:t>메뉴·일반 편집·AI 작업창은 같은 Action/Service/API와 현재 권한을 사용한다. GPT가 SQL이나 DB를 직접 수정하지 않는다. V1 실제 공개 업무의 메뉴·Action·AI 연결 목표는 유지한다. AI 범용화 때문에 앱 이식을 막지 않고 연결 누락을 목록으로 추적해 통합본에서 해소한다.</w:t>
      </w:r>
    </w:p>
    <w:p>
      <w:pPr>
        <w:pStyle w:val="Heading2"/>
      </w:pPr>
      <w:r>
        <w:t>3 중단할 작업</w:t>
      </w:r>
    </w:p>
    <w:p>
      <w:pPr>
        <w:pStyle w:val="ListBullet"/>
      </w:pPr>
      <w:r>
        <w:t>로컬 DB·격리 API·합성 인증·검증 전용 설치본의 추가 제작과 수리. 기존 증거·자료는 보존.</w:t>
      </w:r>
    </w:p>
    <w:p>
      <w:pPr>
        <w:pStyle w:val="ListBullet"/>
      </w:pPr>
      <w:r>
        <w:t>완료 영역의 반복 감사, 변경 없는 전체 suite·전체 monorepo 타입검사, 대규모 저장소 재조사.</w:t>
      </w:r>
    </w:p>
    <w:p>
      <w:pPr>
        <w:pStyle w:val="ListBullet"/>
      </w:pPr>
      <w:r>
        <w:t>매 기능별 전체 설치본 재생성, 무변경 재빌드·재배포, 같은 실패의 무근거 반복 실험.</w:t>
      </w:r>
    </w:p>
    <w:p>
      <w:pPr>
        <w:pStyle w:val="ListBullet"/>
      </w:pPr>
      <w:r>
        <w:t>검증 도구·manifest·문서 체계를 별도 개발 프로젝트로 확대하거나 모든 소규모 작업마다 다음 지시 대기.</w:t>
      </w:r>
    </w:p>
    <w:p>
      <w:pPr>
        <w:pStyle w:val="Heading2"/>
      </w:pPr>
      <w:r>
        <w:t>4 남길 최소 확인</w:t>
      </w:r>
    </w:p>
    <w:p>
      <w:r>
        <w:t>필수 제품 빌드와 이번 변경의 직접 관련 확인만 수행한다. 기존 PASS 증거는 관련 변경이 없으면 재사용한다. 인증·Pool 격리·권한·개인정보 보호와 금액·결제·환불·대량변경의 필요한 검사는 유지한다. 실제 오류가 생기면 해당 경로만 최소 수정한다.</w:t>
      </w:r>
    </w:p>
    <w:p>
      <w:r>
        <w:t>대량변경·삭제·결제·환불·권한변경의 Preview/Confirmation, 서버 검증, 기존 중복 방지·충돌 처리는 유지한다. 평문 토큰 저장·권한 우회·가짜 성공으로 속도를 만들지 않는다.</w:t>
      </w:r>
    </w:p>
    <w:p>
      <w:pPr>
        <w:pStyle w:val="Heading2"/>
      </w:pPr>
      <w:r>
        <w:t>5 차단과 승인 처리</w:t>
      </w:r>
    </w:p>
    <w:p>
      <w:r>
        <w:t>현재 승인된 로컬 구현·제품 빌드·설치본 전달은 계속한다. 운영 schema·migration·배포·실발송·실거래·새 비용은 기존 승인 범위를 따른다. 미승인 작업은 적용·복구안까지 준비해 구체적으로 보고하되 다른 기능을 멈추지 않는다. 관련 데이터 손상·권한 누수·금액 오류는 해당 경로를 차단하고 바로 수정한다.</w:t>
      </w:r>
    </w:p>
    <w:p>
      <w:r>
        <w:br w:type="page"/>
      </w:r>
    </w:p>
    <w:p>
      <w:pPr>
        <w:pStyle w:val="Heading1"/>
      </w:pPr>
      <w:r>
        <w:t>산출물과 진행 통제</w:t>
      </w:r>
    </w:p>
    <w:p>
      <w:pPr>
        <w:pStyle w:val="Heading2"/>
      </w:pPr>
      <w:r>
        <w:t>1 실행본 전달 기준</w:t>
      </w:r>
    </w:p>
    <w:p>
      <w:r>
        <w:t>기존 정상 제품의 빌드·패키징 방법을 사용한다. 사용자는 다운로드·설치·실행만 한다. Node·pnpm·PostgreSQL 설치, 소스 컴파일, PowerShell 개발 명령을 요구하지 않는다. 소스 ZIP·계획서·검증 도구만 전달하고 실행본 완료로 보고하지 않는다.</w:t>
      </w:r>
    </w:p>
    <w:p>
      <w:r>
        <w:t>Windows 직접 실행이 없으면 해당 범위만 NOT RUN으로 표시한다. 미실행 사실을 숨기지 않으며, 그 때문에 독립적인 기능 구현·패키징 전체를 보류하지 않는다. 실제 설치본에서 발견한 문제는 원인과 관련 파일을 좁혀 수정한다.</w:t>
      </w:r>
    </w:p>
    <w:p>
      <w:pPr>
        <w:pStyle w:val="Heading2"/>
      </w:pPr>
      <w:r>
        <w:t>2 작업별 짧은 기록</w:t>
      </w:r>
    </w:p>
    <w:tbl>
      <w:tblPr>
        <w:tblW w:type="auto" w:w="0"/>
        <w:tblLayout w:type="fixed"/>
        <w:tblLook w:firstColumn="1" w:firstRow="1" w:lastColumn="0" w:lastRow="0" w:noHBand="0" w:noVBand="1" w:val="04A0"/>
      </w:tblPr>
      <w:tblGrid>
        <w:gridCol w:w="1584"/>
        <w:gridCol w:w="8496"/>
      </w:tblGrid>
      <w:tr>
        <w:trPr>
          <w:cantSplit/>
          <w:tblHeader/>
        </w:trPr>
        <w:tc>
          <w:tcPr>
            <w:tcW w:type="dxa" w:w="1584"/>
            <w:tcBorders>
              <w:top w:val="single" w:sz="4" w:color="D9D9D9"/>
              <w:left w:val="single" w:sz="4" w:color="D9D9D9"/>
              <w:bottom w:val="single" w:sz="4" w:color="D9D9D9"/>
              <w:right w:val="single" w:sz="4" w:color="D9D9D9"/>
            </w:tcBorders>
            <w:shd w:fill="E8EDF2"/>
          </w:tcPr>
          <w:p>
            <w:pPr>
              <w:spacing w:before="80" w:after="80"/>
            </w:pPr>
            <w:r>
              <w:rPr>
                <w:b/>
                <w:sz w:val="18"/>
              </w:rPr>
              <w:t>필드</w:t>
            </w:r>
          </w:p>
        </w:tc>
        <w:tc>
          <w:tcPr>
            <w:tcW w:type="dxa" w:w="8496"/>
            <w:tcBorders>
              <w:top w:val="single" w:sz="4" w:color="D9D9D9"/>
              <w:left w:val="single" w:sz="4" w:color="D9D9D9"/>
              <w:bottom w:val="single" w:sz="4" w:color="D9D9D9"/>
              <w:right w:val="single" w:sz="4" w:color="D9D9D9"/>
            </w:tcBorders>
            <w:shd w:fill="E8EDF2"/>
          </w:tcPr>
          <w:p>
            <w:pPr>
              <w:spacing w:before="80" w:after="80"/>
            </w:pPr>
            <w:r>
              <w:rPr>
                <w:b/>
                <w:sz w:val="18"/>
              </w:rPr>
              <w:t>기록 내용</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pPr>
            <w:r>
              <w:rPr>
                <w:b w:val="0"/>
                <w:sz w:val="18"/>
              </w:rPr>
              <w:t>재사용</w:t>
            </w:r>
          </w:p>
        </w:tc>
        <w:tc>
          <w:tcPr>
            <w:tcW w:type="dxa" w:w="8496"/>
            <w:tcBorders>
              <w:top w:val="single" w:sz="4" w:color="D9D9D9"/>
              <w:left w:val="single" w:sz="4" w:color="D9D9D9"/>
              <w:bottom w:val="single" w:sz="4" w:color="D9D9D9"/>
              <w:right w:val="single" w:sz="4" w:color="D9D9D9"/>
            </w:tcBorders>
          </w:tcPr>
          <w:p>
            <w:pPr>
              <w:spacing w:before="80" w:after="80"/>
            </w:pPr>
            <w:r>
              <w:rPr>
                <w:b w:val="0"/>
                <w:sz w:val="18"/>
              </w:rPr>
              <w:t>어느 기존 화면·API·Service를 사용했는지</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pPr>
            <w:r>
              <w:rPr>
                <w:b w:val="0"/>
                <w:sz w:val="18"/>
              </w:rPr>
              <w:t>변경</w:t>
            </w:r>
          </w:p>
        </w:tc>
        <w:tc>
          <w:tcPr>
            <w:tcW w:type="dxa" w:w="8496"/>
            <w:tcBorders>
              <w:top w:val="single" w:sz="4" w:color="D9D9D9"/>
              <w:left w:val="single" w:sz="4" w:color="D9D9D9"/>
              <w:bottom w:val="single" w:sz="4" w:color="D9D9D9"/>
              <w:right w:val="single" w:sz="4" w:color="D9D9D9"/>
            </w:tcBorders>
          </w:tcPr>
          <w:p>
            <w:pPr>
              <w:spacing w:before="80" w:after="80"/>
            </w:pPr>
            <w:r>
              <w:rPr>
                <w:b w:val="0"/>
                <w:sz w:val="18"/>
              </w:rPr>
              <w:t>이번에 연결하거나 추가한 기능만</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pPr>
            <w:r>
              <w:rPr>
                <w:b w:val="0"/>
                <w:sz w:val="18"/>
              </w:rPr>
              <w:t>확인</w:t>
            </w:r>
          </w:p>
        </w:tc>
        <w:tc>
          <w:tcPr>
            <w:tcW w:type="dxa" w:w="8496"/>
            <w:tcBorders>
              <w:top w:val="single" w:sz="4" w:color="D9D9D9"/>
              <w:left w:val="single" w:sz="4" w:color="D9D9D9"/>
              <w:bottom w:val="single" w:sz="4" w:color="D9D9D9"/>
              <w:right w:val="single" w:sz="4" w:color="D9D9D9"/>
            </w:tcBorders>
          </w:tcPr>
          <w:p>
            <w:pPr>
              <w:spacing w:before="80" w:after="80"/>
            </w:pPr>
            <w:r>
              <w:rPr>
                <w:b w:val="0"/>
                <w:sz w:val="18"/>
              </w:rPr>
              <w:t>직접 수행한 빌드와 변경 부분 검사</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pPr>
            <w:r>
              <w:rPr>
                <w:b w:val="0"/>
                <w:sz w:val="18"/>
              </w:rPr>
              <w:t>미연결</w:t>
            </w:r>
          </w:p>
        </w:tc>
        <w:tc>
          <w:tcPr>
            <w:tcW w:type="dxa" w:w="8496"/>
            <w:tcBorders>
              <w:top w:val="single" w:sz="4" w:color="D9D9D9"/>
              <w:left w:val="single" w:sz="4" w:color="D9D9D9"/>
              <w:bottom w:val="single" w:sz="4" w:color="D9D9D9"/>
              <w:right w:val="single" w:sz="4" w:color="D9D9D9"/>
            </w:tcBorders>
          </w:tcPr>
          <w:p>
            <w:pPr>
              <w:spacing w:before="80" w:after="80"/>
            </w:pPr>
            <w:r>
              <w:rPr>
                <w:b w:val="0"/>
                <w:sz w:val="18"/>
              </w:rPr>
              <w:t>보이는 화면 중 아직 실제 동작하지 않는 기능</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pPr>
            <w:r>
              <w:rPr>
                <w:b w:val="0"/>
                <w:sz w:val="18"/>
              </w:rPr>
              <w:t>의존성</w:t>
            </w:r>
          </w:p>
        </w:tc>
        <w:tc>
          <w:tcPr>
            <w:tcW w:type="dxa" w:w="8496"/>
            <w:tcBorders>
              <w:top w:val="single" w:sz="4" w:color="D9D9D9"/>
              <w:left w:val="single" w:sz="4" w:color="D9D9D9"/>
              <w:bottom w:val="single" w:sz="4" w:color="D9D9D9"/>
              <w:right w:val="single" w:sz="4" w:color="D9D9D9"/>
            </w:tcBorders>
          </w:tcPr>
          <w:p>
            <w:pPr>
              <w:spacing w:before="80" w:after="80"/>
            </w:pPr>
            <w:r>
              <w:rPr>
                <w:b w:val="0"/>
                <w:sz w:val="18"/>
              </w:rPr>
              <w:t>운영 적용 승인·Smartro 등 외부 조건</w:t>
            </w:r>
          </w:p>
        </w:tc>
      </w:tr>
      <w:tr>
        <w:trPr>
          <w:cantSplit/>
        </w:trPr>
        <w:tc>
          <w:tcPr>
            <w:tcW w:type="dxa" w:w="1584"/>
            <w:tcBorders>
              <w:top w:val="single" w:sz="4" w:color="D9D9D9"/>
              <w:left w:val="single" w:sz="4" w:color="D9D9D9"/>
              <w:bottom w:val="single" w:sz="4" w:color="D9D9D9"/>
              <w:right w:val="single" w:sz="4" w:color="D9D9D9"/>
            </w:tcBorders>
          </w:tcPr>
          <w:p>
            <w:pPr>
              <w:spacing w:before="80" w:after="80"/>
            </w:pPr>
            <w:r>
              <w:rPr>
                <w:b w:val="0"/>
                <w:sz w:val="18"/>
              </w:rPr>
              <w:t>전달</w:t>
            </w:r>
          </w:p>
        </w:tc>
        <w:tc>
          <w:tcPr>
            <w:tcW w:type="dxa" w:w="8496"/>
            <w:tcBorders>
              <w:top w:val="single" w:sz="4" w:color="D9D9D9"/>
              <w:left w:val="single" w:sz="4" w:color="D9D9D9"/>
              <w:bottom w:val="single" w:sz="4" w:color="D9D9D9"/>
              <w:right w:val="single" w:sz="4" w:color="D9D9D9"/>
            </w:tcBorders>
          </w:tcPr>
          <w:p>
            <w:pPr>
              <w:spacing w:before="80" w:after="80"/>
            </w:pPr>
            <w:r>
              <w:rPr>
                <w:b w:val="0"/>
                <w:sz w:val="18"/>
              </w:rPr>
              <w:t>설치 파일·버전·SHA-256·실행 방법</w:t>
            </w:r>
          </w:p>
        </w:tc>
      </w:tr>
    </w:tbl>
    <w:p>
      <w:pPr>
        <w:pStyle w:val="Heading2"/>
      </w:pPr>
      <w:r>
        <w:t>3 방향 이탈 방지 규칙</w:t>
      </w:r>
    </w:p>
    <w:p>
      <w:pPr>
        <w:pStyle w:val="ListBullet"/>
      </w:pPr>
      <w:r>
        <w:t>작업이 V1 기능 연결·현재 오류 수정·필수 빌드 중 무엇에 기여하는지 설명되지 않으면 착수하지 않는다.</w:t>
      </w:r>
    </w:p>
    <w:p>
      <w:pPr>
        <w:pStyle w:val="ListBullet"/>
      </w:pPr>
      <w:r>
        <w:t>별도 검증 앱·DB·서버, 전면 구조 변경, 재설계, 기능 삭제는 사용자 추가 지시 없이 도입하지 않는다.</w:t>
      </w:r>
    </w:p>
    <w:p>
      <w:pPr>
        <w:pStyle w:val="ListBullet"/>
      </w:pPr>
      <w:r>
        <w:t>한 항목이 차단돼도 독립 업무는 계속한다. 현재 승인된 관련 작업은 매번 다음 지시를 기다리지 않는다.</w:t>
      </w:r>
    </w:p>
    <w:p>
      <w:pPr>
        <w:pStyle w:val="ListBullet"/>
      </w:pPr>
      <w:r>
        <w:t>실제 공개 기능 목록으로 누락을 관리한다. 전체 기능을 임의로 완료 처리하거나 이후로 제외하지 않는다.</w:t>
      </w:r>
    </w:p>
    <w:p>
      <w:pPr>
        <w:pStyle w:val="Heading2"/>
      </w:pPr>
      <w:r>
        <w:t>4 Replit 시작 지시</w:t>
      </w:r>
    </w:p>
    <w:p>
      <w:r>
        <w:t>본 V1.1을 현재 실행 기준으로 사용한다. 기존 실행본과 완료된 AI 레이아웃에서 시작해 재사용 가능한 앱 기능을 먼저 PC 메뉴·화면·실제 API에 연결한다. 불필요한 검증 환경 작업은 중단하고 기존 구현은 보존한다. 필요한 최소 확인 후 같은 작업에서 구현·빌드를 이어가며, 앱 이식 통합본을 우선 전달하고 레거시·Billing·AI 기능을 계속 완성한다.</w:t>
      </w:r>
    </w:p>
    <w:p>
      <w:pPr>
        <w:pStyle w:val="Heading2"/>
      </w:pPr>
      <w:r>
        <w:t>5 기준 자료와 적용 한계</w:t>
      </w:r>
    </w:p>
    <w:p>
      <w:r>
        <w:t>기준 자료는 2026년 10월 15일 OFFICE V1 전체개발 고정계획서 V1.0 및 인수인계 개발헌법, 10월 17일 사용자 확정 지시와 완료보고다. 본 문서는 진행 기준이며 실제 코드·배포 상태를 인증하는 완료보고가 아니다. 차량·배차·Navigation·Kiosk 등 기존 Future는 이번 변경만으로 선개발하지 않으며 별도 최신 승인 작업은 독립 유지한다.</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SWIMNOTE OFFICE V1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CJK KR" w:hAnsi="Noto Sans CJK KR" w:eastAsia="Noto Sans CJK KR"/>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eastAsia="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KR" w:hAnsi="Noto Sans CJK KR" w:eastAsia="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KR" w:hAnsi="Noto Sans CJK KR" w:eastAsia="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KR" w:hAnsi="Noto Sans CJK KR" w:eastAsia="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KR" w:hAnsi="Noto Sans CJK KR" w:eastAsia="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KR" w:hAnsi="Noto Sans CJK KR" w:eastAsia="Noto Sans CJK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eastAsia="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r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CJK KR" w:hAnsi="Noto Sans CJK KR" w:eastAsia="Noto Sans CJK K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CJK KR" w:hAnsi="Noto Sans CJK KR" w:eastAsia="Noto Sans CJK K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CJK KR" w:hAnsi="Noto Sans CJK KR" w:eastAsia="Noto Sans CJK KR"/>
    </w:rPr>
  </w:style>
  <w:style w:type="paragraph" w:styleId="List2">
    <w:name w:val="List 2"/>
    <w:basedOn w:val="Normal"/>
    <w:uiPriority w:val="99"/>
    <w:unhideWhenUsed/>
    <w:rsid w:val="00326F90"/>
    <w:pPr>
      <w:ind w:left="720" w:hanging="360"/>
      <w:contextualSpacing/>
    </w:pPr>
    <w:rPr>
      <w:rFonts w:ascii="Noto Sans CJK KR" w:hAnsi="Noto Sans CJK KR" w:eastAsia="Noto Sans CJK KR"/>
    </w:rPr>
  </w:style>
  <w:style w:type="paragraph" w:styleId="List3">
    <w:name w:val="List 3"/>
    <w:basedOn w:val="Normal"/>
    <w:uiPriority w:val="99"/>
    <w:unhideWhenUsed/>
    <w:rsid w:val="00326F90"/>
    <w:pPr>
      <w:ind w:left="1080" w:hanging="360"/>
      <w:contextualSpacing/>
    </w:pPr>
    <w:rPr>
      <w:rFonts w:ascii="Noto Sans CJK KR" w:hAnsi="Noto Sans CJK KR" w:eastAsia="Noto Sans CJK KR"/>
    </w:r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rPr>
      <w:rFonts w:ascii="Noto Sans CJK KR" w:hAnsi="Noto Sans CJK KR" w:eastAsia="Noto Sans CJK KR"/>
    </w:r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rPr>
  </w:style>
  <w:style w:type="paragraph" w:styleId="ListNumber3">
    <w:name w:val="List Number 3"/>
    <w:basedOn w:val="Normal"/>
    <w:uiPriority w:val="99"/>
    <w:unhideWhenUsed/>
    <w:rsid w:val="0029639D"/>
    <w:pPr>
      <w:numPr>
        <w:numId w:val="7"/>
      </w:numPr>
      <w:contextualSpacing/>
    </w:pPr>
    <w:rPr>
      <w:rFonts w:ascii="Noto Sans CJK KR" w:hAnsi="Noto Sans CJK KR" w:eastAsia="Noto Sans CJK KR"/>
    </w:rPr>
  </w:style>
  <w:style w:type="paragraph" w:styleId="ListContinue">
    <w:name w:val="List Continue"/>
    <w:basedOn w:val="Normal"/>
    <w:uiPriority w:val="99"/>
    <w:unhideWhenUsed/>
    <w:rsid w:val="0029639D"/>
    <w:pPr>
      <w:spacing w:after="120"/>
      <w:ind w:left="360"/>
      <w:contextualSpacing/>
    </w:pPr>
    <w:rPr>
      <w:rFonts w:ascii="Noto Sans CJK KR" w:hAnsi="Noto Sans CJK KR" w:eastAsia="Noto Sans CJK KR"/>
    </w:rPr>
  </w:style>
  <w:style w:type="paragraph" w:styleId="ListContinue2">
    <w:name w:val="List Continue 2"/>
    <w:basedOn w:val="Normal"/>
    <w:uiPriority w:val="99"/>
    <w:unhideWhenUsed/>
    <w:rsid w:val="0029639D"/>
    <w:pPr>
      <w:spacing w:after="120"/>
      <w:ind w:left="720"/>
      <w:contextualSpacing/>
    </w:pPr>
    <w:rPr>
      <w:rFonts w:ascii="Noto Sans CJK KR" w:hAnsi="Noto Sans CJK KR" w:eastAsia="Noto Sans CJK KR"/>
    </w:rPr>
  </w:style>
  <w:style w:type="paragraph" w:styleId="ListContinue3">
    <w:name w:val="List Continue 3"/>
    <w:basedOn w:val="Normal"/>
    <w:uiPriority w:val="99"/>
    <w:unhideWhenUsed/>
    <w:rsid w:val="0029639D"/>
    <w:pPr>
      <w:spacing w:after="120"/>
      <w:ind w:left="1080"/>
      <w:contextualSpacing/>
    </w:pPr>
    <w:rPr>
      <w:rFonts w:ascii="Noto Sans CJK KR" w:hAnsi="Noto Sans CJK KR" w:eastAsia="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KR" w:hAnsi="Noto Sans CJK KR" w:eastAsia="Noto Sans CJK K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KR" w:hAnsi="Noto Sans CJK KR" w:eastAsia="Noto Sans CJK K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KR" w:hAnsi="Noto Sans CJK KR" w:eastAsia="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