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spacing w:after="120" w:before="200"/>
      </w:pPr>
      <w:r>
        <w:t xml:space="preserve">Advanced Punctuation Challenge — Answers and Explanations</w:t>
      </w:r>
    </w:p>
    <w:p>
      <w:pPr>
        <w:keepNext w:val="false"/>
        <w:keepLines/>
        <w:spacing w:after="140"/>
      </w:pPr>
      <w:r>
        <w:t xml:space="preserve">Each explanation identifies the sentence structure, gives a shortened structural example, and explains every distractor. Structural examples deliberately omit modifiers to expose the grammar; they are not additional answer choices.</w:t>
      </w:r>
    </w:p>
    <w:p>
      <w:pPr>
        <w:pStyle w:val="Heading2"/>
        <w:keepNext/>
        <w:spacing w:after="120" w:before="200"/>
      </w:pPr>
      <w:r>
        <w:t xml:space="preserve">Answer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000"/>
        <w:gridCol w:w="7260"/>
      </w:tblGrid>
      <w:tr>
        <w:trPr>
          <w:cantSplit/>
          <w:tblHeader/>
        </w:trPr>
        <w:tc>
          <w:tcPr>
            <w:tcW w:type="dxa" w:w="1100"/>
            <w:shd w:fill="EAF0F5" w:val="clear"/>
            <w:tcMar>
              <w:top w:type="dxa" w:w="80"/>
              <w:left w:type="dxa" w:w="100"/>
              <w:bottom w:type="dxa" w:w="80"/>
              <w:right w:type="dxa" w:w="100"/>
            </w:tcMar>
          </w:tcPr>
          <w:p>
            <w:pPr>
              <w:spacing w:after="0"/>
              <w:rPr>
                <w:sz w:val="19"/>
                <w:szCs w:val="19"/>
              </w:rPr>
            </w:pPr>
            <w:r>
              <w:t xml:space="preserve">Question</w:t>
            </w:r>
          </w:p>
        </w:tc>
        <w:tc>
          <w:tcPr>
            <w:tcW w:type="dxa" w:w="1000"/>
            <w:shd w:fill="EAF0F5" w:val="clear"/>
            <w:tcMar>
              <w:top w:type="dxa" w:w="80"/>
              <w:left w:type="dxa" w:w="100"/>
              <w:bottom w:type="dxa" w:w="80"/>
              <w:right w:type="dxa" w:w="100"/>
            </w:tcMar>
          </w:tcPr>
          <w:p>
            <w:pPr>
              <w:spacing w:after="0"/>
              <w:rPr>
                <w:sz w:val="19"/>
                <w:szCs w:val="19"/>
              </w:rPr>
            </w:pPr>
            <w:r>
              <w:t xml:space="preserve">Answer</w:t>
            </w:r>
          </w:p>
        </w:tc>
        <w:tc>
          <w:tcPr>
            <w:tcW w:type="dxa" w:w="7260"/>
            <w:shd w:fill="EAF0F5" w:val="clear"/>
            <w:tcMar>
              <w:top w:type="dxa" w:w="80"/>
              <w:left w:type="dxa" w:w="100"/>
              <w:bottom w:type="dxa" w:w="80"/>
              <w:right w:type="dxa" w:w="100"/>
            </w:tcMar>
          </w:tcPr>
          <w:p>
            <w:pPr>
              <w:spacing w:after="0"/>
              <w:rPr>
                <w:sz w:val="19"/>
                <w:szCs w:val="19"/>
              </w:rPr>
            </w:pPr>
            <w:r>
              <w:t xml:space="preserve">Concept</w:t>
            </w:r>
          </w:p>
        </w:tc>
      </w:tr>
      <w:tr>
        <w:trPr>
          <w:cantSplit/>
          <w:tblHeader w:val="false"/>
        </w:trPr>
        <w:tc>
          <w:tcPr>
            <w:tcW w:type="dxa" w:w="1100"/>
            <w:tcMar>
              <w:top w:type="dxa" w:w="80"/>
              <w:left w:type="dxa" w:w="100"/>
              <w:bottom w:type="dxa" w:w="80"/>
              <w:right w:type="dxa" w:w="100"/>
            </w:tcMar>
          </w:tcPr>
          <w:p>
            <w:pPr>
              <w:spacing w:after="0"/>
              <w:rPr>
                <w:sz w:val="19"/>
                <w:szCs w:val="19"/>
              </w:rPr>
            </w:pPr>
            <w:r>
              <w:t xml:space="preserve">1</w:t>
            </w:r>
          </w:p>
        </w:tc>
        <w:tc>
          <w:tcPr>
            <w:tcW w:type="dxa" w:w="1000"/>
            <w:tcMar>
              <w:top w:type="dxa" w:w="80"/>
              <w:left w:type="dxa" w:w="100"/>
              <w:bottom w:type="dxa" w:w="80"/>
              <w:right w:type="dxa" w:w="100"/>
            </w:tcMar>
          </w:tcPr>
          <w:p>
            <w:pPr>
              <w:spacing w:after="0"/>
              <w:rPr>
                <w:sz w:val="19"/>
                <w:szCs w:val="19"/>
              </w:rPr>
            </w:pPr>
            <w:r>
              <w:t xml:space="preserve">C</w:t>
            </w:r>
          </w:p>
        </w:tc>
        <w:tc>
          <w:tcPr>
            <w:tcW w:type="dxa" w:w="7260"/>
            <w:tcMar>
              <w:top w:type="dxa" w:w="80"/>
              <w:left w:type="dxa" w:w="100"/>
              <w:bottom w:type="dxa" w:w="80"/>
              <w:right w:type="dxa" w:w="100"/>
            </w:tcMar>
          </w:tcPr>
          <w:p>
            <w:pPr>
              <w:spacing w:after="0"/>
              <w:rPr>
                <w:sz w:val="19"/>
                <w:szCs w:val="19"/>
              </w:rPr>
            </w:pPr>
            <w:r>
              <w:t xml:space="preserve">Colon after a sentence-final transition</w:t>
            </w:r>
          </w:p>
        </w:tc>
      </w:tr>
      <w:tr>
        <w:trPr>
          <w:cantSplit/>
          <w:tblHeader w:val="false"/>
        </w:trPr>
        <w:tc>
          <w:tcPr>
            <w:tcW w:type="dxa" w:w="1100"/>
            <w:tcMar>
              <w:top w:type="dxa" w:w="80"/>
              <w:left w:type="dxa" w:w="100"/>
              <w:bottom w:type="dxa" w:w="80"/>
              <w:right w:type="dxa" w:w="100"/>
            </w:tcMar>
          </w:tcPr>
          <w:p>
            <w:pPr>
              <w:spacing w:after="0"/>
              <w:rPr>
                <w:sz w:val="19"/>
                <w:szCs w:val="19"/>
              </w:rPr>
            </w:pPr>
            <w:r>
              <w:t xml:space="preserve">2</w:t>
            </w:r>
          </w:p>
        </w:tc>
        <w:tc>
          <w:tcPr>
            <w:tcW w:type="dxa" w:w="1000"/>
            <w:tcMar>
              <w:top w:type="dxa" w:w="80"/>
              <w:left w:type="dxa" w:w="100"/>
              <w:bottom w:type="dxa" w:w="80"/>
              <w:right w:type="dxa" w:w="100"/>
            </w:tcMar>
          </w:tcPr>
          <w:p>
            <w:pPr>
              <w:spacing w:after="0"/>
              <w:rPr>
                <w:sz w:val="19"/>
                <w:szCs w:val="19"/>
              </w:rPr>
            </w:pPr>
            <w:r>
              <w:t xml:space="preserve">A</w:t>
            </w:r>
          </w:p>
        </w:tc>
        <w:tc>
          <w:tcPr>
            <w:tcW w:type="dxa" w:w="7260"/>
            <w:tcMar>
              <w:top w:type="dxa" w:w="80"/>
              <w:left w:type="dxa" w:w="100"/>
              <w:bottom w:type="dxa" w:w="80"/>
              <w:right w:type="dxa" w:w="100"/>
            </w:tcMar>
          </w:tcPr>
          <w:p>
            <w:pPr>
              <w:spacing w:after="0"/>
              <w:rPr>
                <w:sz w:val="19"/>
                <w:szCs w:val="19"/>
              </w:rPr>
            </w:pPr>
            <w:r>
              <w:t xml:space="preserve">Noun clause as a long subject</w:t>
            </w:r>
          </w:p>
        </w:tc>
      </w:tr>
      <w:tr>
        <w:trPr>
          <w:cantSplit/>
          <w:tblHeader w:val="false"/>
        </w:trPr>
        <w:tc>
          <w:tcPr>
            <w:tcW w:type="dxa" w:w="1100"/>
            <w:tcMar>
              <w:top w:type="dxa" w:w="80"/>
              <w:left w:type="dxa" w:w="100"/>
              <w:bottom w:type="dxa" w:w="80"/>
              <w:right w:type="dxa" w:w="100"/>
            </w:tcMar>
          </w:tcPr>
          <w:p>
            <w:pPr>
              <w:spacing w:after="0"/>
              <w:rPr>
                <w:sz w:val="19"/>
                <w:szCs w:val="19"/>
              </w:rPr>
            </w:pPr>
            <w:r>
              <w:t xml:space="preserve">3</w:t>
            </w:r>
          </w:p>
        </w:tc>
        <w:tc>
          <w:tcPr>
            <w:tcW w:type="dxa" w:w="1000"/>
            <w:tcMar>
              <w:top w:type="dxa" w:w="80"/>
              <w:left w:type="dxa" w:w="100"/>
              <w:bottom w:type="dxa" w:w="80"/>
              <w:right w:type="dxa" w:w="100"/>
            </w:tcMar>
          </w:tcPr>
          <w:p>
            <w:pPr>
              <w:spacing w:after="0"/>
              <w:rPr>
                <w:sz w:val="19"/>
                <w:szCs w:val="19"/>
              </w:rPr>
            </w:pPr>
            <w:r>
              <w:t xml:space="preserve">D</w:t>
            </w:r>
          </w:p>
        </w:tc>
        <w:tc>
          <w:tcPr>
            <w:tcW w:type="dxa" w:w="7260"/>
            <w:tcMar>
              <w:top w:type="dxa" w:w="80"/>
              <w:left w:type="dxa" w:w="100"/>
              <w:bottom w:type="dxa" w:w="80"/>
              <w:right w:type="dxa" w:w="100"/>
            </w:tcMar>
          </w:tcPr>
          <w:p>
            <w:pPr>
              <w:spacing w:after="0"/>
              <w:rPr>
                <w:sz w:val="19"/>
                <w:szCs w:val="19"/>
              </w:rPr>
            </w:pPr>
            <w:r>
              <w:t xml:space="preserve">Semicolons in a list with internal commas</w:t>
            </w:r>
          </w:p>
        </w:tc>
      </w:tr>
      <w:tr>
        <w:trPr>
          <w:cantSplit/>
          <w:tblHeader w:val="false"/>
        </w:trPr>
        <w:tc>
          <w:tcPr>
            <w:tcW w:type="dxa" w:w="1100"/>
            <w:tcMar>
              <w:top w:type="dxa" w:w="80"/>
              <w:left w:type="dxa" w:w="100"/>
              <w:bottom w:type="dxa" w:w="80"/>
              <w:right w:type="dxa" w:w="100"/>
            </w:tcMar>
          </w:tcPr>
          <w:p>
            <w:pPr>
              <w:spacing w:after="0"/>
              <w:rPr>
                <w:sz w:val="19"/>
                <w:szCs w:val="19"/>
              </w:rPr>
            </w:pPr>
            <w:r>
              <w:t xml:space="preserve">4</w:t>
            </w:r>
          </w:p>
        </w:tc>
        <w:tc>
          <w:tcPr>
            <w:tcW w:type="dxa" w:w="1000"/>
            <w:tcMar>
              <w:top w:type="dxa" w:w="80"/>
              <w:left w:type="dxa" w:w="100"/>
              <w:bottom w:type="dxa" w:w="80"/>
              <w:right w:type="dxa" w:w="100"/>
            </w:tcMar>
          </w:tcPr>
          <w:p>
            <w:pPr>
              <w:spacing w:after="0"/>
              <w:rPr>
                <w:sz w:val="19"/>
                <w:szCs w:val="19"/>
              </w:rPr>
            </w:pPr>
            <w:r>
              <w:t xml:space="preserve">B</w:t>
            </w:r>
          </w:p>
        </w:tc>
        <w:tc>
          <w:tcPr>
            <w:tcW w:type="dxa" w:w="7260"/>
            <w:tcMar>
              <w:top w:type="dxa" w:w="80"/>
              <w:left w:type="dxa" w:w="100"/>
              <w:bottom w:type="dxa" w:w="80"/>
              <w:right w:type="dxa" w:w="100"/>
            </w:tcMar>
          </w:tcPr>
          <w:p>
            <w:pPr>
              <w:spacing w:after="0"/>
              <w:rPr>
                <w:sz w:val="19"/>
                <w:szCs w:val="19"/>
              </w:rPr>
            </w:pPr>
            <w:r>
              <w:t xml:space="preserve">Paired dashes around an embedded conditional</w:t>
            </w:r>
          </w:p>
        </w:tc>
      </w:tr>
      <w:tr>
        <w:trPr>
          <w:cantSplit/>
          <w:tblHeader w:val="false"/>
        </w:trPr>
        <w:tc>
          <w:tcPr>
            <w:tcW w:type="dxa" w:w="1100"/>
            <w:tcMar>
              <w:top w:type="dxa" w:w="80"/>
              <w:left w:type="dxa" w:w="100"/>
              <w:bottom w:type="dxa" w:w="80"/>
              <w:right w:type="dxa" w:w="100"/>
            </w:tcMar>
          </w:tcPr>
          <w:p>
            <w:pPr>
              <w:spacing w:after="0"/>
              <w:rPr>
                <w:sz w:val="19"/>
                <w:szCs w:val="19"/>
              </w:rPr>
            </w:pPr>
            <w:r>
              <w:t xml:space="preserve">5</w:t>
            </w:r>
          </w:p>
        </w:tc>
        <w:tc>
          <w:tcPr>
            <w:tcW w:type="dxa" w:w="1000"/>
            <w:tcMar>
              <w:top w:type="dxa" w:w="80"/>
              <w:left w:type="dxa" w:w="100"/>
              <w:bottom w:type="dxa" w:w="80"/>
              <w:right w:type="dxa" w:w="100"/>
            </w:tcMar>
          </w:tcPr>
          <w:p>
            <w:pPr>
              <w:spacing w:after="0"/>
              <w:rPr>
                <w:sz w:val="19"/>
                <w:szCs w:val="19"/>
              </w:rPr>
            </w:pPr>
            <w:r>
              <w:t xml:space="preserve">A</w:t>
            </w:r>
          </w:p>
        </w:tc>
        <w:tc>
          <w:tcPr>
            <w:tcW w:type="dxa" w:w="7260"/>
            <w:tcMar>
              <w:top w:type="dxa" w:w="80"/>
              <w:left w:type="dxa" w:w="100"/>
              <w:bottom w:type="dxa" w:w="80"/>
              <w:right w:type="dxa" w:w="100"/>
            </w:tcMar>
          </w:tcPr>
          <w:p>
            <w:pPr>
              <w:spacing w:after="0"/>
              <w:rPr>
                <w:sz w:val="19"/>
                <w:szCs w:val="19"/>
              </w:rPr>
            </w:pPr>
            <w:r>
              <w:t xml:space="preserve">Transition at the end of a long introductory phrase</w:t>
            </w:r>
          </w:p>
        </w:tc>
      </w:tr>
      <w:tr>
        <w:trPr>
          <w:cantSplit/>
          <w:tblHeader w:val="false"/>
        </w:trPr>
        <w:tc>
          <w:tcPr>
            <w:tcW w:type="dxa" w:w="1100"/>
            <w:tcMar>
              <w:top w:type="dxa" w:w="80"/>
              <w:left w:type="dxa" w:w="100"/>
              <w:bottom w:type="dxa" w:w="80"/>
              <w:right w:type="dxa" w:w="100"/>
            </w:tcMar>
          </w:tcPr>
          <w:p>
            <w:pPr>
              <w:spacing w:after="0"/>
              <w:rPr>
                <w:sz w:val="19"/>
                <w:szCs w:val="19"/>
              </w:rPr>
            </w:pPr>
            <w:r>
              <w:t xml:space="preserve">6</w:t>
            </w:r>
          </w:p>
        </w:tc>
        <w:tc>
          <w:tcPr>
            <w:tcW w:type="dxa" w:w="1000"/>
            <w:tcMar>
              <w:top w:type="dxa" w:w="80"/>
              <w:left w:type="dxa" w:w="100"/>
              <w:bottom w:type="dxa" w:w="80"/>
              <w:right w:type="dxa" w:w="100"/>
            </w:tcMar>
          </w:tcPr>
          <w:p>
            <w:pPr>
              <w:spacing w:after="0"/>
              <w:rPr>
                <w:sz w:val="19"/>
                <w:szCs w:val="19"/>
              </w:rPr>
            </w:pPr>
            <w:r>
              <w:t xml:space="preserve">C</w:t>
            </w:r>
          </w:p>
        </w:tc>
        <w:tc>
          <w:tcPr>
            <w:tcW w:type="dxa" w:w="7260"/>
            <w:tcMar>
              <w:top w:type="dxa" w:w="80"/>
              <w:left w:type="dxa" w:w="100"/>
              <w:bottom w:type="dxa" w:w="80"/>
              <w:right w:type="dxa" w:w="100"/>
            </w:tcMar>
          </w:tcPr>
          <w:p>
            <w:pPr>
              <w:spacing w:after="0"/>
              <w:rPr>
                <w:sz w:val="19"/>
                <w:szCs w:val="19"/>
              </w:rPr>
            </w:pPr>
            <w:r>
              <w:t xml:space="preserve">Restrictive relative clause inside a subject</w:t>
            </w:r>
          </w:p>
        </w:tc>
      </w:tr>
      <w:tr>
        <w:trPr>
          <w:cantSplit/>
          <w:tblHeader w:val="false"/>
        </w:trPr>
        <w:tc>
          <w:tcPr>
            <w:tcW w:type="dxa" w:w="1100"/>
            <w:tcMar>
              <w:top w:type="dxa" w:w="80"/>
              <w:left w:type="dxa" w:w="100"/>
              <w:bottom w:type="dxa" w:w="80"/>
              <w:right w:type="dxa" w:w="100"/>
            </w:tcMar>
          </w:tcPr>
          <w:p>
            <w:pPr>
              <w:spacing w:after="0"/>
              <w:rPr>
                <w:sz w:val="19"/>
                <w:szCs w:val="19"/>
              </w:rPr>
            </w:pPr>
            <w:r>
              <w:t xml:space="preserve">7</w:t>
            </w:r>
          </w:p>
        </w:tc>
        <w:tc>
          <w:tcPr>
            <w:tcW w:type="dxa" w:w="1000"/>
            <w:tcMar>
              <w:top w:type="dxa" w:w="80"/>
              <w:left w:type="dxa" w:w="100"/>
              <w:bottom w:type="dxa" w:w="80"/>
              <w:right w:type="dxa" w:w="100"/>
            </w:tcMar>
          </w:tcPr>
          <w:p>
            <w:pPr>
              <w:spacing w:after="0"/>
              <w:rPr>
                <w:sz w:val="19"/>
                <w:szCs w:val="19"/>
              </w:rPr>
            </w:pPr>
            <w:r>
              <w:t xml:space="preserve">B</w:t>
            </w:r>
          </w:p>
        </w:tc>
        <w:tc>
          <w:tcPr>
            <w:tcW w:type="dxa" w:w="7260"/>
            <w:tcMar>
              <w:top w:type="dxa" w:w="80"/>
              <w:left w:type="dxa" w:w="100"/>
              <w:bottom w:type="dxa" w:w="80"/>
              <w:right w:type="dxa" w:w="100"/>
            </w:tcMar>
          </w:tcPr>
          <w:p>
            <w:pPr>
              <w:spacing w:after="0"/>
              <w:rPr>
                <w:sz w:val="19"/>
                <w:szCs w:val="19"/>
              </w:rPr>
            </w:pPr>
            <w:r>
              <w:t xml:space="preserve">Extended appositive containing a relative clause</w:t>
            </w:r>
          </w:p>
        </w:tc>
      </w:tr>
      <w:tr>
        <w:trPr>
          <w:cantSplit/>
          <w:tblHeader w:val="false"/>
        </w:trPr>
        <w:tc>
          <w:tcPr>
            <w:tcW w:type="dxa" w:w="1100"/>
            <w:tcMar>
              <w:top w:type="dxa" w:w="80"/>
              <w:left w:type="dxa" w:w="100"/>
              <w:bottom w:type="dxa" w:w="80"/>
              <w:right w:type="dxa" w:w="100"/>
            </w:tcMar>
          </w:tcPr>
          <w:p>
            <w:pPr>
              <w:spacing w:after="0"/>
              <w:rPr>
                <w:sz w:val="19"/>
                <w:szCs w:val="19"/>
              </w:rPr>
            </w:pPr>
            <w:r>
              <w:t xml:space="preserve">8</w:t>
            </w:r>
          </w:p>
        </w:tc>
        <w:tc>
          <w:tcPr>
            <w:tcW w:type="dxa" w:w="1000"/>
            <w:tcMar>
              <w:top w:type="dxa" w:w="80"/>
              <w:left w:type="dxa" w:w="100"/>
              <w:bottom w:type="dxa" w:w="80"/>
              <w:right w:type="dxa" w:w="100"/>
            </w:tcMar>
          </w:tcPr>
          <w:p>
            <w:pPr>
              <w:spacing w:after="0"/>
              <w:rPr>
                <w:sz w:val="19"/>
                <w:szCs w:val="19"/>
              </w:rPr>
            </w:pPr>
            <w:r>
              <w:t xml:space="preserve">D</w:t>
            </w:r>
          </w:p>
        </w:tc>
        <w:tc>
          <w:tcPr>
            <w:tcW w:type="dxa" w:w="7260"/>
            <w:tcMar>
              <w:top w:type="dxa" w:w="80"/>
              <w:left w:type="dxa" w:w="100"/>
              <w:bottom w:type="dxa" w:w="80"/>
              <w:right w:type="dxa" w:w="100"/>
            </w:tcMar>
          </w:tcPr>
          <w:p>
            <w:pPr>
              <w:spacing w:after="0"/>
              <w:rPr>
                <w:sz w:val="19"/>
                <w:szCs w:val="19"/>
              </w:rPr>
            </w:pPr>
            <w:r>
              <w:t xml:space="preserve">Boundary before an introductory phrase and transition</w:t>
            </w:r>
          </w:p>
        </w:tc>
      </w:tr>
      <w:tr>
        <w:trPr>
          <w:cantSplit/>
          <w:tblHeader w:val="false"/>
        </w:trPr>
        <w:tc>
          <w:tcPr>
            <w:tcW w:type="dxa" w:w="1100"/>
            <w:tcMar>
              <w:top w:type="dxa" w:w="80"/>
              <w:left w:type="dxa" w:w="100"/>
              <w:bottom w:type="dxa" w:w="80"/>
              <w:right w:type="dxa" w:w="100"/>
            </w:tcMar>
          </w:tcPr>
          <w:p>
            <w:pPr>
              <w:spacing w:after="0"/>
              <w:rPr>
                <w:sz w:val="19"/>
                <w:szCs w:val="19"/>
              </w:rPr>
            </w:pPr>
            <w:r>
              <w:t xml:space="preserve">9</w:t>
            </w:r>
          </w:p>
        </w:tc>
        <w:tc>
          <w:tcPr>
            <w:tcW w:type="dxa" w:w="1000"/>
            <w:tcMar>
              <w:top w:type="dxa" w:w="80"/>
              <w:left w:type="dxa" w:w="100"/>
              <w:bottom w:type="dxa" w:w="80"/>
              <w:right w:type="dxa" w:w="100"/>
            </w:tcMar>
          </w:tcPr>
          <w:p>
            <w:pPr>
              <w:spacing w:after="0"/>
              <w:rPr>
                <w:sz w:val="19"/>
                <w:szCs w:val="19"/>
              </w:rPr>
            </w:pPr>
            <w:r>
              <w:t xml:space="preserve">C</w:t>
            </w:r>
          </w:p>
        </w:tc>
        <w:tc>
          <w:tcPr>
            <w:tcW w:type="dxa" w:w="7260"/>
            <w:tcMar>
              <w:top w:type="dxa" w:w="80"/>
              <w:left w:type="dxa" w:w="100"/>
              <w:bottom w:type="dxa" w:w="80"/>
              <w:right w:type="dxa" w:w="100"/>
            </w:tcMar>
          </w:tcPr>
          <w:p>
            <w:pPr>
              <w:spacing w:after="0"/>
              <w:rPr>
                <w:sz w:val="19"/>
                <w:szCs w:val="19"/>
              </w:rPr>
            </w:pPr>
            <w:r>
              <w:t xml:space="preserve">Colon before a sentence with an introductory dependent clause</w:t>
            </w:r>
          </w:p>
        </w:tc>
      </w:tr>
      <w:tr>
        <w:trPr>
          <w:cantSplit/>
          <w:tblHeader w:val="false"/>
        </w:trPr>
        <w:tc>
          <w:tcPr>
            <w:tcW w:type="dxa" w:w="1100"/>
            <w:tcMar>
              <w:top w:type="dxa" w:w="80"/>
              <w:left w:type="dxa" w:w="100"/>
              <w:bottom w:type="dxa" w:w="80"/>
              <w:right w:type="dxa" w:w="100"/>
            </w:tcMar>
          </w:tcPr>
          <w:p>
            <w:pPr>
              <w:spacing w:after="0"/>
              <w:rPr>
                <w:sz w:val="19"/>
                <w:szCs w:val="19"/>
              </w:rPr>
            </w:pPr>
            <w:r>
              <w:t xml:space="preserve">10</w:t>
            </w:r>
          </w:p>
        </w:tc>
        <w:tc>
          <w:tcPr>
            <w:tcW w:type="dxa" w:w="1000"/>
            <w:tcMar>
              <w:top w:type="dxa" w:w="80"/>
              <w:left w:type="dxa" w:w="100"/>
              <w:bottom w:type="dxa" w:w="80"/>
              <w:right w:type="dxa" w:w="100"/>
            </w:tcMar>
          </w:tcPr>
          <w:p>
            <w:pPr>
              <w:spacing w:after="0"/>
              <w:rPr>
                <w:sz w:val="19"/>
                <w:szCs w:val="19"/>
              </w:rPr>
            </w:pPr>
            <w:r>
              <w:t xml:space="preserve">B</w:t>
            </w:r>
          </w:p>
        </w:tc>
        <w:tc>
          <w:tcPr>
            <w:tcW w:type="dxa" w:w="7260"/>
            <w:tcMar>
              <w:top w:type="dxa" w:w="80"/>
              <w:left w:type="dxa" w:w="100"/>
              <w:bottom w:type="dxa" w:w="80"/>
              <w:right w:type="dxa" w:w="100"/>
            </w:tcMar>
          </w:tcPr>
          <w:p>
            <w:pPr>
              <w:spacing w:after="0"/>
              <w:rPr>
                <w:sz w:val="19"/>
                <w:szCs w:val="19"/>
              </w:rPr>
            </w:pPr>
            <w:r>
              <w:t xml:space="preserve">No punctuation inside an integrated relative construction</w:t>
            </w:r>
          </w:p>
        </w:tc>
      </w:tr>
      <w:tr>
        <w:trPr>
          <w:cantSplit/>
          <w:tblHeader w:val="false"/>
        </w:trPr>
        <w:tc>
          <w:tcPr>
            <w:tcW w:type="dxa" w:w="1100"/>
            <w:tcMar>
              <w:top w:type="dxa" w:w="80"/>
              <w:left w:type="dxa" w:w="100"/>
              <w:bottom w:type="dxa" w:w="80"/>
              <w:right w:type="dxa" w:w="100"/>
            </w:tcMar>
          </w:tcPr>
          <w:p>
            <w:pPr>
              <w:spacing w:after="0"/>
              <w:rPr>
                <w:sz w:val="19"/>
                <w:szCs w:val="19"/>
              </w:rPr>
            </w:pPr>
            <w:r>
              <w:t xml:space="preserve">11</w:t>
            </w:r>
          </w:p>
        </w:tc>
        <w:tc>
          <w:tcPr>
            <w:tcW w:type="dxa" w:w="1000"/>
            <w:tcMar>
              <w:top w:type="dxa" w:w="80"/>
              <w:left w:type="dxa" w:w="100"/>
              <w:bottom w:type="dxa" w:w="80"/>
              <w:right w:type="dxa" w:w="100"/>
            </w:tcMar>
          </w:tcPr>
          <w:p>
            <w:pPr>
              <w:spacing w:after="0"/>
              <w:rPr>
                <w:sz w:val="19"/>
                <w:szCs w:val="19"/>
              </w:rPr>
            </w:pPr>
            <w:r>
              <w:t xml:space="preserve">D</w:t>
            </w:r>
          </w:p>
        </w:tc>
        <w:tc>
          <w:tcPr>
            <w:tcW w:type="dxa" w:w="7260"/>
            <w:tcMar>
              <w:top w:type="dxa" w:w="80"/>
              <w:left w:type="dxa" w:w="100"/>
              <w:bottom w:type="dxa" w:w="80"/>
              <w:right w:type="dxa" w:w="100"/>
            </w:tcMar>
          </w:tcPr>
          <w:p>
            <w:pPr>
              <w:spacing w:after="0"/>
              <w:rPr>
                <w:sz w:val="19"/>
                <w:szCs w:val="19"/>
              </w:rPr>
            </w:pPr>
            <w:r>
              <w:t xml:space="preserve">Dash-delimited appositive containing a comma list</w:t>
            </w:r>
          </w:p>
        </w:tc>
      </w:tr>
      <w:tr>
        <w:trPr>
          <w:cantSplit/>
          <w:tblHeader w:val="false"/>
        </w:trPr>
        <w:tc>
          <w:tcPr>
            <w:tcW w:type="dxa" w:w="1100"/>
            <w:tcMar>
              <w:top w:type="dxa" w:w="80"/>
              <w:left w:type="dxa" w:w="100"/>
              <w:bottom w:type="dxa" w:w="80"/>
              <w:right w:type="dxa" w:w="100"/>
            </w:tcMar>
          </w:tcPr>
          <w:p>
            <w:pPr>
              <w:spacing w:after="0"/>
              <w:rPr>
                <w:sz w:val="19"/>
                <w:szCs w:val="19"/>
              </w:rPr>
            </w:pPr>
            <w:r>
              <w:t xml:space="preserve">12</w:t>
            </w:r>
          </w:p>
        </w:tc>
        <w:tc>
          <w:tcPr>
            <w:tcW w:type="dxa" w:w="1000"/>
            <w:tcMar>
              <w:top w:type="dxa" w:w="80"/>
              <w:left w:type="dxa" w:w="100"/>
              <w:bottom w:type="dxa" w:w="80"/>
              <w:right w:type="dxa" w:w="100"/>
            </w:tcMar>
          </w:tcPr>
          <w:p>
            <w:pPr>
              <w:spacing w:after="0"/>
              <w:rPr>
                <w:sz w:val="19"/>
                <w:szCs w:val="19"/>
              </w:rPr>
            </w:pPr>
            <w:r>
              <w:t xml:space="preserve">A</w:t>
            </w:r>
          </w:p>
        </w:tc>
        <w:tc>
          <w:tcPr>
            <w:tcW w:type="dxa" w:w="7260"/>
            <w:tcMar>
              <w:top w:type="dxa" w:w="80"/>
              <w:left w:type="dxa" w:w="100"/>
              <w:bottom w:type="dxa" w:w="80"/>
              <w:right w:type="dxa" w:w="100"/>
            </w:tcMar>
          </w:tcPr>
          <w:p>
            <w:pPr>
              <w:spacing w:after="0"/>
              <w:rPr>
                <w:sz w:val="19"/>
                <w:szCs w:val="19"/>
              </w:rPr>
            </w:pPr>
            <w:r>
              <w:t xml:space="preserve">Main verb after multiple embedded clauses</w:t>
            </w:r>
          </w:p>
        </w:tc>
      </w:tr>
      <w:tr>
        <w:trPr>
          <w:cantSplit/>
          <w:tblHeader w:val="false"/>
        </w:trPr>
        <w:tc>
          <w:tcPr>
            <w:tcW w:type="dxa" w:w="1100"/>
            <w:tcMar>
              <w:top w:type="dxa" w:w="80"/>
              <w:left w:type="dxa" w:w="100"/>
              <w:bottom w:type="dxa" w:w="80"/>
              <w:right w:type="dxa" w:w="100"/>
            </w:tcMar>
          </w:tcPr>
          <w:p>
            <w:pPr>
              <w:spacing w:after="0"/>
              <w:rPr>
                <w:sz w:val="19"/>
                <w:szCs w:val="19"/>
              </w:rPr>
            </w:pPr>
            <w:r>
              <w:t xml:space="preserve">13</w:t>
            </w:r>
          </w:p>
        </w:tc>
        <w:tc>
          <w:tcPr>
            <w:tcW w:type="dxa" w:w="1000"/>
            <w:tcMar>
              <w:top w:type="dxa" w:w="80"/>
              <w:left w:type="dxa" w:w="100"/>
              <w:bottom w:type="dxa" w:w="80"/>
              <w:right w:type="dxa" w:w="100"/>
            </w:tcMar>
          </w:tcPr>
          <w:p>
            <w:pPr>
              <w:spacing w:after="0"/>
              <w:rPr>
                <w:sz w:val="19"/>
                <w:szCs w:val="19"/>
              </w:rPr>
            </w:pPr>
            <w:r>
              <w:t xml:space="preserve">B</w:t>
            </w:r>
          </w:p>
        </w:tc>
        <w:tc>
          <w:tcPr>
            <w:tcW w:type="dxa" w:w="7260"/>
            <w:tcMar>
              <w:top w:type="dxa" w:w="80"/>
              <w:left w:type="dxa" w:w="100"/>
              <w:bottom w:type="dxa" w:w="80"/>
              <w:right w:type="dxa" w:w="100"/>
            </w:tcMar>
          </w:tcPr>
          <w:p>
            <w:pPr>
              <w:spacing w:after="0"/>
              <w:rPr>
                <w:sz w:val="19"/>
                <w:szCs w:val="19"/>
              </w:rPr>
            </w:pPr>
            <w:r>
              <w:t xml:space="preserve">Complex list: relative clause inside the first item</w:t>
            </w:r>
          </w:p>
        </w:tc>
      </w:tr>
      <w:tr>
        <w:trPr>
          <w:cantSplit/>
          <w:tblHeader w:val="false"/>
        </w:trPr>
        <w:tc>
          <w:tcPr>
            <w:tcW w:type="dxa" w:w="1100"/>
            <w:tcMar>
              <w:top w:type="dxa" w:w="80"/>
              <w:left w:type="dxa" w:w="100"/>
              <w:bottom w:type="dxa" w:w="80"/>
              <w:right w:type="dxa" w:w="100"/>
            </w:tcMar>
          </w:tcPr>
          <w:p>
            <w:pPr>
              <w:spacing w:after="0"/>
              <w:rPr>
                <w:sz w:val="19"/>
                <w:szCs w:val="19"/>
              </w:rPr>
            </w:pPr>
            <w:r>
              <w:t xml:space="preserve">14</w:t>
            </w:r>
          </w:p>
        </w:tc>
        <w:tc>
          <w:tcPr>
            <w:tcW w:type="dxa" w:w="1000"/>
            <w:tcMar>
              <w:top w:type="dxa" w:w="80"/>
              <w:left w:type="dxa" w:w="100"/>
              <w:bottom w:type="dxa" w:w="80"/>
              <w:right w:type="dxa" w:w="100"/>
            </w:tcMar>
          </w:tcPr>
          <w:p>
            <w:pPr>
              <w:spacing w:after="0"/>
              <w:rPr>
                <w:sz w:val="19"/>
                <w:szCs w:val="19"/>
              </w:rPr>
            </w:pPr>
            <w:r>
              <w:t xml:space="preserve">D</w:t>
            </w:r>
          </w:p>
        </w:tc>
        <w:tc>
          <w:tcPr>
            <w:tcW w:type="dxa" w:w="7260"/>
            <w:tcMar>
              <w:top w:type="dxa" w:w="80"/>
              <w:left w:type="dxa" w:w="100"/>
              <w:bottom w:type="dxa" w:w="80"/>
              <w:right w:type="dxa" w:w="100"/>
            </w:tcMar>
          </w:tcPr>
          <w:p>
            <w:pPr>
              <w:spacing w:after="0"/>
              <w:rPr>
                <w:sz w:val="19"/>
                <w:szCs w:val="19"/>
              </w:rPr>
            </w:pPr>
            <w:r>
              <w:t xml:space="preserve">Supplementary noun phrase with nested clauses</w:t>
            </w:r>
          </w:p>
        </w:tc>
      </w:tr>
      <w:tr>
        <w:trPr>
          <w:cantSplit/>
          <w:tblHeader w:val="false"/>
        </w:trPr>
        <w:tc>
          <w:tcPr>
            <w:tcW w:type="dxa" w:w="1100"/>
            <w:tcMar>
              <w:top w:type="dxa" w:w="80"/>
              <w:left w:type="dxa" w:w="100"/>
              <w:bottom w:type="dxa" w:w="80"/>
              <w:right w:type="dxa" w:w="100"/>
            </w:tcMar>
          </w:tcPr>
          <w:p>
            <w:pPr>
              <w:spacing w:after="0"/>
              <w:rPr>
                <w:sz w:val="19"/>
                <w:szCs w:val="19"/>
              </w:rPr>
            </w:pPr>
            <w:r>
              <w:t xml:space="preserve">15</w:t>
            </w:r>
          </w:p>
        </w:tc>
        <w:tc>
          <w:tcPr>
            <w:tcW w:type="dxa" w:w="1000"/>
            <w:tcMar>
              <w:top w:type="dxa" w:w="80"/>
              <w:left w:type="dxa" w:w="100"/>
              <w:bottom w:type="dxa" w:w="80"/>
              <w:right w:type="dxa" w:w="100"/>
            </w:tcMar>
          </w:tcPr>
          <w:p>
            <w:pPr>
              <w:spacing w:after="0"/>
              <w:rPr>
                <w:sz w:val="19"/>
                <w:szCs w:val="19"/>
              </w:rPr>
            </w:pPr>
            <w:r>
              <w:t xml:space="preserve">A</w:t>
            </w:r>
          </w:p>
        </w:tc>
        <w:tc>
          <w:tcPr>
            <w:tcW w:type="dxa" w:w="7260"/>
            <w:tcMar>
              <w:top w:type="dxa" w:w="80"/>
              <w:left w:type="dxa" w:w="100"/>
              <w:bottom w:type="dxa" w:w="80"/>
              <w:right w:type="dxa" w:w="100"/>
            </w:tcMar>
          </w:tcPr>
          <w:p>
            <w:pPr>
              <w:spacing w:after="0"/>
              <w:rPr>
                <w:sz w:val="19"/>
                <w:szCs w:val="19"/>
              </w:rPr>
            </w:pPr>
            <w:r>
              <w:t xml:space="preserve">Sentence-final “though” versus subordinating “though”</w:t>
            </w:r>
          </w:p>
        </w:tc>
      </w:tr>
      <w:tr>
        <w:trPr>
          <w:cantSplit/>
          <w:tblHeader w:val="false"/>
        </w:trPr>
        <w:tc>
          <w:tcPr>
            <w:tcW w:type="dxa" w:w="1100"/>
            <w:tcMar>
              <w:top w:type="dxa" w:w="80"/>
              <w:left w:type="dxa" w:w="100"/>
              <w:bottom w:type="dxa" w:w="80"/>
              <w:right w:type="dxa" w:w="100"/>
            </w:tcMar>
          </w:tcPr>
          <w:p>
            <w:pPr>
              <w:spacing w:after="0"/>
              <w:rPr>
                <w:sz w:val="19"/>
                <w:szCs w:val="19"/>
              </w:rPr>
            </w:pPr>
            <w:r>
              <w:t xml:space="preserve">16</w:t>
            </w:r>
          </w:p>
        </w:tc>
        <w:tc>
          <w:tcPr>
            <w:tcW w:type="dxa" w:w="1000"/>
            <w:tcMar>
              <w:top w:type="dxa" w:w="80"/>
              <w:left w:type="dxa" w:w="100"/>
              <w:bottom w:type="dxa" w:w="80"/>
              <w:right w:type="dxa" w:w="100"/>
            </w:tcMar>
          </w:tcPr>
          <w:p>
            <w:pPr>
              <w:spacing w:after="0"/>
              <w:rPr>
                <w:sz w:val="19"/>
                <w:szCs w:val="19"/>
              </w:rPr>
            </w:pPr>
            <w:r>
              <w:t xml:space="preserve">C</w:t>
            </w:r>
          </w:p>
        </w:tc>
        <w:tc>
          <w:tcPr>
            <w:tcW w:type="dxa" w:w="7260"/>
            <w:tcMar>
              <w:top w:type="dxa" w:w="80"/>
              <w:left w:type="dxa" w:w="100"/>
              <w:bottom w:type="dxa" w:w="80"/>
              <w:right w:type="dxa" w:w="100"/>
            </w:tcMar>
          </w:tcPr>
          <w:p>
            <w:pPr>
              <w:spacing w:after="0"/>
              <w:rPr>
                <w:sz w:val="19"/>
                <w:szCs w:val="19"/>
              </w:rPr>
            </w:pPr>
            <w:r>
              <w:t xml:space="preserve">Dependent opening with a nested relative clause</w:t>
            </w:r>
          </w:p>
        </w:tc>
      </w:tr>
      <w:tr>
        <w:trPr>
          <w:cantSplit/>
          <w:tblHeader w:val="false"/>
        </w:trPr>
        <w:tc>
          <w:tcPr>
            <w:tcW w:type="dxa" w:w="1100"/>
            <w:tcMar>
              <w:top w:type="dxa" w:w="80"/>
              <w:left w:type="dxa" w:w="100"/>
              <w:bottom w:type="dxa" w:w="80"/>
              <w:right w:type="dxa" w:w="100"/>
            </w:tcMar>
          </w:tcPr>
          <w:p>
            <w:pPr>
              <w:spacing w:after="0"/>
              <w:rPr>
                <w:sz w:val="19"/>
                <w:szCs w:val="19"/>
              </w:rPr>
            </w:pPr>
            <w:r>
              <w:t xml:space="preserve">17</w:t>
            </w:r>
          </w:p>
        </w:tc>
        <w:tc>
          <w:tcPr>
            <w:tcW w:type="dxa" w:w="1000"/>
            <w:tcMar>
              <w:top w:type="dxa" w:w="80"/>
              <w:left w:type="dxa" w:w="100"/>
              <w:bottom w:type="dxa" w:w="80"/>
              <w:right w:type="dxa" w:w="100"/>
            </w:tcMar>
          </w:tcPr>
          <w:p>
            <w:pPr>
              <w:spacing w:after="0"/>
              <w:rPr>
                <w:sz w:val="19"/>
                <w:szCs w:val="19"/>
              </w:rPr>
            </w:pPr>
            <w:r>
              <w:t xml:space="preserve">D</w:t>
            </w:r>
          </w:p>
        </w:tc>
        <w:tc>
          <w:tcPr>
            <w:tcW w:type="dxa" w:w="7260"/>
            <w:tcMar>
              <w:top w:type="dxa" w:w="80"/>
              <w:left w:type="dxa" w:w="100"/>
              <w:bottom w:type="dxa" w:w="80"/>
              <w:right w:type="dxa" w:w="100"/>
            </w:tcMar>
          </w:tcPr>
          <w:p>
            <w:pPr>
              <w:spacing w:after="0"/>
              <w:rPr>
                <w:sz w:val="19"/>
                <w:szCs w:val="19"/>
              </w:rPr>
            </w:pPr>
            <w:r>
              <w:t xml:space="preserve">No colon before the objects of a preposition</w:t>
            </w:r>
          </w:p>
        </w:tc>
      </w:tr>
      <w:tr>
        <w:trPr>
          <w:cantSplit/>
          <w:tblHeader w:val="false"/>
        </w:trPr>
        <w:tc>
          <w:tcPr>
            <w:tcW w:type="dxa" w:w="1100"/>
            <w:tcMar>
              <w:top w:type="dxa" w:w="80"/>
              <w:left w:type="dxa" w:w="100"/>
              <w:bottom w:type="dxa" w:w="80"/>
              <w:right w:type="dxa" w:w="100"/>
            </w:tcMar>
          </w:tcPr>
          <w:p>
            <w:pPr>
              <w:spacing w:after="0"/>
              <w:rPr>
                <w:sz w:val="19"/>
                <w:szCs w:val="19"/>
              </w:rPr>
            </w:pPr>
            <w:r>
              <w:t xml:space="preserve">18</w:t>
            </w:r>
          </w:p>
        </w:tc>
        <w:tc>
          <w:tcPr>
            <w:tcW w:type="dxa" w:w="1000"/>
            <w:tcMar>
              <w:top w:type="dxa" w:w="80"/>
              <w:left w:type="dxa" w:w="100"/>
              <w:bottom w:type="dxa" w:w="80"/>
              <w:right w:type="dxa" w:w="100"/>
            </w:tcMar>
          </w:tcPr>
          <w:p>
            <w:pPr>
              <w:spacing w:after="0"/>
              <w:rPr>
                <w:sz w:val="19"/>
                <w:szCs w:val="19"/>
              </w:rPr>
            </w:pPr>
            <w:r>
              <w:t xml:space="preserve">C</w:t>
            </w:r>
          </w:p>
        </w:tc>
        <w:tc>
          <w:tcPr>
            <w:tcW w:type="dxa" w:w="7260"/>
            <w:tcMar>
              <w:top w:type="dxa" w:w="80"/>
              <w:left w:type="dxa" w:w="100"/>
              <w:bottom w:type="dxa" w:w="80"/>
              <w:right w:type="dxa" w:w="100"/>
            </w:tcMar>
          </w:tcPr>
          <w:p>
            <w:pPr>
              <w:spacing w:after="0"/>
              <w:rPr>
                <w:sz w:val="19"/>
                <w:szCs w:val="19"/>
              </w:rPr>
            </w:pPr>
            <w:r>
              <w:t xml:space="preserve">Sentence boundary disguised by a prepositional phrase</w:t>
            </w:r>
          </w:p>
        </w:tc>
      </w:tr>
      <w:tr>
        <w:trPr>
          <w:cantSplit/>
          <w:tblHeader w:val="false"/>
        </w:trPr>
        <w:tc>
          <w:tcPr>
            <w:tcW w:type="dxa" w:w="1100"/>
            <w:tcMar>
              <w:top w:type="dxa" w:w="80"/>
              <w:left w:type="dxa" w:w="100"/>
              <w:bottom w:type="dxa" w:w="80"/>
              <w:right w:type="dxa" w:w="100"/>
            </w:tcMar>
          </w:tcPr>
          <w:p>
            <w:pPr>
              <w:spacing w:after="0"/>
              <w:rPr>
                <w:sz w:val="19"/>
                <w:szCs w:val="19"/>
              </w:rPr>
            </w:pPr>
            <w:r>
              <w:t xml:space="preserve">19</w:t>
            </w:r>
          </w:p>
        </w:tc>
        <w:tc>
          <w:tcPr>
            <w:tcW w:type="dxa" w:w="1000"/>
            <w:tcMar>
              <w:top w:type="dxa" w:w="80"/>
              <w:left w:type="dxa" w:w="100"/>
              <w:bottom w:type="dxa" w:w="80"/>
              <w:right w:type="dxa" w:w="100"/>
            </w:tcMar>
          </w:tcPr>
          <w:p>
            <w:pPr>
              <w:spacing w:after="0"/>
              <w:rPr>
                <w:sz w:val="19"/>
                <w:szCs w:val="19"/>
              </w:rPr>
            </w:pPr>
            <w:r>
              <w:t xml:space="preserve">B</w:t>
            </w:r>
          </w:p>
        </w:tc>
        <w:tc>
          <w:tcPr>
            <w:tcW w:type="dxa" w:w="7260"/>
            <w:tcMar>
              <w:top w:type="dxa" w:w="80"/>
              <w:left w:type="dxa" w:w="100"/>
              <w:bottom w:type="dxa" w:w="80"/>
              <w:right w:type="dxa" w:w="100"/>
            </w:tcMar>
          </w:tcPr>
          <w:p>
            <w:pPr>
              <w:spacing w:after="0"/>
              <w:rPr>
                <w:sz w:val="19"/>
                <w:szCs w:val="19"/>
              </w:rPr>
            </w:pPr>
            <w:r>
              <w:t xml:space="preserve">Colon before a nonfinite explanation</w:t>
            </w:r>
          </w:p>
        </w:tc>
      </w:tr>
      <w:tr>
        <w:trPr>
          <w:cantSplit/>
          <w:tblHeader w:val="false"/>
        </w:trPr>
        <w:tc>
          <w:tcPr>
            <w:tcW w:type="dxa" w:w="1100"/>
            <w:tcMar>
              <w:top w:type="dxa" w:w="80"/>
              <w:left w:type="dxa" w:w="100"/>
              <w:bottom w:type="dxa" w:w="80"/>
              <w:right w:type="dxa" w:w="100"/>
            </w:tcMar>
          </w:tcPr>
          <w:p>
            <w:pPr>
              <w:spacing w:after="0"/>
              <w:rPr>
                <w:sz w:val="19"/>
                <w:szCs w:val="19"/>
              </w:rPr>
            </w:pPr>
            <w:r>
              <w:t xml:space="preserve">20</w:t>
            </w:r>
          </w:p>
        </w:tc>
        <w:tc>
          <w:tcPr>
            <w:tcW w:type="dxa" w:w="1000"/>
            <w:tcMar>
              <w:top w:type="dxa" w:w="80"/>
              <w:left w:type="dxa" w:w="100"/>
              <w:bottom w:type="dxa" w:w="80"/>
              <w:right w:type="dxa" w:w="100"/>
            </w:tcMar>
          </w:tcPr>
          <w:p>
            <w:pPr>
              <w:spacing w:after="0"/>
              <w:rPr>
                <w:sz w:val="19"/>
                <w:szCs w:val="19"/>
              </w:rPr>
            </w:pPr>
            <w:r>
              <w:t xml:space="preserve">A</w:t>
            </w:r>
          </w:p>
        </w:tc>
        <w:tc>
          <w:tcPr>
            <w:tcW w:type="dxa" w:w="7260"/>
            <w:tcMar>
              <w:top w:type="dxa" w:w="80"/>
              <w:left w:type="dxa" w:w="100"/>
              <w:bottom w:type="dxa" w:w="80"/>
              <w:right w:type="dxa" w:w="100"/>
            </w:tcMar>
          </w:tcPr>
          <w:p>
            <w:pPr>
              <w:spacing w:after="0"/>
              <w:rPr>
                <w:sz w:val="19"/>
                <w:szCs w:val="19"/>
              </w:rPr>
            </w:pPr>
            <w:r>
              <w:t xml:space="preserve">Title and identifying name inside a long subject</w:t>
            </w:r>
          </w:p>
        </w:tc>
      </w:tr>
      <w:tr>
        <w:trPr>
          <w:cantSplit/>
          <w:tblHeader w:val="false"/>
        </w:trPr>
        <w:tc>
          <w:tcPr>
            <w:tcW w:type="dxa" w:w="1100"/>
            <w:tcMar>
              <w:top w:type="dxa" w:w="80"/>
              <w:left w:type="dxa" w:w="100"/>
              <w:bottom w:type="dxa" w:w="80"/>
              <w:right w:type="dxa" w:w="100"/>
            </w:tcMar>
          </w:tcPr>
          <w:p>
            <w:pPr>
              <w:spacing w:after="0"/>
              <w:rPr>
                <w:sz w:val="19"/>
                <w:szCs w:val="19"/>
              </w:rPr>
            </w:pPr>
            <w:r>
              <w:t xml:space="preserve">21</w:t>
            </w:r>
          </w:p>
        </w:tc>
        <w:tc>
          <w:tcPr>
            <w:tcW w:type="dxa" w:w="1000"/>
            <w:tcMar>
              <w:top w:type="dxa" w:w="80"/>
              <w:left w:type="dxa" w:w="100"/>
              <w:bottom w:type="dxa" w:w="80"/>
              <w:right w:type="dxa" w:w="100"/>
            </w:tcMar>
          </w:tcPr>
          <w:p>
            <w:pPr>
              <w:spacing w:after="0"/>
              <w:rPr>
                <w:sz w:val="19"/>
                <w:szCs w:val="19"/>
              </w:rPr>
            </w:pPr>
            <w:r>
              <w:t xml:space="preserve">C</w:t>
            </w:r>
          </w:p>
        </w:tc>
        <w:tc>
          <w:tcPr>
            <w:tcW w:type="dxa" w:w="7260"/>
            <w:tcMar>
              <w:top w:type="dxa" w:w="80"/>
              <w:left w:type="dxa" w:w="100"/>
              <w:bottom w:type="dxa" w:w="80"/>
              <w:right w:type="dxa" w:w="100"/>
            </w:tcMar>
          </w:tcPr>
          <w:p>
            <w:pPr>
              <w:spacing w:after="0"/>
              <w:rPr>
                <w:sz w:val="19"/>
                <w:szCs w:val="19"/>
              </w:rPr>
            </w:pPr>
            <w:r>
              <w:t xml:space="preserve">Conjunctive adverb after a clause boundary</w:t>
            </w:r>
          </w:p>
        </w:tc>
      </w:tr>
      <w:tr>
        <w:trPr>
          <w:cantSplit/>
          <w:tblHeader w:val="false"/>
        </w:trPr>
        <w:tc>
          <w:tcPr>
            <w:tcW w:type="dxa" w:w="1100"/>
            <w:tcMar>
              <w:top w:type="dxa" w:w="80"/>
              <w:left w:type="dxa" w:w="100"/>
              <w:bottom w:type="dxa" w:w="80"/>
              <w:right w:type="dxa" w:w="100"/>
            </w:tcMar>
          </w:tcPr>
          <w:p>
            <w:pPr>
              <w:spacing w:after="0"/>
              <w:rPr>
                <w:sz w:val="19"/>
                <w:szCs w:val="19"/>
              </w:rPr>
            </w:pPr>
            <w:r>
              <w:t xml:space="preserve">22</w:t>
            </w:r>
          </w:p>
        </w:tc>
        <w:tc>
          <w:tcPr>
            <w:tcW w:type="dxa" w:w="1000"/>
            <w:tcMar>
              <w:top w:type="dxa" w:w="80"/>
              <w:left w:type="dxa" w:w="100"/>
              <w:bottom w:type="dxa" w:w="80"/>
              <w:right w:type="dxa" w:w="100"/>
            </w:tcMar>
          </w:tcPr>
          <w:p>
            <w:pPr>
              <w:spacing w:after="0"/>
              <w:rPr>
                <w:sz w:val="19"/>
                <w:szCs w:val="19"/>
              </w:rPr>
            </w:pPr>
            <w:r>
              <w:t xml:space="preserve">A</w:t>
            </w:r>
          </w:p>
        </w:tc>
        <w:tc>
          <w:tcPr>
            <w:tcW w:type="dxa" w:w="7260"/>
            <w:tcMar>
              <w:top w:type="dxa" w:w="80"/>
              <w:left w:type="dxa" w:w="100"/>
              <w:bottom w:type="dxa" w:w="80"/>
              <w:right w:type="dxa" w:w="100"/>
            </w:tcMar>
          </w:tcPr>
          <w:p>
            <w:pPr>
              <w:spacing w:after="0"/>
              <w:rPr>
                <w:sz w:val="19"/>
                <w:szCs w:val="19"/>
              </w:rPr>
            </w:pPr>
            <w:r>
              <w:t xml:space="preserve">Paired dashes inside an object–complement construction</w:t>
            </w:r>
          </w:p>
        </w:tc>
      </w:tr>
      <w:tr>
        <w:trPr>
          <w:cantSplit/>
          <w:tblHeader w:val="false"/>
        </w:trPr>
        <w:tc>
          <w:tcPr>
            <w:tcW w:type="dxa" w:w="1100"/>
            <w:tcMar>
              <w:top w:type="dxa" w:w="80"/>
              <w:left w:type="dxa" w:w="100"/>
              <w:bottom w:type="dxa" w:w="80"/>
              <w:right w:type="dxa" w:w="100"/>
            </w:tcMar>
          </w:tcPr>
          <w:p>
            <w:pPr>
              <w:spacing w:after="0"/>
              <w:rPr>
                <w:sz w:val="19"/>
                <w:szCs w:val="19"/>
              </w:rPr>
            </w:pPr>
            <w:r>
              <w:t xml:space="preserve">23</w:t>
            </w:r>
          </w:p>
        </w:tc>
        <w:tc>
          <w:tcPr>
            <w:tcW w:type="dxa" w:w="1000"/>
            <w:tcMar>
              <w:top w:type="dxa" w:w="80"/>
              <w:left w:type="dxa" w:w="100"/>
              <w:bottom w:type="dxa" w:w="80"/>
              <w:right w:type="dxa" w:w="100"/>
            </w:tcMar>
          </w:tcPr>
          <w:p>
            <w:pPr>
              <w:spacing w:after="0"/>
              <w:rPr>
                <w:sz w:val="19"/>
                <w:szCs w:val="19"/>
              </w:rPr>
            </w:pPr>
            <w:r>
              <w:t xml:space="preserve">D</w:t>
            </w:r>
          </w:p>
        </w:tc>
        <w:tc>
          <w:tcPr>
            <w:tcW w:type="dxa" w:w="7260"/>
            <w:tcMar>
              <w:top w:type="dxa" w:w="80"/>
              <w:left w:type="dxa" w:w="100"/>
              <w:bottom w:type="dxa" w:w="80"/>
              <w:right w:type="dxa" w:w="100"/>
            </w:tcMar>
          </w:tcPr>
          <w:p>
            <w:pPr>
              <w:spacing w:after="0"/>
              <w:rPr>
                <w:sz w:val="19"/>
                <w:szCs w:val="19"/>
              </w:rPr>
            </w:pPr>
            <w:r>
              <w:t xml:space="preserve">Indirect question followed by a declarative clause</w:t>
            </w:r>
          </w:p>
        </w:tc>
      </w:tr>
      <w:tr>
        <w:trPr>
          <w:cantSplit/>
          <w:tblHeader w:val="false"/>
        </w:trPr>
        <w:tc>
          <w:tcPr>
            <w:tcW w:type="dxa" w:w="1100"/>
            <w:tcMar>
              <w:top w:type="dxa" w:w="80"/>
              <w:left w:type="dxa" w:w="100"/>
              <w:bottom w:type="dxa" w:w="80"/>
              <w:right w:type="dxa" w:w="100"/>
            </w:tcMar>
          </w:tcPr>
          <w:p>
            <w:pPr>
              <w:spacing w:after="0"/>
              <w:rPr>
                <w:sz w:val="19"/>
                <w:szCs w:val="19"/>
              </w:rPr>
            </w:pPr>
            <w:r>
              <w:t xml:space="preserve">24</w:t>
            </w:r>
          </w:p>
        </w:tc>
        <w:tc>
          <w:tcPr>
            <w:tcW w:type="dxa" w:w="1000"/>
            <w:tcMar>
              <w:top w:type="dxa" w:w="80"/>
              <w:left w:type="dxa" w:w="100"/>
              <w:bottom w:type="dxa" w:w="80"/>
              <w:right w:type="dxa" w:w="100"/>
            </w:tcMar>
          </w:tcPr>
          <w:p>
            <w:pPr>
              <w:spacing w:after="0"/>
              <w:rPr>
                <w:sz w:val="19"/>
                <w:szCs w:val="19"/>
              </w:rPr>
            </w:pPr>
            <w:r>
              <w:t xml:space="preserve">B</w:t>
            </w:r>
          </w:p>
        </w:tc>
        <w:tc>
          <w:tcPr>
            <w:tcW w:type="dxa" w:w="7260"/>
            <w:tcMar>
              <w:top w:type="dxa" w:w="80"/>
              <w:left w:type="dxa" w:w="100"/>
              <w:bottom w:type="dxa" w:w="80"/>
              <w:right w:type="dxa" w:w="100"/>
            </w:tcMar>
          </w:tcPr>
          <w:p>
            <w:pPr>
              <w:spacing w:after="0"/>
              <w:rPr>
                <w:sz w:val="19"/>
                <w:szCs w:val="19"/>
              </w:rPr>
            </w:pPr>
            <w:r>
              <w:t xml:space="preserve">Colon before an explanation containing an appositive</w:t>
            </w:r>
          </w:p>
        </w:tc>
      </w:tr>
      <w:tr>
        <w:trPr>
          <w:cantSplit/>
          <w:tblHeader w:val="false"/>
        </w:trPr>
        <w:tc>
          <w:tcPr>
            <w:tcW w:type="dxa" w:w="1100"/>
            <w:tcMar>
              <w:top w:type="dxa" w:w="80"/>
              <w:left w:type="dxa" w:w="100"/>
              <w:bottom w:type="dxa" w:w="80"/>
              <w:right w:type="dxa" w:w="100"/>
            </w:tcMar>
          </w:tcPr>
          <w:p>
            <w:pPr>
              <w:spacing w:after="0"/>
              <w:rPr>
                <w:sz w:val="19"/>
                <w:szCs w:val="19"/>
              </w:rPr>
            </w:pPr>
            <w:r>
              <w:t xml:space="preserve">25</w:t>
            </w:r>
          </w:p>
        </w:tc>
        <w:tc>
          <w:tcPr>
            <w:tcW w:type="dxa" w:w="1000"/>
            <w:tcMar>
              <w:top w:type="dxa" w:w="80"/>
              <w:left w:type="dxa" w:w="100"/>
              <w:bottom w:type="dxa" w:w="80"/>
              <w:right w:type="dxa" w:w="100"/>
            </w:tcMar>
          </w:tcPr>
          <w:p>
            <w:pPr>
              <w:spacing w:after="0"/>
              <w:rPr>
                <w:sz w:val="19"/>
                <w:szCs w:val="19"/>
              </w:rPr>
            </w:pPr>
            <w:r>
              <w:t xml:space="preserve">A</w:t>
            </w:r>
          </w:p>
        </w:tc>
        <w:tc>
          <w:tcPr>
            <w:tcW w:type="dxa" w:w="7260"/>
            <w:tcMar>
              <w:top w:type="dxa" w:w="80"/>
              <w:left w:type="dxa" w:w="100"/>
              <w:bottom w:type="dxa" w:w="80"/>
              <w:right w:type="dxa" w:w="100"/>
            </w:tcMar>
          </w:tcPr>
          <w:p>
            <w:pPr>
              <w:spacing w:after="0"/>
              <w:rPr>
                <w:sz w:val="19"/>
                <w:szCs w:val="19"/>
              </w:rPr>
            </w:pPr>
            <w:r>
              <w:t xml:space="preserve">Closing a relative clause before a compound predicate</w:t>
            </w:r>
          </w:p>
        </w:tc>
      </w:tr>
      <w:tr>
        <w:trPr>
          <w:cantSplit/>
          <w:tblHeader w:val="false"/>
        </w:trPr>
        <w:tc>
          <w:tcPr>
            <w:tcW w:type="dxa" w:w="1100"/>
            <w:tcMar>
              <w:top w:type="dxa" w:w="80"/>
              <w:left w:type="dxa" w:w="100"/>
              <w:bottom w:type="dxa" w:w="80"/>
              <w:right w:type="dxa" w:w="100"/>
            </w:tcMar>
          </w:tcPr>
          <w:p>
            <w:pPr>
              <w:spacing w:after="0"/>
              <w:rPr>
                <w:sz w:val="19"/>
                <w:szCs w:val="19"/>
              </w:rPr>
            </w:pPr>
            <w:r>
              <w:t xml:space="preserve">26</w:t>
            </w:r>
          </w:p>
        </w:tc>
        <w:tc>
          <w:tcPr>
            <w:tcW w:type="dxa" w:w="1000"/>
            <w:tcMar>
              <w:top w:type="dxa" w:w="80"/>
              <w:left w:type="dxa" w:w="100"/>
              <w:bottom w:type="dxa" w:w="80"/>
              <w:right w:type="dxa" w:w="100"/>
            </w:tcMar>
          </w:tcPr>
          <w:p>
            <w:pPr>
              <w:spacing w:after="0"/>
              <w:rPr>
                <w:sz w:val="19"/>
                <w:szCs w:val="19"/>
              </w:rPr>
            </w:pPr>
            <w:r>
              <w:t xml:space="preserve">D</w:t>
            </w:r>
          </w:p>
        </w:tc>
        <w:tc>
          <w:tcPr>
            <w:tcW w:type="dxa" w:w="7260"/>
            <w:tcMar>
              <w:top w:type="dxa" w:w="80"/>
              <w:left w:type="dxa" w:w="100"/>
              <w:bottom w:type="dxa" w:w="80"/>
              <w:right w:type="dxa" w:w="100"/>
            </w:tcMar>
          </w:tcPr>
          <w:p>
            <w:pPr>
              <w:spacing w:after="0"/>
              <w:rPr>
                <w:sz w:val="19"/>
                <w:szCs w:val="19"/>
              </w:rPr>
            </w:pPr>
            <w:r>
              <w:t xml:space="preserve">Parallel items after a colon; semicolon list boundaries</w:t>
            </w:r>
          </w:p>
        </w:tc>
      </w:tr>
      <w:tr>
        <w:trPr>
          <w:cantSplit/>
          <w:tblHeader w:val="false"/>
        </w:trPr>
        <w:tc>
          <w:tcPr>
            <w:tcW w:type="dxa" w:w="1100"/>
            <w:tcMar>
              <w:top w:type="dxa" w:w="80"/>
              <w:left w:type="dxa" w:w="100"/>
              <w:bottom w:type="dxa" w:w="80"/>
              <w:right w:type="dxa" w:w="100"/>
            </w:tcMar>
          </w:tcPr>
          <w:p>
            <w:pPr>
              <w:spacing w:after="0"/>
              <w:rPr>
                <w:sz w:val="19"/>
                <w:szCs w:val="19"/>
              </w:rPr>
            </w:pPr>
            <w:r>
              <w:t xml:space="preserve">27</w:t>
            </w:r>
          </w:p>
        </w:tc>
        <w:tc>
          <w:tcPr>
            <w:tcW w:type="dxa" w:w="1000"/>
            <w:tcMar>
              <w:top w:type="dxa" w:w="80"/>
              <w:left w:type="dxa" w:w="100"/>
              <w:bottom w:type="dxa" w:w="80"/>
              <w:right w:type="dxa" w:w="100"/>
            </w:tcMar>
          </w:tcPr>
          <w:p>
            <w:pPr>
              <w:spacing w:after="0"/>
              <w:rPr>
                <w:sz w:val="19"/>
                <w:szCs w:val="19"/>
              </w:rPr>
            </w:pPr>
            <w:r>
              <w:t xml:space="preserve">B</w:t>
            </w:r>
          </w:p>
        </w:tc>
        <w:tc>
          <w:tcPr>
            <w:tcW w:type="dxa" w:w="7260"/>
            <w:tcMar>
              <w:top w:type="dxa" w:w="80"/>
              <w:left w:type="dxa" w:w="100"/>
              <w:bottom w:type="dxa" w:w="80"/>
              <w:right w:type="dxa" w:w="100"/>
            </w:tcMar>
          </w:tcPr>
          <w:p>
            <w:pPr>
              <w:spacing w:after="0"/>
              <w:rPr>
                <w:sz w:val="19"/>
                <w:szCs w:val="19"/>
              </w:rPr>
            </w:pPr>
            <w:r>
              <w:t xml:space="preserve">Appositive with a deeply embedded relative clause</w:t>
            </w:r>
          </w:p>
        </w:tc>
      </w:tr>
      <w:tr>
        <w:trPr>
          <w:cantSplit/>
          <w:tblHeader w:val="false"/>
        </w:trPr>
        <w:tc>
          <w:tcPr>
            <w:tcW w:type="dxa" w:w="1100"/>
            <w:tcMar>
              <w:top w:type="dxa" w:w="80"/>
              <w:left w:type="dxa" w:w="100"/>
              <w:bottom w:type="dxa" w:w="80"/>
              <w:right w:type="dxa" w:w="100"/>
            </w:tcMar>
          </w:tcPr>
          <w:p>
            <w:pPr>
              <w:spacing w:after="0"/>
              <w:rPr>
                <w:sz w:val="19"/>
                <w:szCs w:val="19"/>
              </w:rPr>
            </w:pPr>
            <w:r>
              <w:t xml:space="preserve">28</w:t>
            </w:r>
          </w:p>
        </w:tc>
        <w:tc>
          <w:tcPr>
            <w:tcW w:type="dxa" w:w="1000"/>
            <w:tcMar>
              <w:top w:type="dxa" w:w="80"/>
              <w:left w:type="dxa" w:w="100"/>
              <w:bottom w:type="dxa" w:w="80"/>
              <w:right w:type="dxa" w:w="100"/>
            </w:tcMar>
          </w:tcPr>
          <w:p>
            <w:pPr>
              <w:spacing w:after="0"/>
              <w:rPr>
                <w:sz w:val="19"/>
                <w:szCs w:val="19"/>
              </w:rPr>
            </w:pPr>
            <w:r>
              <w:t xml:space="preserve">C</w:t>
            </w:r>
          </w:p>
        </w:tc>
        <w:tc>
          <w:tcPr>
            <w:tcW w:type="dxa" w:w="7260"/>
            <w:tcMar>
              <w:top w:type="dxa" w:w="80"/>
              <w:left w:type="dxa" w:w="100"/>
              <w:bottom w:type="dxa" w:w="80"/>
              <w:right w:type="dxa" w:w="100"/>
            </w:tcMar>
          </w:tcPr>
          <w:p>
            <w:pPr>
              <w:spacing w:after="0"/>
              <w:rPr>
                <w:sz w:val="19"/>
                <w:szCs w:val="19"/>
              </w:rPr>
            </w:pPr>
            <w:r>
              <w:t xml:space="preserve">Colon after a complex sentence, not after a dependent clause</w:t>
            </w:r>
          </w:p>
        </w:tc>
      </w:tr>
    </w:tbl>
    <w:p>
      <w:pPr>
        <w:spacing w:after="80"/>
      </w:pPr>
    </w:p>
    <w:p>
      <w:pPr>
        <w:pStyle w:val="Heading2"/>
        <w:keepNext/>
        <w:spacing w:after="120" w:before="200"/>
      </w:pPr>
      <w:r>
        <w:t xml:space="preserve">1. C — site, however:</w:t>
      </w:r>
    </w:p>
    <w:p>
      <w:pPr>
        <w:keepNext w:val="false"/>
        <w:keepLines/>
        <w:spacing w:after="140"/>
      </w:pPr>
      <w:r>
        <w:t xml:space="preserve">The colon introduces the two objections promised by the complete clause. “However” is a parenthetical transition at the end of that clause; the preceding comma belongs to the transition, while the colon introduces the list.</w:t>
      </w:r>
    </w:p>
    <w:p>
      <w:pPr>
        <w:keepNext w:val="false"/>
        <w:keepLines/>
        <w:spacing w:after="140"/>
      </w:pPr>
      <w:r>
        <w:rPr>
          <w:b/>
          <w:bCs/>
        </w:rPr>
        <w:t xml:space="preserve">Structure:</w:t>
      </w:r>
      <w:r>
        <w:t xml:space="preserve"> Only two objections concerned the site: its distance and the vibration.</w:t>
      </w:r>
    </w:p>
    <w:p>
      <w:pPr>
        <w:keepNext w:val="false"/>
        <w:keepLines/>
        <w:spacing w:after="140"/>
      </w:pPr>
      <w:r>
        <w:rPr>
          <w:b/>
          <w:bCs/>
        </w:rPr>
        <w:t xml:space="preserve">A.</w:t>
      </w:r>
      <w:r>
        <w:t xml:space="preserve"> A semicolon cannot introduce these two noun phrases as though they formed an independent clause.</w:t>
      </w:r>
    </w:p>
    <w:p>
      <w:pPr>
        <w:keepNext w:val="false"/>
        <w:keepLines/>
        <w:spacing w:after="140"/>
      </w:pPr>
      <w:r>
        <w:rPr>
          <w:b/>
          <w:bCs/>
        </w:rPr>
        <w:t xml:space="preserve">B.</w:t>
      </w:r>
      <w:r>
        <w:t xml:space="preserve"> The semicolon ends the clause too soon; the material after it is a transition followed by a list, with no main verb.</w:t>
      </w:r>
    </w:p>
    <w:p>
      <w:pPr>
        <w:keepNext w:val="false"/>
        <w:keepLines/>
        <w:spacing w:after="140"/>
      </w:pPr>
      <w:r>
        <w:rPr>
          <w:b/>
          <w:bCs/>
        </w:rPr>
        <w:t xml:space="preserve">D.</w:t>
      </w:r>
      <w:r>
        <w:t xml:space="preserve"> This supplies neither the punctuation around the transition nor the boundary introducing the explanatory list.</w:t>
      </w:r>
    </w:p>
    <w:p>
      <w:pPr>
        <w:pStyle w:val="Heading2"/>
        <w:keepNext/>
        <w:spacing w:after="120" w:before="200"/>
      </w:pPr>
      <w:r>
        <w:t xml:space="preserve">2. A — discovered</w:t>
      </w:r>
    </w:p>
    <w:p>
      <w:pPr>
        <w:keepNext w:val="false"/>
        <w:keepLines/>
        <w:spacing w:after="140"/>
      </w:pPr>
      <w:r>
        <w:t xml:space="preserve">The entire clause beginning “That” is the subject of “does not establish.” Its length and its internal verbs do not turn the end of that subject into a sentence boundary.</w:t>
      </w:r>
    </w:p>
    <w:p>
      <w:pPr>
        <w:keepNext w:val="false"/>
        <w:keepLines/>
        <w:spacing w:after="140"/>
      </w:pPr>
      <w:r>
        <w:rPr>
          <w:b/>
          <w:bCs/>
        </w:rPr>
        <w:t xml:space="preserve">Structure:</w:t>
      </w:r>
      <w:r>
        <w:t xml:space="preserve"> That the fragments were found elsewhere does not establish a different origin.</w:t>
      </w:r>
    </w:p>
    <w:p>
      <w:pPr>
        <w:keepNext w:val="false"/>
        <w:keepLines/>
        <w:spacing w:after="140"/>
      </w:pPr>
      <w:r>
        <w:rPr>
          <w:b/>
          <w:bCs/>
        </w:rPr>
        <w:t xml:space="preserve">B.</w:t>
      </w:r>
      <w:r>
        <w:t xml:space="preserve"> The comma separates a subject clause from its predicate.</w:t>
      </w:r>
    </w:p>
    <w:p>
      <w:pPr>
        <w:keepNext w:val="false"/>
        <w:keepLines/>
        <w:spacing w:after="140"/>
      </w:pPr>
      <w:r>
        <w:rPr>
          <w:b/>
          <w:bCs/>
        </w:rPr>
        <w:t xml:space="preserve">C.</w:t>
      </w:r>
      <w:r>
        <w:t xml:space="preserve"> The material before the semicolon is a subject clause, not an independent sentence.</w:t>
      </w:r>
    </w:p>
    <w:p>
      <w:pPr>
        <w:keepNext w:val="false"/>
        <w:keepLines/>
        <w:spacing w:after="140"/>
      </w:pPr>
      <w:r>
        <w:rPr>
          <w:b/>
          <w:bCs/>
        </w:rPr>
        <w:t xml:space="preserve">D.</w:t>
      </w:r>
      <w:r>
        <w:t xml:space="preserve"> A colon cannot separate this subject from “does not establish.”</w:t>
      </w:r>
    </w:p>
    <w:p>
      <w:pPr>
        <w:pStyle w:val="Heading2"/>
        <w:keepNext/>
        <w:spacing w:after="120" w:before="200"/>
      </w:pPr>
      <w:r>
        <w:t xml:space="preserve">3. D — displayed; wooden</w:t>
      </w:r>
    </w:p>
    <w:p>
      <w:pPr>
        <w:keepNext w:val="false"/>
        <w:keepLines/>
        <w:spacing w:after="140"/>
      </w:pPr>
      <w:r>
        <w:t xml:space="preserve">Semicolons separate the three major list items: sketches, models, and photographs. The comma before “most of which” is internal to the first item; the blank must close that whole item before the second begins.</w:t>
      </w:r>
    </w:p>
    <w:p>
      <w:pPr>
        <w:keepNext w:val="false"/>
        <w:keepLines/>
        <w:spacing w:after="140"/>
      </w:pPr>
      <w:r>
        <w:rPr>
          <w:b/>
          <w:bCs/>
        </w:rPr>
        <w:t xml:space="preserve">Structure:</w:t>
      </w:r>
      <w:r>
        <w:t xml:space="preserve"> The exhibit would bring together sketches, most never displayed; wooden models; and photographs.</w:t>
      </w:r>
    </w:p>
    <w:p>
      <w:pPr>
        <w:keepNext w:val="false"/>
        <w:keepLines/>
        <w:spacing w:after="140"/>
      </w:pPr>
      <w:r>
        <w:rPr>
          <w:b/>
          <w:bCs/>
        </w:rPr>
        <w:t xml:space="preserve">A.</w:t>
      </w:r>
      <w:r>
        <w:t xml:space="preserve"> A comma blurs the major list boundary after the first item’s internal comma and fails to match the semicolon separating the next two items.</w:t>
      </w:r>
    </w:p>
    <w:p>
      <w:pPr>
        <w:keepNext w:val="false"/>
        <w:keepLines/>
        <w:spacing w:after="140"/>
      </w:pPr>
      <w:r>
        <w:rPr>
          <w:b/>
          <w:bCs/>
        </w:rPr>
        <w:t xml:space="preserve">B.</w:t>
      </w:r>
      <w:r>
        <w:t xml:space="preserve"> A colon makes the models appear to elaborate on the sketches, although the sentence presents three coordinated objects.</w:t>
      </w:r>
    </w:p>
    <w:p>
      <w:pPr>
        <w:keepNext w:val="false"/>
        <w:keepLines/>
        <w:spacing w:after="140"/>
      </w:pPr>
      <w:r>
        <w:rPr>
          <w:b/>
          <w:bCs/>
        </w:rPr>
        <w:t xml:space="preserve">C.</w:t>
      </w:r>
      <w:r>
        <w:t xml:space="preserve"> A period strands “wooden models …; and photographs …” without a main verb.</w:t>
      </w:r>
    </w:p>
    <w:p>
      <w:pPr>
        <w:pStyle w:val="Heading2"/>
        <w:keepNext/>
        <w:spacing w:after="120" w:before="200"/>
      </w:pPr>
      <w:r>
        <w:t xml:space="preserve">4. B — towns—the</w:t>
      </w:r>
    </w:p>
    <w:p>
      <w:pPr>
        <w:keepNext w:val="false"/>
        <w:keepLines/>
        <w:spacing w:after="140"/>
      </w:pPr>
      <w:r>
        <w:t xml:space="preserve">The interruption opens with an em dash after “that” and closes with an em dash before the subject “the apparent decline.” The dependent “if” clause belongs entirely inside that interruption.</w:t>
      </w:r>
    </w:p>
    <w:p>
      <w:pPr>
        <w:keepNext w:val="false"/>
        <w:keepLines/>
        <w:spacing w:after="140"/>
      </w:pPr>
      <w:r>
        <w:rPr>
          <w:b/>
          <w:bCs/>
        </w:rPr>
        <w:t xml:space="preserve">Structure:</w:t>
      </w:r>
      <w:r>
        <w:t xml:space="preserve"> The survey suggests that the apparent decline may prove to be an artifact.</w:t>
      </w:r>
    </w:p>
    <w:p>
      <w:pPr>
        <w:keepNext w:val="false"/>
        <w:keepLines/>
        <w:spacing w:after="140"/>
      </w:pPr>
      <w:r>
        <w:rPr>
          <w:b/>
          <w:bCs/>
        </w:rPr>
        <w:t xml:space="preserve">A.</w:t>
      </w:r>
      <w:r>
        <w:t xml:space="preserve"> A comma does not close the em-dash-delimited interruption.</w:t>
      </w:r>
    </w:p>
    <w:p>
      <w:pPr>
        <w:keepNext w:val="false"/>
        <w:keepLines/>
        <w:spacing w:after="140"/>
      </w:pPr>
      <w:r>
        <w:rPr>
          <w:b/>
          <w:bCs/>
        </w:rPr>
        <w:t xml:space="preserve">C.</w:t>
      </w:r>
      <w:r>
        <w:t xml:space="preserve"> A semicolon neither closes the interruption nor joins independent clauses here.</w:t>
      </w:r>
    </w:p>
    <w:p>
      <w:pPr>
        <w:keepNext w:val="false"/>
        <w:keepLines/>
        <w:spacing w:after="140"/>
      </w:pPr>
      <w:r>
        <w:rPr>
          <w:b/>
          <w:bCs/>
        </w:rPr>
        <w:t xml:space="preserve">D.</w:t>
      </w:r>
      <w:r>
        <w:t xml:space="preserve"> The opening em dash remains unmatched, obscuring the resumption of the main construction.</w:t>
      </w:r>
    </w:p>
    <w:p>
      <w:pPr>
        <w:pStyle w:val="Heading2"/>
        <w:keepNext/>
        <w:spacing w:after="120" w:before="200"/>
      </w:pPr>
      <w:r>
        <w:t xml:space="preserve">5. A — volume, however,</w:t>
      </w:r>
    </w:p>
    <w:p>
      <w:pPr>
        <w:keepNext w:val="false"/>
        <w:keepLines/>
        <w:spacing w:after="140"/>
      </w:pPr>
      <w:r>
        <w:t xml:space="preserve">The infinitive phrase beginning “To determine” is introductory, not independent. The parenthetical “however” occurs where that introduction meets the main clause; commas separate it from the surrounding construction.</w:t>
      </w:r>
    </w:p>
    <w:p>
      <w:pPr>
        <w:keepNext w:val="false"/>
        <w:keepLines/>
        <w:spacing w:after="140"/>
      </w:pPr>
      <w:r>
        <w:rPr>
          <w:b/>
          <w:bCs/>
        </w:rPr>
        <w:t xml:space="preserve">Structure:</w:t>
      </w:r>
      <w:r>
        <w:t xml:space="preserve"> To determine the origin of the differences, however, the researchers had to compare the evidence.</w:t>
      </w:r>
    </w:p>
    <w:p>
      <w:pPr>
        <w:keepNext w:val="false"/>
        <w:keepLines/>
        <w:spacing w:after="140"/>
      </w:pPr>
      <w:r>
        <w:rPr>
          <w:b/>
          <w:bCs/>
        </w:rPr>
        <w:t xml:space="preserve">B.</w:t>
      </w:r>
      <w:r>
        <w:t xml:space="preserve"> A semicolon cannot follow this introductory infinitive phrase.</w:t>
      </w:r>
    </w:p>
    <w:p>
      <w:pPr>
        <w:keepNext w:val="false"/>
        <w:keepLines/>
        <w:spacing w:after="140"/>
      </w:pPr>
      <w:r>
        <w:rPr>
          <w:b/>
          <w:bCs/>
        </w:rPr>
        <w:t xml:space="preserve">C.</w:t>
      </w:r>
      <w:r>
        <w:t xml:space="preserve"> The material through “however” still lacks a main clause, so the semicolon is invalid.</w:t>
      </w:r>
    </w:p>
    <w:p>
      <w:pPr>
        <w:keepNext w:val="false"/>
        <w:keepLines/>
        <w:spacing w:after="140"/>
      </w:pPr>
      <w:r>
        <w:rPr>
          <w:b/>
          <w:bCs/>
        </w:rPr>
        <w:t xml:space="preserve">D.</w:t>
      </w:r>
      <w:r>
        <w:t xml:space="preserve"> The transition lacks the preceding comma that separates it from the introductory phrase.</w:t>
      </w:r>
    </w:p>
    <w:p>
      <w:pPr>
        <w:pStyle w:val="Heading2"/>
        <w:keepNext/>
        <w:spacing w:after="120" w:before="200"/>
      </w:pPr>
      <w:r>
        <w:t xml:space="preserve">6. C — were removed</w:t>
      </w:r>
    </w:p>
    <w:p>
      <w:pPr>
        <w:keepNext w:val="false"/>
        <w:keepLines/>
        <w:spacing w:after="140"/>
      </w:pPr>
      <w:r>
        <w:t xml:space="preserve">“That were removed” is an integrated relative clause identifying a subset of the tiles. The relative pronoun and its verb form a unit, and no punctuation belongs between them or after that identifying clause before the main verb.</w:t>
      </w:r>
    </w:p>
    <w:p>
      <w:pPr>
        <w:keepNext w:val="false"/>
        <w:keepLines/>
        <w:spacing w:after="140"/>
      </w:pPr>
      <w:r>
        <w:rPr>
          <w:b/>
          <w:bCs/>
        </w:rPr>
        <w:t xml:space="preserve">Structure:</w:t>
      </w:r>
      <w:r>
        <w:t xml:space="preserve"> The tiles that were removed were stored separately.</w:t>
      </w:r>
    </w:p>
    <w:p>
      <w:pPr>
        <w:keepNext w:val="false"/>
        <w:keepLines/>
        <w:spacing w:after="140"/>
      </w:pPr>
      <w:r>
        <w:rPr>
          <w:b/>
          <w:bCs/>
        </w:rPr>
        <w:t xml:space="preserve">A.</w:t>
      </w:r>
      <w:r>
        <w:t xml:space="preserve"> The comma after the identifying relative clause separates the complete subject from “were stored.”</w:t>
      </w:r>
    </w:p>
    <w:p>
      <w:pPr>
        <w:keepNext w:val="false"/>
        <w:keepLines/>
        <w:spacing w:after="140"/>
      </w:pPr>
      <w:r>
        <w:rPr>
          <w:b/>
          <w:bCs/>
        </w:rPr>
        <w:t xml:space="preserve">B.</w:t>
      </w:r>
      <w:r>
        <w:t xml:space="preserve"> The commas split “that” from its verb and do not form a grammatical parenthetical.</w:t>
      </w:r>
    </w:p>
    <w:p>
      <w:pPr>
        <w:keepNext w:val="false"/>
        <w:keepLines/>
        <w:spacing w:after="140"/>
      </w:pPr>
      <w:r>
        <w:rPr>
          <w:b/>
          <w:bCs/>
        </w:rPr>
        <w:t xml:space="preserve">D.</w:t>
      </w:r>
      <w:r>
        <w:t xml:space="preserve"> A semicolon separates the subject from its main predicate; the left side is not an independent clause.</w:t>
      </w:r>
    </w:p>
    <w:p>
      <w:pPr>
        <w:pStyle w:val="Heading2"/>
        <w:keepNext/>
        <w:spacing w:after="120" w:before="200"/>
      </w:pPr>
      <w:r>
        <w:t xml:space="preserve">7. B — ownership,</w:t>
      </w:r>
    </w:p>
    <w:p>
      <w:pPr>
        <w:keepNext w:val="false"/>
        <w:keepLines/>
        <w:spacing w:after="140"/>
      </w:pPr>
      <w:r>
        <w:t xml:space="preserve">The appositive begins “a catalog” and continues through “ownership,” including the relative clause about the clerks. A comma must close it before the main verb “contains.”</w:t>
      </w:r>
    </w:p>
    <w:p>
      <w:pPr>
        <w:keepNext w:val="false"/>
        <w:keepLines/>
        <w:spacing w:after="140"/>
      </w:pPr>
      <w:r>
        <w:rPr>
          <w:b/>
          <w:bCs/>
        </w:rPr>
        <w:t xml:space="preserve">Structure:</w:t>
      </w:r>
      <w:r>
        <w:t xml:space="preserve"> The Harbor Register, a catalog, contains several entries.</w:t>
      </w:r>
    </w:p>
    <w:p>
      <w:pPr>
        <w:keepNext w:val="false"/>
        <w:keepLines/>
        <w:spacing w:after="140"/>
      </w:pPr>
      <w:r>
        <w:rPr>
          <w:b/>
          <w:bCs/>
        </w:rPr>
        <w:t xml:space="preserve">A.</w:t>
      </w:r>
      <w:r>
        <w:t xml:space="preserve"> The appositive’s opening comma has no matching closing comma.</w:t>
      </w:r>
    </w:p>
    <w:p>
      <w:pPr>
        <w:keepNext w:val="false"/>
        <w:keepLines/>
        <w:spacing w:after="140"/>
      </w:pPr>
      <w:r>
        <w:rPr>
          <w:b/>
          <w:bCs/>
        </w:rPr>
        <w:t xml:space="preserve">C.</w:t>
      </w:r>
      <w:r>
        <w:t xml:space="preserve"> The semicolon attempts to divide a subject and its predicate rather than independent clauses.</w:t>
      </w:r>
    </w:p>
    <w:p>
      <w:pPr>
        <w:keepNext w:val="false"/>
        <w:keepLines/>
        <w:spacing w:after="140"/>
      </w:pPr>
      <w:r>
        <w:rPr>
          <w:b/>
          <w:bCs/>
        </w:rPr>
        <w:t xml:space="preserve">D.</w:t>
      </w:r>
      <w:r>
        <w:t xml:space="preserve"> The dash mismatches the comma that opens the appositive.</w:t>
      </w:r>
    </w:p>
    <w:p>
      <w:pPr>
        <w:pStyle w:val="Heading2"/>
        <w:keepNext/>
        <w:spacing w:after="120" w:before="200"/>
      </w:pPr>
      <w:r>
        <w:t xml:space="preserve">8. D — corrosion;</w:t>
      </w:r>
    </w:p>
    <w:p>
      <w:pPr>
        <w:keepNext w:val="false"/>
        <w:keepLines/>
        <w:spacing w:after="140"/>
      </w:pPr>
      <w:r>
        <w:t xml:space="preserve">The semicolon separates two independent clauses. The second begins with the introductory phrase “after repeated exposure to salt water” and has “samples” as its subject. “However” sits inside that second clause.</w:t>
      </w:r>
    </w:p>
    <w:p>
      <w:pPr>
        <w:keepNext w:val="false"/>
        <w:keepLines/>
        <w:spacing w:after="140"/>
      </w:pPr>
      <w:r>
        <w:rPr>
          <w:b/>
          <w:bCs/>
        </w:rPr>
        <w:t xml:space="preserve">Structure:</w:t>
      </w:r>
      <w:r>
        <w:t xml:space="preserve"> The report described the coating as resistant; samples developed cracks.</w:t>
      </w:r>
    </w:p>
    <w:p>
      <w:pPr>
        <w:keepNext w:val="false"/>
        <w:keepLines/>
        <w:spacing w:after="140"/>
      </w:pPr>
      <w:r>
        <w:rPr>
          <w:b/>
          <w:bCs/>
        </w:rPr>
        <w:t xml:space="preserve">A.</w:t>
      </w:r>
      <w:r>
        <w:t xml:space="preserve"> A comma alone splices the two independent clauses.</w:t>
      </w:r>
    </w:p>
    <w:p>
      <w:pPr>
        <w:keepNext w:val="false"/>
        <w:keepLines/>
        <w:spacing w:after="140"/>
      </w:pPr>
      <w:r>
        <w:rPr>
          <w:b/>
          <w:bCs/>
        </w:rPr>
        <w:t xml:space="preserve">B.</w:t>
      </w:r>
      <w:r>
        <w:t xml:space="preserve"> Without punctuation, the second independent clause is fused to the first.</w:t>
      </w:r>
    </w:p>
    <w:p>
      <w:pPr>
        <w:keepNext w:val="false"/>
        <w:keepLines/>
        <w:spacing w:after="140"/>
      </w:pPr>
      <w:r>
        <w:rPr>
          <w:b/>
          <w:bCs/>
        </w:rPr>
        <w:t xml:space="preserve">C.</w:t>
      </w:r>
      <w:r>
        <w:t xml:space="preserve"> “Although” makes the material after the semicolon dependent, leaving it without an independent main clause.</w:t>
      </w:r>
    </w:p>
    <w:p>
      <w:pPr>
        <w:pStyle w:val="Heading2"/>
        <w:keepNext/>
        <w:spacing w:after="120" w:before="200"/>
      </w:pPr>
      <w:r>
        <w:t xml:space="preserve">9. C — precise:</w:t>
      </w:r>
    </w:p>
    <w:p>
      <w:pPr>
        <w:keepNext w:val="false"/>
        <w:keepLines/>
        <w:spacing w:after="140"/>
      </w:pPr>
      <w:r>
        <w:t xml:space="preserve">The first sentence unit is complete despite its two embedded “that” clauses. The material after the colon explains the surprising precision; its opening “although” clause is followed by its own main clause.</w:t>
      </w:r>
    </w:p>
    <w:p>
      <w:pPr>
        <w:keepNext w:val="false"/>
        <w:keepLines/>
        <w:spacing w:after="140"/>
      </w:pPr>
      <w:r>
        <w:rPr>
          <w:b/>
          <w:bCs/>
        </w:rPr>
        <w:t xml:space="preserve">Structure:</w:t>
      </w:r>
      <w:r>
        <w:t xml:space="preserve"> What surprised the editors was the precision: although the writer was absent, the account reproduced the remarks.</w:t>
      </w:r>
    </w:p>
    <w:p>
      <w:pPr>
        <w:keepNext w:val="false"/>
        <w:keepLines/>
        <w:spacing w:after="140"/>
      </w:pPr>
      <w:r>
        <w:rPr>
          <w:b/>
          <w:bCs/>
        </w:rPr>
        <w:t xml:space="preserve">A.</w:t>
      </w:r>
      <w:r>
        <w:t xml:space="preserve"> The comma joins complete sentence units without a coordinating conjunction.</w:t>
      </w:r>
    </w:p>
    <w:p>
      <w:pPr>
        <w:keepNext w:val="false"/>
        <w:keepLines/>
        <w:spacing w:after="140"/>
      </w:pPr>
      <w:r>
        <w:rPr>
          <w:b/>
          <w:bCs/>
        </w:rPr>
        <w:t xml:space="preserve">B.</w:t>
      </w:r>
      <w:r>
        <w:t xml:space="preserve"> The second main clause is fused to the first sentence unit.</w:t>
      </w:r>
    </w:p>
    <w:p>
      <w:pPr>
        <w:keepNext w:val="false"/>
        <w:keepLines/>
        <w:spacing w:after="140"/>
      </w:pPr>
      <w:r>
        <w:rPr>
          <w:b/>
          <w:bCs/>
        </w:rPr>
        <w:t xml:space="preserve">D.</w:t>
      </w:r>
      <w:r>
        <w:t xml:space="preserve"> “Because although …, the account …” is a dependent construction placed after a semicolon without a main clause to govern it.</w:t>
      </w:r>
    </w:p>
    <w:p>
      <w:pPr>
        <w:pStyle w:val="Heading2"/>
        <w:keepNext/>
        <w:spacing w:after="120" w:before="200"/>
      </w:pPr>
      <w:r>
        <w:t xml:space="preserve">10. B — which the apparent change</w:t>
      </w:r>
    </w:p>
    <w:p>
      <w:pPr>
        <w:keepNext w:val="false"/>
        <w:keepLines/>
        <w:spacing w:after="140"/>
      </w:pPr>
      <w:r>
        <w:t xml:space="preserve">“To which” belongs to the integrated construction “the extent to which the apparent change could be attributed ….” Neither a boundary after “which” nor a mark between the subject “change” and “could” is licensed.</w:t>
      </w:r>
    </w:p>
    <w:p>
      <w:pPr>
        <w:keepNext w:val="false"/>
        <w:keepLines/>
        <w:spacing w:after="140"/>
      </w:pPr>
      <w:r>
        <w:rPr>
          <w:b/>
          <w:bCs/>
        </w:rPr>
        <w:t xml:space="preserve">Structure:</w:t>
      </w:r>
      <w:r>
        <w:t xml:space="preserve"> The disagreement concerned the extent to which the change could be attributed to the restoration.</w:t>
      </w:r>
    </w:p>
    <w:p>
      <w:pPr>
        <w:keepNext w:val="false"/>
        <w:keepLines/>
        <w:spacing w:after="140"/>
      </w:pPr>
      <w:r>
        <w:rPr>
          <w:b/>
          <w:bCs/>
        </w:rPr>
        <w:t xml:space="preserve">A.</w:t>
      </w:r>
      <w:r>
        <w:t xml:space="preserve"> The comma breaks the integrated “to which” construction before the clause it introduces.</w:t>
      </w:r>
    </w:p>
    <w:p>
      <w:pPr>
        <w:keepNext w:val="false"/>
        <w:keepLines/>
        <w:spacing w:after="140"/>
      </w:pPr>
      <w:r>
        <w:rPr>
          <w:b/>
          <w:bCs/>
        </w:rPr>
        <w:t xml:space="preserve">C.</w:t>
      </w:r>
      <w:r>
        <w:t xml:space="preserve"> The comma separates “the apparent change” from its verb “could be attributed.”</w:t>
      </w:r>
    </w:p>
    <w:p>
      <w:pPr>
        <w:keepNext w:val="false"/>
        <w:keepLines/>
        <w:spacing w:after="140"/>
      </w:pPr>
      <w:r>
        <w:rPr>
          <w:b/>
          <w:bCs/>
        </w:rPr>
        <w:t xml:space="preserve">D.</w:t>
      </w:r>
      <w:r>
        <w:t xml:space="preserve"> The colon follows an incomplete introduction rather than an independent clause.</w:t>
      </w:r>
    </w:p>
    <w:p>
      <w:pPr>
        <w:pStyle w:val="Heading2"/>
        <w:keepNext/>
        <w:spacing w:after="120" w:before="200"/>
      </w:pPr>
      <w:r>
        <w:t xml:space="preserve">11. D — index—</w:t>
      </w:r>
    </w:p>
    <w:p>
      <w:pPr>
        <w:keepNext w:val="false"/>
        <w:keepLines/>
        <w:spacing w:after="140"/>
      </w:pPr>
      <w:r>
        <w:t xml:space="preserve">The list of notebook contents is inside an appositive opened by an em dash. Its internal commas do not change the required closing mark before “would resolve.”</w:t>
      </w:r>
    </w:p>
    <w:p>
      <w:pPr>
        <w:keepNext w:val="false"/>
        <w:keepLines/>
        <w:spacing w:after="140"/>
      </w:pPr>
      <w:r>
        <w:rPr>
          <w:b/>
          <w:bCs/>
        </w:rPr>
        <w:t xml:space="preserve">Structure:</w:t>
      </w:r>
      <w:r>
        <w:t xml:space="preserve"> The curators expected that the acquisition—a notebook—would resolve a dispute.</w:t>
      </w:r>
    </w:p>
    <w:p>
      <w:pPr>
        <w:keepNext w:val="false"/>
        <w:keepLines/>
        <w:spacing w:after="140"/>
      </w:pPr>
      <w:r>
        <w:rPr>
          <w:b/>
          <w:bCs/>
        </w:rPr>
        <w:t xml:space="preserve">A.</w:t>
      </w:r>
      <w:r>
        <w:t xml:space="preserve"> An internal list comma cannot substitute for the closing em dash.</w:t>
      </w:r>
    </w:p>
    <w:p>
      <w:pPr>
        <w:keepNext w:val="false"/>
        <w:keepLines/>
        <w:spacing w:after="140"/>
      </w:pPr>
      <w:r>
        <w:rPr>
          <w:b/>
          <w:bCs/>
        </w:rPr>
        <w:t xml:space="preserve">B.</w:t>
      </w:r>
      <w:r>
        <w:t xml:space="preserve"> A semicolon cannot close the appositive or separate “acquisition” from “would resolve.”</w:t>
      </w:r>
    </w:p>
    <w:p>
      <w:pPr>
        <w:keepNext w:val="false"/>
        <w:keepLines/>
        <w:spacing w:after="140"/>
      </w:pPr>
      <w:r>
        <w:rPr>
          <w:b/>
          <w:bCs/>
        </w:rPr>
        <w:t xml:space="preserve">C.</w:t>
      </w:r>
      <w:r>
        <w:t xml:space="preserve"> The dash-delimited appositive remains unclosed.</w:t>
      </w:r>
    </w:p>
    <w:p>
      <w:pPr>
        <w:pStyle w:val="Heading2"/>
        <w:keepNext/>
        <w:spacing w:after="120" w:before="200"/>
      </w:pPr>
      <w:r>
        <w:t xml:space="preserve">12. A — existed</w:t>
      </w:r>
    </w:p>
    <w:p>
      <w:pPr>
        <w:keepNext w:val="false"/>
        <w:keepLines/>
        <w:spacing w:after="140"/>
      </w:pPr>
      <w:r>
        <w:t xml:space="preserve">The main subject is “The sole signed report,” and its predicate begins “identifies.” The relative clause about the documents and the clauses about the owner’s denial are embedded inside that long subject; none creates a boundary before the main predicate.</w:t>
      </w:r>
    </w:p>
    <w:p>
      <w:pPr>
        <w:keepNext w:val="false"/>
        <w:keepLines/>
        <w:spacing w:after="140"/>
      </w:pPr>
      <w:r>
        <w:rPr>
          <w:b/>
          <w:bCs/>
        </w:rPr>
        <w:t xml:space="preserve">Structure:</w:t>
      </w:r>
      <w:r>
        <w:t xml:space="preserve"> The sole signed report among the recovered documents identifies an engineer.</w:t>
      </w:r>
    </w:p>
    <w:p>
      <w:pPr>
        <w:keepNext w:val="false"/>
        <w:keepLines/>
        <w:spacing w:after="140"/>
      </w:pPr>
      <w:r>
        <w:rPr>
          <w:b/>
          <w:bCs/>
        </w:rPr>
        <w:t xml:space="preserve">B.</w:t>
      </w:r>
      <w:r>
        <w:t xml:space="preserve"> The comma separates the entire subject from “identifies.”</w:t>
      </w:r>
    </w:p>
    <w:p>
      <w:pPr>
        <w:keepNext w:val="false"/>
        <w:keepLines/>
        <w:spacing w:after="140"/>
      </w:pPr>
      <w:r>
        <w:rPr>
          <w:b/>
          <w:bCs/>
        </w:rPr>
        <w:t xml:space="preserve">C.</w:t>
      </w:r>
      <w:r>
        <w:t xml:space="preserve"> The colon follows a subject whose main predicate has not yet appeared.</w:t>
      </w:r>
    </w:p>
    <w:p>
      <w:pPr>
        <w:keepNext w:val="false"/>
        <w:keepLines/>
        <w:spacing w:after="140"/>
      </w:pPr>
      <w:r>
        <w:rPr>
          <w:b/>
          <w:bCs/>
        </w:rPr>
        <w:t xml:space="preserve">D.</w:t>
      </w:r>
      <w:r>
        <w:t xml:space="preserve"> The semicolon cannot turn the long subject into an independent clause.</w:t>
      </w:r>
    </w:p>
    <w:p>
      <w:pPr>
        <w:pStyle w:val="Heading2"/>
        <w:keepNext/>
        <w:spacing w:after="120" w:before="200"/>
      </w:pPr>
      <w:r>
        <w:t xml:space="preserve">13. B — fuel; maps</w:t>
      </w:r>
    </w:p>
    <w:p>
      <w:pPr>
        <w:keepNext w:val="false"/>
        <w:keepLines/>
        <w:spacing w:after="140"/>
      </w:pPr>
      <w:r>
        <w:t xml:space="preserve">The semicolon closes the stove item, including its internal relative clause, before the maps item begins. The later semicolon before “and a canvas shelter” confirms the hierarchy of the three-item list.</w:t>
      </w:r>
    </w:p>
    <w:p>
      <w:pPr>
        <w:keepNext w:val="false"/>
        <w:keepLines/>
        <w:spacing w:after="140"/>
      </w:pPr>
      <w:r>
        <w:rPr>
          <w:b/>
          <w:bCs/>
        </w:rPr>
        <w:t xml:space="preserve">Structure:</w:t>
      </w:r>
      <w:r>
        <w:t xml:space="preserve"> The equipment included a stove, which could burn several fuels; maps; and a shelter.</w:t>
      </w:r>
    </w:p>
    <w:p>
      <w:pPr>
        <w:keepNext w:val="false"/>
        <w:keepLines/>
        <w:spacing w:after="140"/>
      </w:pPr>
      <w:r>
        <w:rPr>
          <w:b/>
          <w:bCs/>
        </w:rPr>
        <w:t xml:space="preserve">A.</w:t>
      </w:r>
      <w:r>
        <w:t xml:space="preserve"> A comma fails to distinguish the major list boundary from the first item’s internal comma and is inconsistent with the next major separator.</w:t>
      </w:r>
    </w:p>
    <w:p>
      <w:pPr>
        <w:keepNext w:val="false"/>
        <w:keepLines/>
        <w:spacing w:after="140"/>
      </w:pPr>
      <w:r>
        <w:rPr>
          <w:b/>
          <w:bCs/>
        </w:rPr>
        <w:t xml:space="preserve">C.</w:t>
      </w:r>
      <w:r>
        <w:t xml:space="preserve"> The colon incorrectly presents maps as an explanation of fuel instead of a separate item of equipment.</w:t>
      </w:r>
    </w:p>
    <w:p>
      <w:pPr>
        <w:keepNext w:val="false"/>
        <w:keepLines/>
        <w:spacing w:after="140"/>
      </w:pPr>
      <w:r>
        <w:rPr>
          <w:b/>
          <w:bCs/>
        </w:rPr>
        <w:t xml:space="preserve">D.</w:t>
      </w:r>
      <w:r>
        <w:t xml:space="preserve"> The period leaves the remaining list items without a main verb.</w:t>
      </w:r>
    </w:p>
    <w:p>
      <w:pPr>
        <w:pStyle w:val="Heading2"/>
        <w:keepNext/>
        <w:spacing w:after="120" w:before="200"/>
      </w:pPr>
      <w:r>
        <w:t xml:space="preserve">14. D — assumed, a</w:t>
      </w:r>
    </w:p>
    <w:p>
      <w:pPr>
        <w:keepNext w:val="false"/>
        <w:keepLines/>
        <w:spacing w:after="140"/>
      </w:pPr>
      <w:r>
        <w:t xml:space="preserve">The noun phrase beginning “a finding” comments on the preceding discovery. Its embedded “that” clause and “if” interruption do not turn the phrase into an independent sentence.</w:t>
      </w:r>
    </w:p>
    <w:p>
      <w:pPr>
        <w:keepNext w:val="false"/>
        <w:keepLines/>
        <w:spacing w:after="140"/>
      </w:pPr>
      <w:r>
        <w:rPr>
          <w:b/>
          <w:bCs/>
        </w:rPr>
        <w:t xml:space="preserve">Structure:</w:t>
      </w:r>
      <w:r>
        <w:t xml:space="preserve"> The discovery suggests more rebuilding than historians assumed, a finding that would require revisions.</w:t>
      </w:r>
    </w:p>
    <w:p>
      <w:pPr>
        <w:keepNext w:val="false"/>
        <w:keepLines/>
        <w:spacing w:after="140"/>
      </w:pPr>
      <w:r>
        <w:rPr>
          <w:b/>
          <w:bCs/>
        </w:rPr>
        <w:t xml:space="preserve">A.</w:t>
      </w:r>
      <w:r>
        <w:t xml:space="preserve"> A semicolon cannot introduce the noun phrase “a finding that ….”</w:t>
      </w:r>
    </w:p>
    <w:p>
      <w:pPr>
        <w:keepNext w:val="false"/>
        <w:keepLines/>
        <w:spacing w:after="140"/>
      </w:pPr>
      <w:r>
        <w:rPr>
          <w:b/>
          <w:bCs/>
        </w:rPr>
        <w:t xml:space="preserve">B.</w:t>
      </w:r>
      <w:r>
        <w:t xml:space="preserve"> The new sentence is a fragment: its finite verb belongs to the relative clause modifying “finding.”</w:t>
      </w:r>
    </w:p>
    <w:p>
      <w:pPr>
        <w:keepNext w:val="false"/>
        <w:keepLines/>
        <w:spacing w:after="140"/>
      </w:pPr>
      <w:r>
        <w:rPr>
          <w:b/>
          <w:bCs/>
        </w:rPr>
        <w:t xml:space="preserve">C.</w:t>
      </w:r>
      <w:r>
        <w:t xml:space="preserve"> The missing separator incorrectly runs the supplementary phrase into the verb “assumed.”</w:t>
      </w:r>
    </w:p>
    <w:p>
      <w:pPr>
        <w:pStyle w:val="Heading2"/>
        <w:keepNext/>
        <w:spacing w:after="120" w:before="200"/>
      </w:pPr>
      <w:r>
        <w:t xml:space="preserve">15. A — encouraging, though;</w:t>
      </w:r>
    </w:p>
    <w:p>
      <w:pPr>
        <w:keepNext w:val="false"/>
        <w:keepLines/>
        <w:spacing w:after="140"/>
      </w:pPr>
      <w:r>
        <w:t xml:space="preserve">“Though” functions as a sentence-final transition in the first clause; it is not introducing a subordinate clause. The semicolon then separates the explanation about the repeated cycles.</w:t>
      </w:r>
    </w:p>
    <w:p>
      <w:pPr>
        <w:keepNext w:val="false"/>
        <w:keepLines/>
        <w:spacing w:after="140"/>
      </w:pPr>
      <w:r>
        <w:rPr>
          <w:b/>
          <w:bCs/>
        </w:rPr>
        <w:t xml:space="preserve">Structure:</w:t>
      </w:r>
      <w:r>
        <w:t xml:space="preserve"> The results were less encouraging, though; repeated cycles weakened both materials.</w:t>
      </w:r>
    </w:p>
    <w:p>
      <w:pPr>
        <w:keepNext w:val="false"/>
        <w:keepLines/>
        <w:spacing w:after="140"/>
      </w:pPr>
      <w:r>
        <w:rPr>
          <w:b/>
          <w:bCs/>
        </w:rPr>
        <w:t xml:space="preserve">B.</w:t>
      </w:r>
      <w:r>
        <w:t xml:space="preserve"> The second comma leaves two independent clauses spliced together.</w:t>
      </w:r>
    </w:p>
    <w:p>
      <w:pPr>
        <w:keepNext w:val="false"/>
        <w:keepLines/>
        <w:spacing w:after="140"/>
      </w:pPr>
      <w:r>
        <w:rPr>
          <w:b/>
          <w:bCs/>
        </w:rPr>
        <w:t xml:space="preserve">C.</w:t>
      </w:r>
      <w:r>
        <w:t xml:space="preserve"> Here “though” introduces a dependent clause after a semicolon, leaving that second unit without its own main clause.</w:t>
      </w:r>
    </w:p>
    <w:p>
      <w:pPr>
        <w:keepNext w:val="false"/>
        <w:keepLines/>
        <w:spacing w:after="140"/>
      </w:pPr>
      <w:r>
        <w:rPr>
          <w:b/>
          <w:bCs/>
        </w:rPr>
        <w:t xml:space="preserve">D.</w:t>
      </w:r>
      <w:r>
        <w:t xml:space="preserve"> The sentence-final transition lacks the comma that separates it from the preceding clause.</w:t>
      </w:r>
    </w:p>
    <w:p>
      <w:pPr>
        <w:pStyle w:val="Heading2"/>
        <w:keepNext/>
        <w:spacing w:after="120" w:before="200"/>
      </w:pPr>
      <w:r>
        <w:t xml:space="preserve">16. C — recorded,</w:t>
      </w:r>
    </w:p>
    <w:p>
      <w:pPr>
        <w:keepNext w:val="false"/>
        <w:keepLines/>
        <w:spacing w:after="140"/>
      </w:pPr>
      <w:r>
        <w:t xml:space="preserve">The introductory “Although” clause contains the relative clause “in which they were recorded.” The comma closes the entire dependent opening before “the correspondence” starts the main clause.</w:t>
      </w:r>
    </w:p>
    <w:p>
      <w:pPr>
        <w:keepNext w:val="false"/>
        <w:keepLines/>
        <w:spacing w:after="140"/>
      </w:pPr>
      <w:r>
        <w:rPr>
          <w:b/>
          <w:bCs/>
        </w:rPr>
        <w:t xml:space="preserve">Structure:</w:t>
      </w:r>
      <w:r>
        <w:t xml:space="preserve"> Although the ledger lists the payments, the correspondence shows a different sequence.</w:t>
      </w:r>
    </w:p>
    <w:p>
      <w:pPr>
        <w:keepNext w:val="false"/>
        <w:keepLines/>
        <w:spacing w:after="140"/>
      </w:pPr>
      <w:r>
        <w:rPr>
          <w:b/>
          <w:bCs/>
        </w:rPr>
        <w:t xml:space="preserve">A.</w:t>
      </w:r>
      <w:r>
        <w:t xml:space="preserve"> The semicolon follows a dependent “Although” clause.</w:t>
      </w:r>
    </w:p>
    <w:p>
      <w:pPr>
        <w:keepNext w:val="false"/>
        <w:keepLines/>
        <w:spacing w:after="140"/>
      </w:pPr>
      <w:r>
        <w:rPr>
          <w:b/>
          <w:bCs/>
        </w:rPr>
        <w:t xml:space="preserve">B.</w:t>
      </w:r>
      <w:r>
        <w:t xml:space="preserve"> The added “but” incorrectly coordinates a main clause with an opening already made subordinate by “Although.”</w:t>
      </w:r>
    </w:p>
    <w:p>
      <w:pPr>
        <w:keepNext w:val="false"/>
        <w:keepLines/>
        <w:spacing w:after="140"/>
      </w:pPr>
      <w:r>
        <w:rPr>
          <w:b/>
          <w:bCs/>
        </w:rPr>
        <w:t xml:space="preserve">D.</w:t>
      </w:r>
      <w:r>
        <w:t xml:space="preserve"> The long introductory dependent clause is missing its boundary comma.</w:t>
      </w:r>
    </w:p>
    <w:p>
      <w:pPr>
        <w:pStyle w:val="Heading2"/>
        <w:keepNext/>
        <w:spacing w:after="120" w:before="200"/>
      </w:pPr>
      <w:r>
        <w:t xml:space="preserve">17. D — on</w:t>
      </w:r>
    </w:p>
    <w:p>
      <w:pPr>
        <w:keepNext w:val="false"/>
        <w:keepLines/>
        <w:spacing w:after="140"/>
      </w:pPr>
      <w:r>
        <w:t xml:space="preserve">The preposition “on” directly governs the three noun phrases naming the criteria. Even though a list follows, the words before the blank do not form a complete introduction for a colon.</w:t>
      </w:r>
    </w:p>
    <w:p>
      <w:pPr>
        <w:keepNext w:val="false"/>
        <w:keepLines/>
        <w:spacing w:after="140"/>
      </w:pPr>
      <w:r>
        <w:rPr>
          <w:b/>
          <w:bCs/>
        </w:rPr>
        <w:t xml:space="preserve">Structure:</w:t>
      </w:r>
      <w:r>
        <w:t xml:space="preserve"> The distinctions depend on the position, the angle, and the presence of an opening.</w:t>
      </w:r>
    </w:p>
    <w:p>
      <w:pPr>
        <w:keepNext w:val="false"/>
        <w:keepLines/>
        <w:spacing w:after="140"/>
      </w:pPr>
      <w:r>
        <w:rPr>
          <w:b/>
          <w:bCs/>
        </w:rPr>
        <w:t xml:space="preserve">A.</w:t>
      </w:r>
      <w:r>
        <w:t xml:space="preserve"> A colon incorrectly separates the preposition from its objects.</w:t>
      </w:r>
    </w:p>
    <w:p>
      <w:pPr>
        <w:keepNext w:val="false"/>
        <w:keepLines/>
        <w:spacing w:after="140"/>
      </w:pPr>
      <w:r>
        <w:rPr>
          <w:b/>
          <w:bCs/>
        </w:rPr>
        <w:t xml:space="preserve">B.</w:t>
      </w:r>
      <w:r>
        <w:t xml:space="preserve"> A comma breaks the preposition–object unit.</w:t>
      </w:r>
    </w:p>
    <w:p>
      <w:pPr>
        <w:keepNext w:val="false"/>
        <w:keepLines/>
        <w:spacing w:after="140"/>
      </w:pPr>
      <w:r>
        <w:rPr>
          <w:b/>
          <w:bCs/>
        </w:rPr>
        <w:t xml:space="preserve">C.</w:t>
      </w:r>
      <w:r>
        <w:t xml:space="preserve"> A semicolon divides an incomplete predicate from its required complement.</w:t>
      </w:r>
    </w:p>
    <w:p>
      <w:pPr>
        <w:pStyle w:val="Heading2"/>
        <w:keepNext/>
        <w:spacing w:after="120" w:before="200"/>
      </w:pPr>
      <w:r>
        <w:t xml:space="preserve">18. C — statue. Beneath</w:t>
      </w:r>
    </w:p>
    <w:p>
      <w:pPr>
        <w:keepNext w:val="false"/>
        <w:keepLines/>
        <w:spacing w:after="140"/>
      </w:pPr>
      <w:r>
        <w:t xml:space="preserve">The first complete sentence ends at “statue.” The next begins with “Beneath the stone base” and has “a second inscription” as its subject. The later “but” joins clauses within that second sentence.</w:t>
      </w:r>
    </w:p>
    <w:p>
      <w:pPr>
        <w:keepNext w:val="false"/>
        <w:keepLines/>
        <w:spacing w:after="140"/>
      </w:pPr>
      <w:r>
        <w:rPr>
          <w:b/>
          <w:bCs/>
        </w:rPr>
        <w:t xml:space="preserve">Structure:</w:t>
      </w:r>
      <w:r>
        <w:t xml:space="preserve"> The inscription identifies the person. Beneath the base, a second inscription names the workshop.</w:t>
      </w:r>
    </w:p>
    <w:p>
      <w:pPr>
        <w:keepNext w:val="false"/>
        <w:keepLines/>
        <w:spacing w:after="140"/>
      </w:pPr>
      <w:r>
        <w:rPr>
          <w:b/>
          <w:bCs/>
        </w:rPr>
        <w:t xml:space="preserve">A.</w:t>
      </w:r>
      <w:r>
        <w:t xml:space="preserve"> The comma splices the first clause to the main clause beginning “a second inscription.”</w:t>
      </w:r>
    </w:p>
    <w:p>
      <w:pPr>
        <w:keepNext w:val="false"/>
        <w:keepLines/>
        <w:spacing w:after="140"/>
      </w:pPr>
      <w:r>
        <w:rPr>
          <w:b/>
          <w:bCs/>
        </w:rPr>
        <w:t xml:space="preserve">B.</w:t>
      </w:r>
      <w:r>
        <w:t xml:space="preserve"> The second main clause is fused to the first, even though “beneath” initially looks like a continuation of the first clause.</w:t>
      </w:r>
    </w:p>
    <w:p>
      <w:pPr>
        <w:keepNext w:val="false"/>
        <w:keepLines/>
        <w:spacing w:after="140"/>
      </w:pPr>
      <w:r>
        <w:rPr>
          <w:b/>
          <w:bCs/>
        </w:rPr>
        <w:t xml:space="preserve">D.</w:t>
      </w:r>
      <w:r>
        <w:t xml:space="preserve"> “Although” subordinates the whole following construction after a semicolon, leaving no governing main clause in that unit.</w:t>
      </w:r>
    </w:p>
    <w:p>
      <w:pPr>
        <w:pStyle w:val="Heading2"/>
        <w:keepNext/>
        <w:spacing w:after="120" w:before="200"/>
      </w:pPr>
      <w:r>
        <w:t xml:space="preserve">19. B — trial:</w:t>
      </w:r>
    </w:p>
    <w:p>
      <w:pPr>
        <w:keepNext w:val="false"/>
        <w:keepLines/>
        <w:spacing w:after="140"/>
      </w:pPr>
      <w:r>
        <w:t xml:space="preserve">The first clause is complete; the relative clause ending at “trial” modifies “procedure.” The colon introduces a nonfinite phrase identifying the recommended change.</w:t>
      </w:r>
    </w:p>
    <w:p>
      <w:pPr>
        <w:keepNext w:val="false"/>
        <w:keepLines/>
        <w:spacing w:after="140"/>
      </w:pPr>
      <w:r>
        <w:rPr>
          <w:b/>
          <w:bCs/>
        </w:rPr>
        <w:t xml:space="preserve">Structure:</w:t>
      </w:r>
      <w:r>
        <w:t xml:space="preserve"> The panel recommended a single change: collecting the samples before sunrise.</w:t>
      </w:r>
    </w:p>
    <w:p>
      <w:pPr>
        <w:keepNext w:val="false"/>
        <w:keepLines/>
        <w:spacing w:after="140"/>
      </w:pPr>
      <w:r>
        <w:rPr>
          <w:b/>
          <w:bCs/>
        </w:rPr>
        <w:t xml:space="preserve">A.</w:t>
      </w:r>
      <w:r>
        <w:t xml:space="preserve"> A semicolon cannot introduce the nonfinite phrase “collecting the samples ….”</w:t>
      </w:r>
    </w:p>
    <w:p>
      <w:pPr>
        <w:keepNext w:val="false"/>
        <w:keepLines/>
        <w:spacing w:after="140"/>
      </w:pPr>
      <w:r>
        <w:rPr>
          <w:b/>
          <w:bCs/>
        </w:rPr>
        <w:t xml:space="preserve">C.</w:t>
      </w:r>
      <w:r>
        <w:t xml:space="preserve"> A period leaves the collecting phrase as a sentence fragment.</w:t>
      </w:r>
    </w:p>
    <w:p>
      <w:pPr>
        <w:keepNext w:val="false"/>
        <w:keepLines/>
        <w:spacing w:after="140"/>
      </w:pPr>
      <w:r>
        <w:rPr>
          <w:b/>
          <w:bCs/>
        </w:rPr>
        <w:t xml:space="preserve">D.</w:t>
      </w:r>
      <w:r>
        <w:t xml:space="preserve"> No punctuation marks the explanatory phrase that identifies the promised change.</w:t>
      </w:r>
    </w:p>
    <w:p>
      <w:pPr>
        <w:pStyle w:val="Heading2"/>
        <w:keepNext/>
        <w:spacing w:after="120" w:before="200"/>
      </w:pPr>
      <w:r>
        <w:t xml:space="preserve">20. A — engineer Mara Venn</w:t>
      </w:r>
    </w:p>
    <w:p>
      <w:pPr>
        <w:keepNext w:val="false"/>
        <w:keepLines/>
        <w:spacing w:after="140"/>
      </w:pPr>
      <w:r>
        <w:t xml:space="preserve">The title and name identify the engineer as a single expression. The full subject is “A drawing attributed to the eighteenth-century engineer Mara Venn,” and the main verb is “depicts.”</w:t>
      </w:r>
    </w:p>
    <w:p>
      <w:pPr>
        <w:keepNext w:val="false"/>
        <w:keepLines/>
        <w:spacing w:after="140"/>
      </w:pPr>
      <w:r>
        <w:rPr>
          <w:b/>
          <w:bCs/>
        </w:rPr>
        <w:t xml:space="preserve">Structure:</w:t>
      </w:r>
      <w:r>
        <w:t xml:space="preserve"> A drawing attributed to engineer Mara Venn depicts a mechanism.</w:t>
      </w:r>
    </w:p>
    <w:p>
      <w:pPr>
        <w:keepNext w:val="false"/>
        <w:keepLines/>
        <w:spacing w:after="140"/>
      </w:pPr>
      <w:r>
        <w:rPr>
          <w:b/>
          <w:bCs/>
        </w:rPr>
        <w:t xml:space="preserve">B.</w:t>
      </w:r>
      <w:r>
        <w:t xml:space="preserve"> The unmatched comma breaks the identifying title–name expression.</w:t>
      </w:r>
    </w:p>
    <w:p>
      <w:pPr>
        <w:keepNext w:val="false"/>
        <w:keepLines/>
        <w:spacing w:after="140"/>
      </w:pPr>
      <w:r>
        <w:rPr>
          <w:b/>
          <w:bCs/>
        </w:rPr>
        <w:t xml:space="preserve">C.</w:t>
      </w:r>
      <w:r>
        <w:t xml:space="preserve"> The comma separates the complete subject from “depicts.”</w:t>
      </w:r>
    </w:p>
    <w:p>
      <w:pPr>
        <w:keepNext w:val="false"/>
        <w:keepLines/>
        <w:spacing w:after="140"/>
      </w:pPr>
      <w:r>
        <w:rPr>
          <w:b/>
          <w:bCs/>
        </w:rPr>
        <w:t xml:space="preserve">D.</w:t>
      </w:r>
      <w:r>
        <w:t xml:space="preserve"> The colon follows an incomplete subject and splits the identifying expression.</w:t>
      </w:r>
    </w:p>
    <w:p>
      <w:pPr>
        <w:pStyle w:val="Heading2"/>
        <w:keepNext/>
        <w:spacing w:after="120" w:before="200"/>
      </w:pPr>
      <w:r>
        <w:t xml:space="preserve">21. C — closed; nevertheless,</w:t>
      </w:r>
    </w:p>
    <w:p>
      <w:pPr>
        <w:keepNext w:val="false"/>
        <w:keepLines/>
        <w:spacing w:after="140"/>
      </w:pPr>
      <w:r>
        <w:t xml:space="preserve">The semicolon separates the two independent clauses; “nevertheless” then introduces the second and takes a comma. The dependent phrase “before the workshop closed” belongs inside the first clause.</w:t>
      </w:r>
    </w:p>
    <w:p>
      <w:pPr>
        <w:keepNext w:val="false"/>
        <w:keepLines/>
        <w:spacing w:after="140"/>
      </w:pPr>
      <w:r>
        <w:rPr>
          <w:b/>
          <w:bCs/>
        </w:rPr>
        <w:t xml:space="preserve">Structure:</w:t>
      </w:r>
      <w:r>
        <w:t xml:space="preserve"> The samples establish its use; nevertheless, they do not establish its manufacture.</w:t>
      </w:r>
    </w:p>
    <w:p>
      <w:pPr>
        <w:keepNext w:val="false"/>
        <w:keepLines/>
        <w:spacing w:after="140"/>
      </w:pPr>
      <w:r>
        <w:rPr>
          <w:b/>
          <w:bCs/>
        </w:rPr>
        <w:t xml:space="preserve">A.</w:t>
      </w:r>
      <w:r>
        <w:t xml:space="preserve"> The transition cannot repair the comma splice.</w:t>
      </w:r>
    </w:p>
    <w:p>
      <w:pPr>
        <w:keepNext w:val="false"/>
        <w:keepLines/>
        <w:spacing w:after="140"/>
      </w:pPr>
      <w:r>
        <w:rPr>
          <w:b/>
          <w:bCs/>
        </w:rPr>
        <w:t xml:space="preserve">B.</w:t>
      </w:r>
      <w:r>
        <w:t xml:space="preserve"> The independent clauses are fused before the transition.</w:t>
      </w:r>
    </w:p>
    <w:p>
      <w:pPr>
        <w:keepNext w:val="false"/>
        <w:keepLines/>
        <w:spacing w:after="140"/>
      </w:pPr>
      <w:r>
        <w:rPr>
          <w:b/>
          <w:bCs/>
        </w:rPr>
        <w:t xml:space="preserve">D.</w:t>
      </w:r>
      <w:r>
        <w:t xml:space="preserve"> The second semicolon wrongly separates the transition from the clause it introduces.</w:t>
      </w:r>
    </w:p>
    <w:p>
      <w:pPr>
        <w:pStyle w:val="Heading2"/>
        <w:keepNext/>
        <w:spacing w:after="120" w:before="200"/>
      </w:pPr>
      <w:r>
        <w:t xml:space="preserve">22. A — wall—</w:t>
      </w:r>
    </w:p>
    <w:p>
      <w:pPr>
        <w:keepNext w:val="false"/>
        <w:keepLines/>
        <w:spacing w:after="140"/>
      </w:pPr>
      <w:r>
        <w:t xml:space="preserve">The dash-delimited noun phrase explains “the old drainage channel.” The second dash closes that phrase before “as” resumes the construction “identifies X as Y.”</w:t>
      </w:r>
    </w:p>
    <w:p>
      <w:pPr>
        <w:keepNext w:val="false"/>
        <w:keepLines/>
        <w:spacing w:after="140"/>
      </w:pPr>
      <w:r>
        <w:rPr>
          <w:b/>
          <w:bCs/>
        </w:rPr>
        <w:t xml:space="preserve">Structure:</w:t>
      </w:r>
      <w:r>
        <w:t xml:space="preserve"> The report identifies the channel—the narrow passage—as the most likely route.</w:t>
      </w:r>
    </w:p>
    <w:p>
      <w:pPr>
        <w:keepNext w:val="false"/>
        <w:keepLines/>
        <w:spacing w:after="140"/>
      </w:pPr>
      <w:r>
        <w:rPr>
          <w:b/>
          <w:bCs/>
        </w:rPr>
        <w:t xml:space="preserve">B.</w:t>
      </w:r>
      <w:r>
        <w:t xml:space="preserve"> A comma does not match the opening em dash.</w:t>
      </w:r>
    </w:p>
    <w:p>
      <w:pPr>
        <w:keepNext w:val="false"/>
        <w:keepLines/>
        <w:spacing w:after="140"/>
      </w:pPr>
      <w:r>
        <w:rPr>
          <w:b/>
          <w:bCs/>
        </w:rPr>
        <w:t xml:space="preserve">C.</w:t>
      </w:r>
      <w:r>
        <w:t xml:space="preserve"> A colon does not close the interruption and interrupts “identifies X as Y.”</w:t>
      </w:r>
    </w:p>
    <w:p>
      <w:pPr>
        <w:keepNext w:val="false"/>
        <w:keepLines/>
        <w:spacing w:after="140"/>
      </w:pPr>
      <w:r>
        <w:rPr>
          <w:b/>
          <w:bCs/>
        </w:rPr>
        <w:t xml:space="preserve">D.</w:t>
      </w:r>
      <w:r>
        <w:t xml:space="preserve"> The explanatory interruption remains unclosed before the sentence resumes.</w:t>
      </w:r>
    </w:p>
    <w:p>
      <w:pPr>
        <w:pStyle w:val="Heading2"/>
        <w:keepNext/>
        <w:spacing w:after="120" w:before="200"/>
      </w:pPr>
      <w:r>
        <w:t xml:space="preserve">23. D — bank; the</w:t>
      </w:r>
    </w:p>
    <w:p>
      <w:pPr>
        <w:keepNext w:val="false"/>
        <w:keepLines/>
        <w:spacing w:after="140"/>
      </w:pPr>
      <w:r>
        <w:t xml:space="preserve">The indirect question is the object of “asked”; the first sentence unit is declarative and complete at “bank.” The response begins a second independent clause, so a semicolon is appropriate.</w:t>
      </w:r>
    </w:p>
    <w:p>
      <w:pPr>
        <w:keepNext w:val="false"/>
        <w:keepLines/>
        <w:spacing w:after="140"/>
      </w:pPr>
      <w:r>
        <w:rPr>
          <w:b/>
          <w:bCs/>
        </w:rPr>
        <w:t xml:space="preserve">Structure:</w:t>
      </w:r>
      <w:r>
        <w:t xml:space="preserve"> The committee asked whether the model could account for the pattern; the researchers responded.</w:t>
      </w:r>
    </w:p>
    <w:p>
      <w:pPr>
        <w:keepNext w:val="false"/>
        <w:keepLines/>
        <w:spacing w:after="140"/>
      </w:pPr>
      <w:r>
        <w:rPr>
          <w:b/>
          <w:bCs/>
        </w:rPr>
        <w:t xml:space="preserve">A.</w:t>
      </w:r>
      <w:r>
        <w:t xml:space="preserve"> A comma alone splices the committee’s action and the researchers’ response.</w:t>
      </w:r>
    </w:p>
    <w:p>
      <w:pPr>
        <w:keepNext w:val="false"/>
        <w:keepLines/>
        <w:spacing w:after="140"/>
      </w:pPr>
      <w:r>
        <w:rPr>
          <w:b/>
          <w:bCs/>
        </w:rPr>
        <w:t xml:space="preserve">B.</w:t>
      </w:r>
      <w:r>
        <w:t xml:space="preserve"> The two independent clauses are fused.</w:t>
      </w:r>
    </w:p>
    <w:p>
      <w:pPr>
        <w:keepNext w:val="false"/>
        <w:keepLines/>
        <w:spacing w:after="140"/>
      </w:pPr>
      <w:r>
        <w:rPr>
          <w:b/>
          <w:bCs/>
        </w:rPr>
        <w:t xml:space="preserve">C.</w:t>
      </w:r>
      <w:r>
        <w:t xml:space="preserve"> The sentence reports a question indirectly rather than asking it directly, so the question mark is inappropriate.</w:t>
      </w:r>
    </w:p>
    <w:p>
      <w:pPr>
        <w:pStyle w:val="Heading2"/>
        <w:keepNext/>
        <w:spacing w:after="120" w:before="200"/>
      </w:pPr>
      <w:r>
        <w:t xml:space="preserve">24. B — revision:</w:t>
      </w:r>
    </w:p>
    <w:p>
      <w:pPr>
        <w:keepNext w:val="false"/>
        <w:keepLines/>
        <w:spacing w:after="140"/>
      </w:pPr>
      <w:r>
        <w:t xml:space="preserve">The clause before the colon is complete. The material after it is a noun phrase identifying the relevant aspect of the revision; the additional appositive “a change” does not supply a main verb.</w:t>
      </w:r>
    </w:p>
    <w:p>
      <w:pPr>
        <w:keepNext w:val="false"/>
        <w:keepLines/>
        <w:spacing w:after="140"/>
      </w:pPr>
      <w:r>
        <w:rPr>
          <w:b/>
          <w:bCs/>
        </w:rPr>
        <w:t xml:space="preserve">Structure:</w:t>
      </w:r>
      <w:r>
        <w:t xml:space="preserve"> The correspondence documents one aspect of the revision: the decision to replace the background.</w:t>
      </w:r>
    </w:p>
    <w:p>
      <w:pPr>
        <w:keepNext w:val="false"/>
        <w:keepLines/>
        <w:spacing w:after="140"/>
      </w:pPr>
      <w:r>
        <w:rPr>
          <w:b/>
          <w:bCs/>
        </w:rPr>
        <w:t xml:space="preserve">A.</w:t>
      </w:r>
      <w:r>
        <w:t xml:space="preserve"> The noun phrase after the mark cannot stand as an independent clause after a semicolon.</w:t>
      </w:r>
    </w:p>
    <w:p>
      <w:pPr>
        <w:keepNext w:val="false"/>
        <w:keepLines/>
        <w:spacing w:after="140"/>
      </w:pPr>
      <w:r>
        <w:rPr>
          <w:b/>
          <w:bCs/>
        </w:rPr>
        <w:t xml:space="preserve">C.</w:t>
      </w:r>
      <w:r>
        <w:t xml:space="preserve"> The decision phrase becomes a fragment.</w:t>
      </w:r>
    </w:p>
    <w:p>
      <w:pPr>
        <w:keepNext w:val="false"/>
        <w:keepLines/>
        <w:spacing w:after="140"/>
      </w:pPr>
      <w:r>
        <w:rPr>
          <w:b/>
          <w:bCs/>
        </w:rPr>
        <w:t xml:space="preserve">D.</w:t>
      </w:r>
      <w:r>
        <w:t xml:space="preserve"> The explanatory noun phrase lacks the boundary that introduces it.</w:t>
      </w:r>
    </w:p>
    <w:p>
      <w:pPr>
        <w:pStyle w:val="Heading2"/>
        <w:keepNext/>
        <w:spacing w:after="120" w:before="200"/>
      </w:pPr>
      <w:r>
        <w:t xml:space="preserve">25. A — alterations, and</w:t>
      </w:r>
    </w:p>
    <w:p>
      <w:pPr>
        <w:keepNext w:val="false"/>
        <w:keepLines/>
        <w:spacing w:after="140"/>
      </w:pPr>
      <w:r>
        <w:t xml:space="preserve">The comma closes the nonrestrictive relative clause beginning “which.” After that clause closes, “and rejects” resumes the compound predicate whose subject is “The committee.” The comma is required to close the interruption, not because two independent clauses are being joined.</w:t>
      </w:r>
    </w:p>
    <w:p>
      <w:pPr>
        <w:keepNext w:val="false"/>
        <w:keepLines/>
        <w:spacing w:after="140"/>
      </w:pPr>
      <w:r>
        <w:rPr>
          <w:b/>
          <w:bCs/>
        </w:rPr>
        <w:t xml:space="preserve">Structure:</w:t>
      </w:r>
      <w:r>
        <w:t xml:space="preserve"> The committee reviews the invoices, which list materials, and rejects the claim.</w:t>
      </w:r>
    </w:p>
    <w:p>
      <w:pPr>
        <w:keepNext w:val="false"/>
        <w:keepLines/>
        <w:spacing w:after="140"/>
      </w:pPr>
      <w:r>
        <w:rPr>
          <w:b/>
          <w:bCs/>
        </w:rPr>
        <w:t xml:space="preserve">B.</w:t>
      </w:r>
      <w:r>
        <w:t xml:space="preserve"> Without the closing comma, the nonrestrictive relative clause is left unclosed and “rejects” appears to continue its internal construction; it cannot agree with the plural “invoices” or “owners.”</w:t>
      </w:r>
    </w:p>
    <w:p>
      <w:pPr>
        <w:keepNext w:val="false"/>
        <w:keepLines/>
        <w:spacing w:after="140"/>
      </w:pPr>
      <w:r>
        <w:rPr>
          <w:b/>
          <w:bCs/>
        </w:rPr>
        <w:t xml:space="preserve">C.</w:t>
      </w:r>
      <w:r>
        <w:t xml:space="preserve"> The semicolon cannot close the relative clause before a subjectless continuation of the main predicate.</w:t>
      </w:r>
    </w:p>
    <w:p>
      <w:pPr>
        <w:keepNext w:val="false"/>
        <w:keepLines/>
        <w:spacing w:after="140"/>
      </w:pPr>
      <w:r>
        <w:rPr>
          <w:b/>
          <w:bCs/>
        </w:rPr>
        <w:t xml:space="preserve">D.</w:t>
      </w:r>
      <w:r>
        <w:t xml:space="preserve"> The period leaves “And rejects any claim …” without an expressed subject, creating a fragment.</w:t>
      </w:r>
    </w:p>
    <w:p>
      <w:pPr>
        <w:pStyle w:val="Heading2"/>
        <w:keepNext/>
        <w:spacing w:after="120" w:before="200"/>
      </w:pPr>
      <w:r>
        <w:t xml:space="preserve">26. D — alterations; invoices</w:t>
      </w:r>
    </w:p>
    <w:p>
      <w:pPr>
        <w:keepNext w:val="false"/>
        <w:keepLines/>
        <w:spacing w:after="140"/>
      </w:pPr>
      <w:r>
        <w:t xml:space="preserve">The semicolon separates photographs from invoices within a three-part list. The existing semicolon before “and letters” signals the list’s organization; “indicating” modifies invoices and does not begin a main clause.</w:t>
      </w:r>
    </w:p>
    <w:p>
      <w:pPr>
        <w:keepNext w:val="false"/>
        <w:keepLines/>
        <w:spacing w:after="140"/>
      </w:pPr>
      <w:r>
        <w:rPr>
          <w:b/>
          <w:bCs/>
        </w:rPr>
        <w:t xml:space="preserve">Structure:</w:t>
      </w:r>
      <w:r>
        <w:t xml:space="preserve"> The committee requested photographs; invoices; and letters.</w:t>
      </w:r>
    </w:p>
    <w:p>
      <w:pPr>
        <w:keepNext w:val="false"/>
        <w:keepLines/>
        <w:spacing w:after="140"/>
      </w:pPr>
      <w:r>
        <w:rPr>
          <w:b/>
          <w:bCs/>
        </w:rPr>
        <w:t xml:space="preserve">A.</w:t>
      </w:r>
      <w:r>
        <w:t xml:space="preserve"> The period leaves the invoice and letter phrases without a main verb.</w:t>
      </w:r>
    </w:p>
    <w:p>
      <w:pPr>
        <w:keepNext w:val="false"/>
        <w:keepLines/>
        <w:spacing w:after="140"/>
      </w:pPr>
      <w:r>
        <w:rPr>
          <w:b/>
          <w:bCs/>
        </w:rPr>
        <w:t xml:space="preserve">B.</w:t>
      </w:r>
      <w:r>
        <w:t xml:space="preserve"> The colon incorrectly makes invoices explain photographs rather than coordinate with them.</w:t>
      </w:r>
    </w:p>
    <w:p>
      <w:pPr>
        <w:keepNext w:val="false"/>
        <w:keepLines/>
        <w:spacing w:after="140"/>
      </w:pPr>
      <w:r>
        <w:rPr>
          <w:b/>
          <w:bCs/>
        </w:rPr>
        <w:t xml:space="preserve">C.</w:t>
      </w:r>
      <w:r>
        <w:t xml:space="preserve"> Without a separator, the two list items run together.</w:t>
      </w:r>
    </w:p>
    <w:p>
      <w:pPr>
        <w:pStyle w:val="Heading2"/>
        <w:keepNext/>
        <w:spacing w:after="120" w:before="200"/>
      </w:pPr>
      <w:r>
        <w:t xml:space="preserve">27. B — certainty,</w:t>
      </w:r>
    </w:p>
    <w:p>
      <w:pPr>
        <w:keepNext w:val="false"/>
        <w:keepLines/>
        <w:spacing w:after="140"/>
      </w:pPr>
      <w:r>
        <w:t xml:space="preserve">The appositive starts at “the only surviving object” and includes the relative clause beginning “whose.” The comma after “certainty” closes the whole appositive before “was moved.”</w:t>
      </w:r>
    </w:p>
    <w:p>
      <w:pPr>
        <w:keepNext w:val="false"/>
        <w:keepLines/>
        <w:spacing w:after="140"/>
      </w:pPr>
      <w:r>
        <w:rPr>
          <w:b/>
          <w:bCs/>
        </w:rPr>
        <w:t xml:space="preserve">Structure:</w:t>
      </w:r>
      <w:r>
        <w:t xml:space="preserve"> The basalt marker, the only surviving object, was moved twice.</w:t>
      </w:r>
    </w:p>
    <w:p>
      <w:pPr>
        <w:keepNext w:val="false"/>
        <w:keepLines/>
        <w:spacing w:after="140"/>
      </w:pPr>
      <w:r>
        <w:rPr>
          <w:b/>
          <w:bCs/>
        </w:rPr>
        <w:t xml:space="preserve">A.</w:t>
      </w:r>
      <w:r>
        <w:t xml:space="preserve"> The opening comma before the appositive is left unmatched.</w:t>
      </w:r>
    </w:p>
    <w:p>
      <w:pPr>
        <w:keepNext w:val="false"/>
        <w:keepLines/>
        <w:spacing w:after="140"/>
      </w:pPr>
      <w:r>
        <w:rPr>
          <w:b/>
          <w:bCs/>
        </w:rPr>
        <w:t xml:space="preserve">C.</w:t>
      </w:r>
      <w:r>
        <w:t xml:space="preserve"> A semicolon cannot separate the subject and its main verb.</w:t>
      </w:r>
    </w:p>
    <w:p>
      <w:pPr>
        <w:keepNext w:val="false"/>
        <w:keepLines/>
        <w:spacing w:after="140"/>
      </w:pPr>
      <w:r>
        <w:rPr>
          <w:b/>
          <w:bCs/>
        </w:rPr>
        <w:t xml:space="preserve">D.</w:t>
      </w:r>
      <w:r>
        <w:t xml:space="preserve"> A dash mismatches the appositive’s opening comma.</w:t>
      </w:r>
    </w:p>
    <w:p>
      <w:pPr>
        <w:pStyle w:val="Heading2"/>
        <w:keepNext/>
        <w:spacing w:after="120" w:before="200"/>
      </w:pPr>
      <w:r>
        <w:t xml:space="preserve">28. C — consistent:</w:t>
      </w:r>
    </w:p>
    <w:p>
      <w:pPr>
        <w:keepNext w:val="false"/>
        <w:keepLines/>
        <w:spacing w:after="140"/>
      </w:pPr>
      <w:r>
        <w:t xml:space="preserve">The initial “Although” clause is already followed by its main clause, “their agreement … was far less consistent.” That complete sentence unit can introduce an explanation with a colon. The second main clause explains the inconsistency.</w:t>
      </w:r>
    </w:p>
    <w:p>
      <w:pPr>
        <w:keepNext w:val="false"/>
        <w:keepLines/>
        <w:spacing w:after="140"/>
      </w:pPr>
      <w:r>
        <w:rPr>
          <w:b/>
          <w:bCs/>
        </w:rPr>
        <w:t xml:space="preserve">Structure:</w:t>
      </w:r>
      <w:r>
        <w:t xml:space="preserve"> Although the laboratory readings agreed, field agreement was inconsistent: the measurements diverged.</w:t>
      </w:r>
    </w:p>
    <w:p>
      <w:pPr>
        <w:keepNext w:val="false"/>
        <w:keepLines/>
        <w:spacing w:after="140"/>
      </w:pPr>
      <w:r>
        <w:rPr>
          <w:b/>
          <w:bCs/>
        </w:rPr>
        <w:t xml:space="preserve">A.</w:t>
      </w:r>
      <w:r>
        <w:t xml:space="preserve"> The comma splices the independent sentence unit to the clause beginning “measurements.”</w:t>
      </w:r>
    </w:p>
    <w:p>
      <w:pPr>
        <w:keepNext w:val="false"/>
        <w:keepLines/>
        <w:spacing w:after="140"/>
      </w:pPr>
      <w:r>
        <w:rPr>
          <w:b/>
          <w:bCs/>
        </w:rPr>
        <w:t xml:space="preserve">B.</w:t>
      </w:r>
      <w:r>
        <w:t xml:space="preserve"> The complete units are fused without a boundary.</w:t>
      </w:r>
    </w:p>
    <w:p>
      <w:pPr>
        <w:keepNext w:val="false"/>
        <w:keepLines/>
        <w:spacing w:after="140"/>
      </w:pPr>
      <w:r>
        <w:rPr>
          <w:b/>
          <w:bCs/>
        </w:rPr>
        <w:t xml:space="preserve">D.</w:t>
      </w:r>
      <w:r>
        <w:t xml:space="preserve"> The semicolon is followed by a dependent “because” clause instead of an independent clause.</w:t>
      </w:r>
    </w:p>
    <w:p>
      <w:pPr>
        <w:pStyle w:val="Heading2"/>
        <w:keepNext/>
        <w:pageBreakBefore/>
        <w:spacing w:after="120" w:before="200"/>
      </w:pPr>
      <w:r>
        <w:t xml:space="preserve">Study notes</w:t>
      </w:r>
    </w:p>
    <w:p>
      <w:pPr>
        <w:keepNext w:val="false"/>
        <w:keepLines/>
        <w:spacing w:after="140"/>
      </w:pPr>
      <w:r>
        <w:t xml:space="preserve">A colon needs a complete clause before it; what follows can be a list, phrase, or complete clause. A semicolon usually joins independent clauses, but it can also separate major items in a complex list. Do not reject every semicolon merely because the next words are not a complete sentence: first determine whether a list is in progress.</w:t>
      </w:r>
    </w:p>
    <w:p>
      <w:pPr>
        <w:keepNext w:val="false"/>
        <w:keepLines/>
        <w:spacing w:after="140"/>
      </w:pPr>
      <w:r>
        <w:t xml:space="preserve">A finite verb inside a relative clause does not make its entire noun phrase an independent clause. Likewise, a long subject does not require a comma before its main verb. Identify the main subject and predicate before judging punctuation.</w:t>
      </w:r>
    </w:p>
    <w:p>
      <w:pPr>
        <w:keepNext w:val="false"/>
        <w:keepLines/>
        <w:spacing w:after="140"/>
      </w:pPr>
      <w:r>
        <w:t xml:space="preserve">A transition such as “however” can belong to the end of one clause or the beginning of the next. Determine which clause it belongs to before choosing a boundary mark. A paired dash must close the interruption it opened, even when that interruption contains commas or subordinate clauses.</w:t>
      </w:r>
    </w:p>
    <w:p>
      <w:pPr>
        <w:keepNext w:val="false"/>
        <w:keepLines/>
        <w:spacing w:after="140"/>
      </w:pPr>
      <w:r>
        <w:t xml:space="preserve">A period, semicolon, colon, or dash may sometimes be grammatically interchangeable in a particular sentence. These questions test the available choices, not a claim that the keyed mark is the only possible mark in all rewritings.</w:t>
      </w:r>
    </w:p>
    <w:p>
      <w:pPr>
        <w:keepNext w:val="false"/>
        <w:keepLines/>
        <w:spacing w:after="140"/>
      </w:pPr>
      <w:r>
        <w:t xml:space="preserve">Original practice material, authored and self-reviewed in this session using the punctuation patterns established in the preceding sets. Each answer letter occurs seven times. No independent reviewer or empirical difficulty calibration was used; no questions were inserted into the application database.</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2026-09-07T17:11:55.596Z</dcterms:created>
  <dcterms:modified xsi:type="dcterms:W3CDTF">2026-09-07T17:11:55.596Z</dcterms:modified>
</cp:coreProperties>
</file>

<file path=docProps/custom.xml><?xml version="1.0" encoding="utf-8"?>
<Properties xmlns="http://schemas.openxmlformats.org/officeDocument/2006/custom-properties" xmlns:vt="http://schemas.openxmlformats.org/officeDocument/2006/docPropsVTypes"/>
</file>