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00"/>
      </w:pPr>
      <w:r>
        <w:t xml:space="preserve">Punctuation Warmup — 20 Medium Questions: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000"/>
        <w:gridCol w:w="7260"/>
      </w:tblGrid>
      <w:tr>
        <w:trPr>
          <w:cantSplit/>
          <w:tblHeader/>
        </w:trPr>
        <w:tc>
          <w:tcPr>
            <w:tcW w:type="dxa" w:w="11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Question</w:t>
            </w:r>
          </w:p>
        </w:tc>
        <w:tc>
          <w:tcPr>
            <w:tcW w:type="dxa" w:w="10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Answer</w:t>
            </w:r>
          </w:p>
        </w:tc>
        <w:tc>
          <w:tcPr>
            <w:tcW w:type="dxa" w:w="726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Main skill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after a parenthetical transition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Dependent clause with an embedded relative 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Long subject before the main verb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Closing an interruption inside a that-clause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Appositive containing a relative 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Boundary before a sentence-opening phrase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before parallel phrases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Coordinating clauses after an embedded 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Comma splice with a transition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Essential title and name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before an explanatory 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12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Closing a dash-delimited explanation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13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 punctuation between a preposition and its complement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Supplementary noun phrase versus sentence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Sentence-final transition before a boundary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Introductory phrase containing an embedded 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D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No colon after a verb introducing its objects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Period before an introductory prepositional phrase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19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B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Colon after a clause ending in a relative clause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A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Closing an extended appositive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00"/>
      </w:pPr>
      <w:r>
        <w:t xml:space="preserve">1. C — correspondence, however:</w:t>
      </w:r>
    </w:p>
    <w:p>
      <w:pPr>
        <w:keepNext w:val="false"/>
        <w:spacing w:after="140"/>
      </w:pPr>
      <w:r>
        <w:t xml:space="preserve">The complete clause announces three subjects, and the colon introduces the list naming them. The parenthetical “however” takes a preceding comma. A leaves the list loosely attached by a comma; B puts a semicolon before a list rather than a clause; D puts the clause boundary before “however” and leaves the list without a complete clause of its own.</w:t>
      </w:r>
    </w:p>
    <w:p>
      <w:pPr>
        <w:pStyle w:val="Heading2"/>
        <w:keepNext/>
        <w:spacing w:after="120" w:before="200"/>
      </w:pPr>
      <w:r>
        <w:t xml:space="preserve">2. A — inlets,</w:t>
      </w:r>
    </w:p>
    <w:p>
      <w:pPr>
        <w:keepNext w:val="false"/>
        <w:spacing w:after="140"/>
      </w:pPr>
      <w:r>
        <w:t xml:space="preserve">The entire opening beginning “While” is dependent, including the relative clause about sailors. A comma closes that opening before “later surveys” begins the main clause. B incorrectly treats the opening as independent; C omits the boundary comma; D adds “but” even though “While” already establishes the subordinate construction.</w:t>
      </w:r>
    </w:p>
    <w:p>
      <w:pPr>
        <w:pStyle w:val="Heading2"/>
        <w:keepNext/>
        <w:spacing w:after="120" w:before="200"/>
      </w:pPr>
      <w:r>
        <w:t xml:space="preserve">3. D — terrace</w:t>
      </w:r>
    </w:p>
    <w:p>
      <w:pPr>
        <w:keepNext w:val="false"/>
        <w:spacing w:after="140"/>
      </w:pPr>
      <w:r>
        <w:t xml:space="preserve">The head of the subject is “channels,” and its main verb is “allow.” The intervening phrases do not justify punctuation between them. A, B, and C separate the subject from its verb with a comma, colon, or semicolon. The verb “form” belongs to the embedded relative clause, not the main clause.</w:t>
      </w:r>
    </w:p>
    <w:p>
      <w:pPr>
        <w:pStyle w:val="Heading2"/>
        <w:keepNext/>
        <w:spacing w:after="120" w:before="200"/>
      </w:pPr>
      <w:r>
        <w:t xml:space="preserve">4. B — transport—the</w:t>
      </w:r>
    </w:p>
    <w:p>
      <w:pPr>
        <w:keepNext w:val="false"/>
        <w:spacing w:after="140"/>
      </w:pPr>
      <w:r>
        <w:t xml:space="preserve">An em dash begins the interruption after “that,” so a matching dash must end it. Removing the interruption leaves “The researchers concluded that the storage method could preserve several varieties.” A mismatches the opening dash; C substitutes a semicolon; D leaves the interruption unclosed.</w:t>
      </w:r>
    </w:p>
    <w:p>
      <w:pPr>
        <w:pStyle w:val="Heading2"/>
        <w:keepNext/>
        <w:spacing w:after="120" w:before="200"/>
      </w:pPr>
      <w:r>
        <w:t xml:space="preserve">5. A — seasons,</w:t>
      </w:r>
    </w:p>
    <w:p>
      <w:pPr>
        <w:keepNext w:val="false"/>
        <w:spacing w:after="140"/>
      </w:pPr>
      <w:r>
        <w:t xml:space="preserve">The entire phrase from “a volunteer project” through “seasons” renames the Marsh Survey. Its opening comma needs a closing comma before “now includes.” B omits that comma. C uses a semicolon where no independent-clause boundary exists. D mismatches the opening comma with a dash.</w:t>
      </w:r>
    </w:p>
    <w:p>
      <w:pPr>
        <w:pStyle w:val="Heading2"/>
        <w:keepNext/>
        <w:spacing w:after="120" w:before="200"/>
      </w:pPr>
      <w:r>
        <w:t xml:space="preserve">6. C — entrance;</w:t>
      </w:r>
    </w:p>
    <w:p>
      <w:pPr>
        <w:keepNext w:val="false"/>
        <w:spacing w:after="140"/>
      </w:pPr>
      <w:r>
        <w:t xml:space="preserve">The first complete clause ends at “entrance.” “In practice” introduces the second independent clause, whose subject is “many visitors.” C correctly separates those clauses. A produces a comma splice, B fuses them, and D makes the second clause dependent with “although” after a semicolon.</w:t>
      </w:r>
    </w:p>
    <w:p>
      <w:pPr>
        <w:pStyle w:val="Heading2"/>
        <w:keepNext/>
        <w:spacing w:after="120" w:before="200"/>
      </w:pPr>
      <w:r>
        <w:t xml:space="preserve">7. B — stages:</w:t>
      </w:r>
    </w:p>
    <w:p>
      <w:pPr>
        <w:keepNext w:val="false"/>
        <w:spacing w:after="140"/>
      </w:pPr>
      <w:r>
        <w:t xml:space="preserve">The clause before the blank is complete, and the following phrases identify the two stages. A colon introduces that elaboration. A incorrectly uses a semicolon before nonfinite phrases. C leaves the elaboration without a separator. D creates a fragment beginning “strengthening.”</w:t>
      </w:r>
    </w:p>
    <w:p>
      <w:pPr>
        <w:pStyle w:val="Heading2"/>
        <w:keepNext/>
        <w:spacing w:after="120" w:before="200"/>
      </w:pPr>
      <w:r>
        <w:t xml:space="preserve">8. D — produced,</w:t>
      </w:r>
    </w:p>
    <w:p>
      <w:pPr>
        <w:keepNext w:val="false"/>
        <w:spacing w:after="140"/>
      </w:pPr>
      <w:r>
        <w:t xml:space="preserve">The first main clause begins “The digital catalog identifies”; the second begins “it does not indicate.” A comma before “but” joins them. A uses a semicolon in this ordinary coordinated construction. B omits the comma. C uses a colon before “but,” which does not introduce an explanation or list.</w:t>
      </w:r>
    </w:p>
    <w:p>
      <w:pPr>
        <w:pStyle w:val="Heading2"/>
        <w:keepNext/>
        <w:spacing w:after="120" w:before="200"/>
      </w:pPr>
      <w:r>
        <w:t xml:space="preserve">9. C — outside; nevertheless,</w:t>
      </w:r>
    </w:p>
    <w:p>
      <w:pPr>
        <w:keepNext w:val="false"/>
        <w:spacing w:after="140"/>
      </w:pPr>
      <w:r>
        <w:t xml:space="preserve">“Nevertheless” cannot join independent clauses with a comma alone. C places a semicolon between the clauses and a comma after the transition. A is a comma splice; B lacks the clause boundary; D incorrectly places a semicolon immediately after “nevertheless.” The later “while” clause belongs to the second main clause.</w:t>
      </w:r>
    </w:p>
    <w:p>
      <w:pPr>
        <w:pStyle w:val="Heading2"/>
        <w:keepNext/>
        <w:spacing w:after="120" w:before="200"/>
      </w:pPr>
      <w:r>
        <w:t xml:space="preserve">10. B — architect Lena Ortiz</w:t>
      </w:r>
    </w:p>
    <w:p>
      <w:pPr>
        <w:keepNext w:val="false"/>
        <w:spacing w:after="140"/>
      </w:pPr>
      <w:r>
        <w:t xml:space="preserve">“Architect Lena Ortiz” forms a single identifying expression within the subject. B keeps it intact. A inserts an unmatched comma between the title and identifying name. C puts a comma between the completed subject and “provides.” D places a colon inside the title–name expression.</w:t>
      </w:r>
    </w:p>
    <w:p>
      <w:pPr>
        <w:pStyle w:val="Heading2"/>
        <w:keepNext/>
        <w:spacing w:after="120" w:before="200"/>
      </w:pPr>
      <w:r>
        <w:t xml:space="preserve">11. D — growth:</w:t>
      </w:r>
    </w:p>
    <w:p>
      <w:pPr>
        <w:keepNext w:val="false"/>
        <w:spacing w:after="140"/>
      </w:pPr>
      <w:r>
        <w:t xml:space="preserve">The complete clause after the colon explains the “unexpected pattern.” A joins independent clauses with a comma, B fuses them, and C places a dependent “because” clause after a semicolon. A semicolon alone could also be grammatical here, but it is not among the choices.</w:t>
      </w:r>
    </w:p>
    <w:p>
      <w:pPr>
        <w:pStyle w:val="Heading2"/>
        <w:keepNext/>
        <w:spacing w:after="120" w:before="200"/>
      </w:pPr>
      <w:r>
        <w:t xml:space="preserve">12. A — gravel—</w:t>
      </w:r>
    </w:p>
    <w:p>
      <w:pPr>
        <w:keepNext w:val="false"/>
        <w:spacing w:after="140"/>
      </w:pPr>
      <w:r>
        <w:t xml:space="preserve">The explanation beginning “in this design” opens with an em dash and must close with one. A restores the underlying sequence “Water passes through a layer of coarse material before entering a lower chamber.” B and C replace the closing dash with a mismatched mark; D omits it.</w:t>
      </w:r>
    </w:p>
    <w:p>
      <w:pPr>
        <w:pStyle w:val="Heading2"/>
        <w:keepNext/>
        <w:spacing w:after="120" w:before="200"/>
      </w:pPr>
      <w:r>
        <w:t xml:space="preserve">13. B — as</w:t>
      </w:r>
    </w:p>
    <w:p>
      <w:pPr>
        <w:keepNext w:val="false"/>
        <w:spacing w:after="140"/>
      </w:pPr>
      <w:r>
        <w:t xml:space="preserve">The preposition “as” introduces the description “a gradual transfer of material.” No punctuation should separate them. A incorrectly treats the description as a colon-led explanation; C inserts a comma inside the integrated phrase; D puts a semicolon where neither side forms the required independent clause.</w:t>
      </w:r>
    </w:p>
    <w:p>
      <w:pPr>
        <w:pStyle w:val="Heading2"/>
        <w:keepNext/>
        <w:spacing w:after="120" w:before="200"/>
      </w:pPr>
      <w:r>
        <w:t xml:space="preserve">14. D — price, a</w:t>
      </w:r>
    </w:p>
    <w:p>
      <w:pPr>
        <w:keepNext w:val="false"/>
        <w:spacing w:after="140"/>
      </w:pPr>
      <w:r>
        <w:t xml:space="preserve">The phrase beginning “a policy” comments on the admission practice; it is not an independent clause. D attaches it with a comma. A uses a semicolon before a phrase, B creates a fragment, and C omits the separating punctuation. The verb “may explain” is inside the relative clause beginning “that.”</w:t>
      </w:r>
    </w:p>
    <w:p>
      <w:pPr>
        <w:pStyle w:val="Heading2"/>
        <w:keepNext/>
        <w:spacing w:after="120" w:before="200"/>
      </w:pPr>
      <w:r>
        <w:t xml:space="preserve">15. A — rusting, however;</w:t>
      </w:r>
    </w:p>
    <w:p>
      <w:pPr>
        <w:keepNext w:val="false"/>
        <w:spacing w:after="140"/>
      </w:pPr>
      <w:r>
        <w:t xml:space="preserve">Here “however” belongs at the end of the first clause: “The new coating was expected to prevent the metal from rusting, however.” A semicolon then separates the clause about cracks. B creates a comma splice. C places “however” at the start of the second clause without its comma. D supplies neither the transition comma nor the clause boundary.</w:t>
      </w:r>
    </w:p>
    <w:p>
      <w:pPr>
        <w:pStyle w:val="Heading2"/>
        <w:keepNext/>
        <w:spacing w:after="120" w:before="200"/>
      </w:pPr>
      <w:r>
        <w:t xml:space="preserve">16. C — donation,</w:t>
      </w:r>
    </w:p>
    <w:p>
      <w:pPr>
        <w:keepNext w:val="false"/>
        <w:spacing w:after="140"/>
      </w:pPr>
      <w:r>
        <w:t xml:space="preserve">The opening infinitive phrase runs from “To determine” through “donation.” A comma separates it from the main clause beginning “the archivist.” A and D incorrectly treat that introductory phrase as an independent clause. B omits its closing comma. The embedded “whether” clause does not change that structure.</w:t>
      </w:r>
    </w:p>
    <w:p>
      <w:pPr>
        <w:pStyle w:val="Heading2"/>
        <w:keepNext/>
        <w:spacing w:after="120" w:before="200"/>
      </w:pPr>
      <w:r>
        <w:t xml:space="preserve">17. D — include</w:t>
      </w:r>
    </w:p>
    <w:p>
      <w:pPr>
        <w:keepNext w:val="false"/>
        <w:spacing w:after="140"/>
      </w:pPr>
      <w:r>
        <w:t xml:space="preserve">The list directly supplies the objects of “include,” so no punctuation belongs between the verb and the list. A inserts an invalid colon; B and C make the same separation with a semicolon or comma. Contrast a complete introduction such as “The changes are substantial: …”</w:t>
      </w:r>
    </w:p>
    <w:p>
      <w:pPr>
        <w:pStyle w:val="Heading2"/>
        <w:keepNext/>
        <w:spacing w:after="120" w:before="200"/>
      </w:pPr>
      <w:r>
        <w:t xml:space="preserve">18. C — container. Inside</w:t>
      </w:r>
    </w:p>
    <w:p>
      <w:pPr>
        <w:keepNext w:val="false"/>
        <w:spacing w:after="140"/>
      </w:pPr>
      <w:r>
        <w:t xml:space="preserve">A period ends the clause about the first sensor. “Inside the container” introduces a new sentence with the subject “a separate device.” A creates a comma splice; B fuses the clauses; D makes the second clause dependent with “although” after a semicolon.</w:t>
      </w:r>
    </w:p>
    <w:p>
      <w:pPr>
        <w:pStyle w:val="Heading2"/>
        <w:keepNext/>
        <w:spacing w:after="120" w:before="200"/>
      </w:pPr>
      <w:r>
        <w:t xml:space="preserve">19. B — notice:</w:t>
      </w:r>
    </w:p>
    <w:p>
      <w:pPr>
        <w:keepNext w:val="false"/>
        <w:spacing w:after="140"/>
      </w:pPr>
      <w:r>
        <w:t xml:space="preserve">The main clause “The restoration has one limitation” remains complete even with the relative clause ending in “notice.” The colon introduces the noun phrase identifying that limitation. A uses a semicolon before a phrase; C supplies no separator; D creates a fragment. “Whose wooden frames…” is a relative clause, not a main clause.</w:t>
      </w:r>
    </w:p>
    <w:p>
      <w:pPr>
        <w:pStyle w:val="Heading2"/>
        <w:keepNext/>
        <w:spacing w:after="120" w:before="200"/>
      </w:pPr>
      <w:r>
        <w:t xml:space="preserve">20. A — leaves,</w:t>
      </w:r>
    </w:p>
    <w:p>
      <w:pPr>
        <w:keepNext w:val="false"/>
        <w:spacing w:after="140"/>
      </w:pPr>
      <w:r>
        <w:t xml:space="preserve">The noun phrase from “a shallow bowl” through “leaves” renames the collection’s oldest object. A closes that appositive with a comma before the main verb “was found.” B omits the closing comma, C introduces an invalid semicolon, and D mismatches the opening comma.</w:t>
      </w:r>
    </w:p>
    <w:p>
      <w:pPr>
        <w:pStyle w:val="Heading2"/>
        <w:keepNext/>
        <w:pageBreakBefore/>
        <w:spacing w:after="120" w:before="200"/>
      </w:pPr>
      <w:r>
        <w:t xml:space="preserve">Source and review notes</w:t>
      </w:r>
    </w:p>
    <w:p>
      <w:pPr>
        <w:keepNext w:val="false"/>
        <w:spacing w:after="140"/>
      </w:pPr>
      <w:r>
        <w:t xml:space="preserve">These are original passages informed by the source UUIDs retrieved in this task. They use grammatical patterns rather than reproducing the source wording. They were authored and self-reviewed in Codex; no independent review service or app generation batch was run, and nothing was inserted into the database.</w:t>
      </w:r>
    </w:p>
    <w:p>
      <w:pPr>
        <w:keepNext w:val="false"/>
        <w:spacing w:after="140"/>
      </w:pPr>
      <w:r>
        <w:t xml:space="preserve">The mix is four colon items, three comma items, two em-dash items, three unnecessary-punctuation items, three appositive items, three sentence-boundary items, and two comma-splice items. Categories overlap: Question 14 also practices a supplementary noun phrase. There are five correct answers in each letter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cantSplit/>
          <w:tblHeader/>
        </w:trPr>
        <w:tc>
          <w:tcPr>
            <w:tcW w:type="dxa" w:w="110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Question</w:t>
            </w:r>
          </w:p>
        </w:tc>
        <w:tc>
          <w:tcPr>
            <w:tcW w:type="dxa" w:w="8260"/>
            <w:shd w:fill="EA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Reference UUID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9e405631-9e9a-598d-b395-868d677e361d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35189c90-fc28-5784-9115-e05fc35f9244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3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26a7724b-1d2b-5ffd-9792-0737cdddec61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4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5a7fc8f9-a43f-5877-bfd7-6cba3174a9d8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8b6cf952-2f30-59e8-9a0b-19b9a60289d2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6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918c204a-b961-55b3-af98-708cf8091990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7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2ea4b8fc-b263-5ede-947b-cbedc6ce6974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562a035b-2278-5223-89f1-2d845cdb9b8d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9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3079b171-c743-5f40-a6ba-db81646d3f96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10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ce40a386-66c6-5ce4-99f9-f2927adeddae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11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75eb9b23-b56b-5582-b842-ab3b4596ab9f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12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111ccb1c-1f57-5fd3-bdde-d18529994ecd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13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51b18940-ec18-567f-b3a8-f44a727f5529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14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8b6cf952-2f30-59e8-9a0b-19b9a60289d2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15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f44346de-1dd5-59a6-90ac-2ecf54335b1e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16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cf421cbe-7dff-51e4-a7c9-894bab129d55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17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51b18940-ec18-567f-b3a8-f44a727f5529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18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5ddebb9a-eeff-5ee3-99bb-d79fdbe3edd6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19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2ea4b8fc-b263-5ede-947b-cbedc6ce6974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20</w:t>
            </w:r>
          </w:p>
        </w:tc>
        <w:tc>
          <w:tcPr>
            <w:tcW w:type="dxa" w:w="8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rPr>
                <w:sz w:val="19"/>
                <w:szCs w:val="19"/>
              </w:rPr>
            </w:pPr>
            <w:r>
              <w:t xml:space="preserve">8b6cf952-2f30-59e8-9a0b-19b9a60289d2</w:t>
            </w:r>
          </w:p>
        </w:tc>
      </w:tr>
    </w:tbl>
    <w:p>
      <w:pPr>
        <w:spacing w:after="80"/>
      </w:pP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2026-09-07T17:03:59.530Z</dcterms:created>
  <dcterms:modified xsi:type="dcterms:W3CDTF">2026-09-07T17:03:59.530Z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