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val="false"/>
        <w:keepLines/>
        <w:spacing w:after="140" w:line="276"/>
      </w:pPr>
      <w:r>
        <w:rPr>
          <w:b w:val="false"/>
          <w:bCs w:val="false"/>
        </w:rPr>
        <w:t xml:space="preserve">20 Extremely Difficult DSAT-Style Verbal Inference Questions</w:t>
      </w:r>
    </w:p>
    <w:p>
      <w:pPr>
        <w:keepNext w:val="false"/>
        <w:keepLines/>
        <w:spacing w:after="140" w:line="276"/>
      </w:pPr>
      <w:r>
        <w:rPr>
          <w:b/>
          <w:bCs/>
        </w:rPr>
        <w:t xml:space="preserve">Science · Economics · Business</w:t>
      </w:r>
    </w:p>
    <w:p>
      <w:pPr>
        <w:keepNext w:val="false"/>
        <w:keepLines/>
        <w:spacing w:after="140" w:line="276"/>
      </w:pPr>
      <w:r>
        <w:rPr>
          <w:b/>
          <w:bCs/>
        </w:rPr>
        <w:t xml:space="preserve">Directions:</w:t>
      </w:r>
      <w:r>
        <w:rPr>
          <w:b w:val="false"/>
          <w:bCs w:val="false"/>
        </w:rPr>
        <w:t xml:space="preserve"> Read each passage and select the choice that most logically completes it. Base your answer on the passage, including its qualifications, comparisons, and stated assumptions. No outside subject knowledge is required.</w:t>
      </w:r>
    </w:p>
    <w:p>
      <w:pPr>
        <w:keepNext w:val="false"/>
        <w:keepLines/>
        <w:spacing w:after="140" w:line="276"/>
      </w:pPr>
      <w:r>
        <w:rPr>
          <w:b/>
          <w:bCs/>
        </w:rPr>
        <w:t xml:space="preserve">Difficulty target:</w:t>
      </w:r>
      <w:r>
        <w:rPr>
          <w:b w:val="false"/>
          <w:bCs w:val="false"/>
        </w:rPr>
        <w:t xml:space="preserve"> Extremely challenging verbal inference practice. Difficulty is an editorial target, not an empirically calibrated SAT rating. These are original, unofficial practice items. All studies, results, organizations, and numerical examples are constructed for this set.</w:t>
      </w:r>
    </w:p>
    <w:p>
      <w:pPr>
        <w:keepNext w:val="false"/>
        <w:keepLines/>
        <w:spacing w:after="140" w:line="276"/>
      </w:pPr>
      <w:r>
        <w:rPr>
          <w:b/>
          <w:bCs/>
        </w:rPr>
        <w:t xml:space="preserve">Coverage:</w:t>
      </w:r>
      <w:r>
        <w:rPr>
          <w:b w:val="false"/>
          <w:bCs w:val="false"/>
        </w:rPr>
        <w:t xml:space="preserve"> 12 science questions, 4 economics questions, and 4 business questions. All 20 are text-based inference items; none asks for table evidence. Explanations and trap analyses appear in the separate answer file.</w:t>
      </w:r>
    </w:p>
    <w:p>
      <w:pPr>
        <w:pStyle w:val="Heading1"/>
        <w:keepNext/>
        <w:keepLines/>
        <w:spacing w:after="140" w:line="276"/>
      </w:pPr>
      <w:r>
        <w:rPr>
          <w:b w:val="false"/>
          <w:bCs w:val="false"/>
        </w:rPr>
        <w:t xml:space="preserve">Science</w:t>
      </w:r>
    </w:p>
    <w:p>
      <w:pPr>
        <w:pStyle w:val="Heading2"/>
        <w:keepNext/>
        <w:keepLines/>
        <w:spacing w:after="140" w:line="276"/>
      </w:pPr>
      <w:r>
        <w:rPr>
          <w:b w:val="false"/>
          <w:bCs w:val="false"/>
        </w:rPr>
        <w:t xml:space="preserve">Question 1</w:t>
      </w:r>
    </w:p>
    <w:p>
      <w:pPr>
        <w:keepNext/>
        <w:keepLines/>
        <w:spacing w:after="140" w:line="276"/>
      </w:pPr>
      <w:r>
        <w:rPr>
          <w:b w:val="false"/>
          <w:bCs w:val="false"/>
        </w:rPr>
        <w:t xml:space="preserve">To compare rainfall variability across centuries, paleoclimatologist Mara Venn analyzed mineral bands in cave deposits. Her processing method subtracts each century's average chemical reading from every annual reading in that century. Tests with modern deposits showed that the resulting deviations reliably distinguish unusually wet years from unusually dry ones. Venn found that deviations in the twelfth century were nearly identical in magnitude and distribution to those in the eighteenth century. A colleague therefore proposed that the two centuries had similar average rainfall. However, in this cave, a sustained increase in rainfall raises the chemical readings of all annual bands by approximately the same amount, without necessarily changing their year-to-year spread. Consequently, the agreement Venn observed would also be expected if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average rainfall were similar in the two centuries but unusually wet years were substantially more extreme in one century than in the other.</w:t>
      </w:r>
    </w:p>
    <w:p>
      <w:pPr>
        <w:keepNext/>
        <w:keepLines/>
        <w:spacing w:after="140" w:line="276"/>
        <w:ind w:left="240" w:hanging="240"/>
      </w:pPr>
      <w:r>
        <w:rPr>
          <w:b/>
          <w:bCs/>
        </w:rPr>
        <w:t xml:space="preserve">B.</w:t>
      </w:r>
      <w:r>
        <w:rPr>
          <w:b w:val="false"/>
          <w:bCs w:val="false"/>
        </w:rPr>
        <w:t xml:space="preserve"> the processing method preserved differences in average rainfall between centuries while suppressing fluctuations within each century.</w:t>
      </w:r>
    </w:p>
    <w:p>
      <w:pPr>
        <w:keepNext/>
        <w:keepLines/>
        <w:spacing w:after="140" w:line="276"/>
        <w:ind w:left="240" w:hanging="240"/>
      </w:pPr>
      <w:r>
        <w:rPr>
          <w:b/>
          <w:bCs/>
        </w:rPr>
        <w:t xml:space="preserve">C.</w:t>
      </w:r>
      <w:r>
        <w:rPr>
          <w:b w:val="false"/>
          <w:bCs w:val="false"/>
        </w:rPr>
        <w:t xml:space="preserve"> the cave deposits responded less strongly to year-to-year rainfall changes in the twelfth century, despite the two centuries having the same rainfall distribution.</w:t>
      </w:r>
    </w:p>
    <w:p>
      <w:pPr>
        <w:keepNext w:val="false"/>
        <w:keepLines/>
        <w:spacing w:after="260" w:line="276"/>
        <w:ind w:left="240" w:hanging="240"/>
      </w:pPr>
      <w:r>
        <w:rPr>
          <w:b/>
          <w:bCs/>
        </w:rPr>
        <w:t xml:space="preserve">D.</w:t>
      </w:r>
      <w:r>
        <w:rPr>
          <w:b w:val="false"/>
          <w:bCs w:val="false"/>
        </w:rPr>
        <w:t xml:space="preserve"> one century were consistently wetter than the other, with comparable annual departures from their respective rainfall averages.</w:t>
      </w:r>
    </w:p>
    <w:p>
      <w:pPr>
        <w:pStyle w:val="Heading2"/>
        <w:keepNext/>
        <w:keepLines/>
        <w:spacing w:after="140" w:line="276"/>
      </w:pPr>
      <w:r>
        <w:rPr>
          <w:b w:val="false"/>
          <w:bCs w:val="false"/>
        </w:rPr>
        <w:t xml:space="preserve">Question 2</w:t>
      </w:r>
    </w:p>
    <w:p>
      <w:pPr>
        <w:keepNext/>
        <w:keepLines/>
        <w:spacing w:after="140" w:line="276"/>
      </w:pPr>
      <w:r>
        <w:rPr>
          <w:b w:val="false"/>
          <w:bCs w:val="false"/>
        </w:rPr>
        <w:t xml:space="preserve">A salt-tolerant grass normally obtains nitrogen through bacteria living around its roots. The bacteria convert dissolved compound R into compound S, which the grass absorbs. Under salt stress, ordinary plants release molecule M and continue growing, whereas otherwise matched plants unable to release M stop growing. Researchers found that both plant types absorbed experimentally supplied S equally well under salt stress. Supplying extra R restored growth in neither type when the bacteria were absent. When the bacteria were present, however, adding M increased the conversion of R to S, and supplying S directly restored growth in plants unable to release M. Taken together, these findings locate the demonstrated benefit of M in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increasing the grass's capacity to absorb S, a benefit that supplying S directly can reproduce without improving bacterial conversion.</w:t>
      </w:r>
    </w:p>
    <w:p>
      <w:pPr>
        <w:keepNext/>
        <w:keepLines/>
        <w:spacing w:after="140" w:line="276"/>
        <w:ind w:left="240" w:hanging="240"/>
      </w:pPr>
      <w:r>
        <w:rPr>
          <w:b/>
          <w:bCs/>
        </w:rPr>
        <w:t xml:space="preserve">B.</w:t>
      </w:r>
      <w:r>
        <w:rPr>
          <w:b w:val="false"/>
          <w:bCs w:val="false"/>
        </w:rPr>
        <w:t xml:space="preserve"> increasing the availability of an absorbable nitrogen compound, rather than correcting an inability of the grass to absorb that compound under salt stress.</w:t>
      </w:r>
    </w:p>
    <w:p>
      <w:pPr>
        <w:keepNext/>
        <w:keepLines/>
        <w:spacing w:after="140" w:line="276"/>
        <w:ind w:left="240" w:hanging="240"/>
      </w:pPr>
      <w:r>
        <w:rPr>
          <w:b/>
          <w:bCs/>
        </w:rPr>
        <w:t xml:space="preserve">C.</w:t>
      </w:r>
      <w:r>
        <w:rPr>
          <w:b w:val="false"/>
          <w:bCs w:val="false"/>
        </w:rPr>
        <w:t xml:space="preserve"> enabling the grass to use R when bacterial conversion is insufficient, a benefit that becomes unnecessary when S is supplied directly.</w:t>
      </w:r>
    </w:p>
    <w:p>
      <w:pPr>
        <w:keepNext w:val="false"/>
        <w:keepLines/>
        <w:spacing w:after="260" w:line="276"/>
        <w:ind w:left="240" w:hanging="240"/>
      </w:pPr>
      <w:r>
        <w:rPr>
          <w:b/>
          <w:bCs/>
        </w:rPr>
        <w:t xml:space="preserve">D.</w:t>
      </w:r>
      <w:r>
        <w:rPr>
          <w:b w:val="false"/>
          <w:bCs w:val="false"/>
        </w:rPr>
        <w:t xml:space="preserve"> reducing the grass's nitrogen requirement during salt stress, thereby allowing bacterial production of S to remain unchanged as growth recovers.</w:t>
      </w:r>
    </w:p>
    <w:p>
      <w:pPr>
        <w:pStyle w:val="Heading2"/>
        <w:keepNext/>
        <w:keepLines/>
        <w:spacing w:after="140" w:line="276"/>
      </w:pPr>
      <w:r>
        <w:rPr>
          <w:b w:val="false"/>
          <w:bCs w:val="false"/>
        </w:rPr>
        <w:t xml:space="preserve">Question 3</w:t>
      </w:r>
    </w:p>
    <w:p>
      <w:pPr>
        <w:keepNext/>
        <w:keepLines/>
        <w:spacing w:after="140" w:line="276"/>
      </w:pPr>
      <w:r>
        <w:rPr>
          <w:b w:val="false"/>
          <w:bCs w:val="false"/>
        </w:rPr>
        <w:t xml:space="preserve">An atmospheric gas on planet Neral is destroyed by sunlight. Measurements show that its abundance has remained approximately constant for several decades. One model reproduces this abundance by combining a moderate destruction rate with continuous biological production. A second model, incorporating a newly measured shielding effect, uses a much lower destruction rate and reproduces the same abundance through a small, independently established geological source. Both models assume that the atmosphere is near equilibrium, so production balances destruction. A proposed observation would distinguish the models' destruction rates but would not detect organisms directly. Its relevance to the biological interpretation is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establishing the destruction rate would constrain how much replenishment is required, thereby testing whether the known geological source is sufficient to account for the gas.</w:t>
      </w:r>
    </w:p>
    <w:p>
      <w:pPr>
        <w:keepNext/>
        <w:keepLines/>
        <w:spacing w:after="140" w:line="276"/>
        <w:ind w:left="240" w:hanging="240"/>
      </w:pPr>
      <w:r>
        <w:rPr>
          <w:b/>
          <w:bCs/>
        </w:rPr>
        <w:t xml:space="preserve">B.</w:t>
      </w:r>
      <w:r>
        <w:rPr>
          <w:b w:val="false"/>
          <w:bCs w:val="false"/>
        </w:rPr>
        <w:t xml:space="preserve"> establishing the lower destruction rate would identify the geological source as the actual source, even if a biological source could supply gas at the same rate.</w:t>
      </w:r>
    </w:p>
    <w:p>
      <w:pPr>
        <w:keepNext/>
        <w:keepLines/>
        <w:spacing w:after="140" w:line="276"/>
        <w:ind w:left="240" w:hanging="240"/>
      </w:pPr>
      <w:r>
        <w:rPr>
          <w:b/>
          <w:bCs/>
        </w:rPr>
        <w:t xml:space="preserve">C.</w:t>
      </w:r>
      <w:r>
        <w:rPr>
          <w:b w:val="false"/>
          <w:bCs w:val="false"/>
        </w:rPr>
        <w:t xml:space="preserve"> establishing either destruction rate would favor biological production, since continued replenishment is required under both models to maintain the observed abundance.</w:t>
      </w:r>
    </w:p>
    <w:p>
      <w:pPr>
        <w:keepNext w:val="false"/>
        <w:keepLines/>
        <w:spacing w:after="260" w:line="276"/>
        <w:ind w:left="240" w:hanging="240"/>
      </w:pPr>
      <w:r>
        <w:rPr>
          <w:b/>
          <w:bCs/>
        </w:rPr>
        <w:t xml:space="preserve">D.</w:t>
      </w:r>
      <w:r>
        <w:rPr>
          <w:b w:val="false"/>
          <w:bCs w:val="false"/>
        </w:rPr>
        <w:t xml:space="preserve"> establishing the moderate destruction rate would show that the stable abundance itself distinguishes biological replenishment from other sources of comparable strength.</w:t>
      </w:r>
    </w:p>
    <w:p>
      <w:pPr>
        <w:pStyle w:val="Heading2"/>
        <w:keepNext/>
        <w:keepLines/>
        <w:spacing w:after="140" w:line="276"/>
      </w:pPr>
      <w:r>
        <w:rPr>
          <w:b w:val="false"/>
          <w:bCs w:val="false"/>
        </w:rPr>
        <w:t xml:space="preserve">Question 4</w:t>
      </w:r>
    </w:p>
    <w:p>
      <w:pPr>
        <w:keepNext/>
        <w:keepLines/>
        <w:spacing w:after="140" w:line="276"/>
      </w:pPr>
      <w:r>
        <w:rPr>
          <w:b w:val="false"/>
          <w:bCs w:val="false"/>
        </w:rPr>
        <w:t xml:space="preserve">Some moths stop emitting mating calls when they detect ultrasound. Biologists proposed that this response protects moths from bats, which use ultrasound to locate prey. In an enclosure experiment, moths reduced calling equally when exposed to recordings of hunting bats and to artificial tones matched to those recordings in frequency and intensity. A critic argued that the response therefore cannot be an adaptation to bats because it does not distinguish bats from artificial sources. The biologists note that the artificial tones reproduce a feature reliably associated with bats in the moths' natural habitat, where other sources of that feature are uncommon. Their reply implies that the critic has failed to distinguish between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evidence that moths respond to sound intensity and evidence that sound frequency has no influence on their response to a potential predator.</w:t>
      </w:r>
    </w:p>
    <w:p>
      <w:pPr>
        <w:keepNext/>
        <w:keepLines/>
        <w:spacing w:after="140" w:line="276"/>
        <w:ind w:left="240" w:hanging="240"/>
      </w:pPr>
      <w:r>
        <w:rPr>
          <w:b/>
          <w:bCs/>
        </w:rPr>
        <w:t xml:space="preserve">B.</w:t>
      </w:r>
      <w:r>
        <w:rPr>
          <w:b w:val="false"/>
          <w:bCs w:val="false"/>
        </w:rPr>
        <w:t xml:space="preserve"> a behavior that reduces predation in an enclosure and one whose protective effect depends on moths learning to recognize individual bats.</w:t>
      </w:r>
    </w:p>
    <w:p>
      <w:pPr>
        <w:keepNext/>
        <w:keepLines/>
        <w:spacing w:after="140" w:line="276"/>
        <w:ind w:left="240" w:hanging="240"/>
      </w:pPr>
      <w:r>
        <w:rPr>
          <w:b/>
          <w:bCs/>
        </w:rPr>
        <w:t xml:space="preserve">C.</w:t>
      </w:r>
      <w:r>
        <w:rPr>
          <w:b w:val="false"/>
          <w:bCs w:val="false"/>
        </w:rPr>
        <w:t xml:space="preserve"> a response's selectivity among experimentally created stimuli and the usefulness of its triggering cue under the conditions in which the response evolved.</w:t>
      </w:r>
    </w:p>
    <w:p>
      <w:pPr>
        <w:keepNext w:val="false"/>
        <w:keepLines/>
        <w:spacing w:after="260" w:line="276"/>
        <w:ind w:left="240" w:hanging="240"/>
      </w:pPr>
      <w:r>
        <w:rPr>
          <w:b/>
          <w:bCs/>
        </w:rPr>
        <w:t xml:space="preserve">D.</w:t>
      </w:r>
      <w:r>
        <w:rPr>
          <w:b w:val="false"/>
          <w:bCs w:val="false"/>
        </w:rPr>
        <w:t xml:space="preserve"> a response elicited by a natural stimulus and one whose occurrence with an artificial stimulus demonstrates that its original function has changed.</w:t>
      </w:r>
    </w:p>
    <w:p>
      <w:pPr>
        <w:pStyle w:val="Heading2"/>
        <w:keepNext/>
        <w:keepLines/>
        <w:spacing w:after="140" w:line="276"/>
      </w:pPr>
      <w:r>
        <w:rPr>
          <w:b w:val="false"/>
          <w:bCs w:val="false"/>
        </w:rPr>
        <w:t xml:space="preserve">Question 5</w:t>
      </w:r>
    </w:p>
    <w:p>
      <w:pPr>
        <w:keepNext/>
        <w:keepLines/>
        <w:spacing w:after="140" w:line="276"/>
      </w:pPr>
      <w:r>
        <w:rPr>
          <w:b w:val="false"/>
          <w:bCs w:val="false"/>
        </w:rPr>
        <w:t xml:space="preserve">Fossils of burrowing animals become much more common above a particular boundary in a sequence of lake sediments. One interpretation is that the animals became more abundant at that time. Yet the sediments also change at the boundary from coarse sand, in which fragile burrow linings rarely survive, to fine mud, in which they survive readily. To separate these explanations, a team examined durable feeding pellets produced by the same animals. Experiments indicate that the pellets are equally likely to survive in either sediment, and independent evidence indicates that the animals' average pellet production did not change. Pellet counts per unit of deposited sediment remain stable across the boundary. Assuming that sediment accumulation rates were also stable, the combined evidence suggests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the animals increased their burrowing activity without increasing their population, leaving more linings but a similar number of feeding pellets.</w:t>
      </w:r>
    </w:p>
    <w:p>
      <w:pPr>
        <w:keepNext/>
        <w:keepLines/>
        <w:spacing w:after="140" w:line="276"/>
        <w:ind w:left="240" w:hanging="240"/>
      </w:pPr>
      <w:r>
        <w:rPr>
          <w:b/>
          <w:bCs/>
        </w:rPr>
        <w:t xml:space="preserve">B.</w:t>
      </w:r>
      <w:r>
        <w:rPr>
          <w:b w:val="false"/>
          <w:bCs w:val="false"/>
        </w:rPr>
        <w:t xml:space="preserve"> the apparent increase in the animals' representation is better explained by improved preservation of one trace than by an increase in the population producing both traces.</w:t>
      </w:r>
    </w:p>
    <w:p>
      <w:pPr>
        <w:keepNext/>
        <w:keepLines/>
        <w:spacing w:after="140" w:line="276"/>
        <w:ind w:left="240" w:hanging="240"/>
      </w:pPr>
      <w:r>
        <w:rPr>
          <w:b/>
          <w:bCs/>
        </w:rPr>
        <w:t xml:space="preserve">C.</w:t>
      </w:r>
      <w:r>
        <w:rPr>
          <w:b w:val="false"/>
          <w:bCs w:val="false"/>
        </w:rPr>
        <w:t xml:space="preserve"> the stability of the pellet record offsets the increase in the lining record, leaving the abundance and preservation explanations equally supported.</w:t>
      </w:r>
    </w:p>
    <w:p>
      <w:pPr>
        <w:keepNext w:val="false"/>
        <w:keepLines/>
        <w:spacing w:after="260" w:line="276"/>
        <w:ind w:left="240" w:hanging="240"/>
      </w:pPr>
      <w:r>
        <w:rPr>
          <w:b/>
          <w:bCs/>
        </w:rPr>
        <w:t xml:space="preserve">D.</w:t>
      </w:r>
      <w:r>
        <w:rPr>
          <w:b w:val="false"/>
          <w:bCs w:val="false"/>
        </w:rPr>
        <w:t xml:space="preserve"> improved preservation increased both kinds of traces, but a decline in pellet production concealed its effect on the more durable record.</w:t>
      </w:r>
    </w:p>
    <w:p>
      <w:pPr>
        <w:pStyle w:val="Heading2"/>
        <w:keepNext/>
        <w:keepLines/>
        <w:spacing w:after="140" w:line="276"/>
      </w:pPr>
      <w:r>
        <w:rPr>
          <w:b w:val="false"/>
          <w:bCs w:val="false"/>
        </w:rPr>
        <w:t xml:space="preserve">Question 6</w:t>
      </w:r>
    </w:p>
    <w:p>
      <w:pPr>
        <w:keepNext/>
        <w:keepLines/>
        <w:spacing w:after="140" w:line="276"/>
      </w:pPr>
      <w:r>
        <w:rPr>
          <w:b w:val="false"/>
          <w:bCs w:val="false"/>
        </w:rPr>
        <w:t xml:space="preserve">In a cell culture, activation of protein Z is sufficient to initiate a repair response. Researchers are comparing two pathways: in the first, stress activates protein X, which activates Z; in the second, stress activates X and Z independently. Under ordinary conditions, blocking X prevents the repair response. A drug can activate Z directly without affecting X. When researchers block X and administer the drug, repair resumes. They have independently verified that the X blocker affects no other component of either proposed pathway. Within this comparison, the combined results indicate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X is unnecessary for the ordinary stress response, since activating Z restores repair without restoring X.</w:t>
      </w:r>
    </w:p>
    <w:p>
      <w:pPr>
        <w:keepNext/>
        <w:keepLines/>
        <w:spacing w:after="140" w:line="276"/>
        <w:ind w:left="240" w:hanging="240"/>
      </w:pPr>
      <w:r>
        <w:rPr>
          <w:b/>
          <w:bCs/>
        </w:rPr>
        <w:t xml:space="preserve">B.</w:t>
      </w:r>
      <w:r>
        <w:rPr>
          <w:b w:val="false"/>
          <w:bCs w:val="false"/>
        </w:rPr>
        <w:t xml:space="preserve"> the two proposed pathways remain equally compatible with the results, since each includes Z as a component required for repair.</w:t>
      </w:r>
    </w:p>
    <w:p>
      <w:pPr>
        <w:keepNext/>
        <w:keepLines/>
        <w:spacing w:after="140" w:line="276"/>
        <w:ind w:left="240" w:hanging="240"/>
      </w:pPr>
      <w:r>
        <w:rPr>
          <w:b/>
          <w:bCs/>
        </w:rPr>
        <w:t xml:space="preserve">C.</w:t>
      </w:r>
      <w:r>
        <w:rPr>
          <w:b w:val="false"/>
          <w:bCs w:val="false"/>
        </w:rPr>
        <w:t xml:space="preserve"> X and Z must activate one another during the ordinary stress response, since the loss of either can be offset by intervening on the other.</w:t>
      </w:r>
    </w:p>
    <w:p>
      <w:pPr>
        <w:keepNext w:val="false"/>
        <w:keepLines/>
        <w:spacing w:after="260" w:line="276"/>
        <w:ind w:left="240" w:hanging="240"/>
      </w:pPr>
      <w:r>
        <w:rPr>
          <w:b/>
          <w:bCs/>
        </w:rPr>
        <w:t xml:space="preserve">D.</w:t>
      </w:r>
      <w:r>
        <w:rPr>
          <w:b w:val="false"/>
          <w:bCs w:val="false"/>
        </w:rPr>
        <w:t xml:space="preserve"> X is required upstream of Z in the ordinary response but can be bypassed by an intervention that supplies the downstream activation.</w:t>
      </w:r>
    </w:p>
    <w:p>
      <w:pPr>
        <w:pStyle w:val="Heading2"/>
        <w:keepNext/>
        <w:keepLines/>
        <w:spacing w:after="140" w:line="276"/>
      </w:pPr>
      <w:r>
        <w:rPr>
          <w:b w:val="false"/>
          <w:bCs w:val="false"/>
        </w:rPr>
        <w:t xml:space="preserve">Question 7</w:t>
      </w:r>
    </w:p>
    <w:p>
      <w:pPr>
        <w:keepNext/>
        <w:keepLines/>
        <w:spacing w:after="140" w:line="276"/>
      </w:pPr>
      <w:r>
        <w:rPr>
          <w:b w:val="false"/>
          <w:bCs w:val="false"/>
        </w:rPr>
        <w:t xml:space="preserve">An alpine plant flowers after accumulating a fixed amount of warmth following snowmelt. Its pollinating insect emerges when day length reaches a fixed threshold, largely independently of spring temperature. At one site, flowering and insect emergence currently overlap. A model projects earlier snowmelt and warmer springs there but no change in the insect's day-length response. It also assumes that each flowering season lasts the same number of days. A proposed conservation measure would shade the plants after snowmelt, slowing their accumulation of warmth without changing snowmelt or insect emergence. Within the model, the measure would preserve overlap most effectively if it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reduced the plants' warming rate enough to make flowering begin at snowmelt, thereby allowing the longer snow-free period to compensate for fixed insect emergence.</w:t>
      </w:r>
    </w:p>
    <w:p>
      <w:pPr>
        <w:keepNext/>
        <w:keepLines/>
        <w:spacing w:after="140" w:line="276"/>
        <w:ind w:left="240" w:hanging="240"/>
      </w:pPr>
      <w:r>
        <w:rPr>
          <w:b/>
          <w:bCs/>
        </w:rPr>
        <w:t xml:space="preserve">B.</w:t>
      </w:r>
      <w:r>
        <w:rPr>
          <w:b w:val="false"/>
          <w:bCs w:val="false"/>
        </w:rPr>
        <w:t xml:space="preserve"> reproduced the plants' current post-snowmelt warming rate, regardless of how much earlier the projected snowmelt occurred.</w:t>
      </w:r>
    </w:p>
    <w:p>
      <w:pPr>
        <w:keepNext/>
        <w:keepLines/>
        <w:spacing w:after="140" w:line="276"/>
        <w:ind w:left="240" w:hanging="240"/>
      </w:pPr>
      <w:r>
        <w:rPr>
          <w:b/>
          <w:bCs/>
        </w:rPr>
        <w:t xml:space="preserve">C.</w:t>
      </w:r>
      <w:r>
        <w:rPr>
          <w:b w:val="false"/>
          <w:bCs w:val="false"/>
        </w:rPr>
        <w:t xml:space="preserve"> delayed the plants' attainment of their flowering threshold enough to offset the combined advance produced by earlier snowmelt and faster warming.</w:t>
      </w:r>
    </w:p>
    <w:p>
      <w:pPr>
        <w:keepNext w:val="false"/>
        <w:keepLines/>
        <w:spacing w:after="260" w:line="276"/>
        <w:ind w:left="240" w:hanging="240"/>
      </w:pPr>
      <w:r>
        <w:rPr>
          <w:b/>
          <w:bCs/>
        </w:rPr>
        <w:t xml:space="preserve">D.</w:t>
      </w:r>
      <w:r>
        <w:rPr>
          <w:b w:val="false"/>
          <w:bCs w:val="false"/>
        </w:rPr>
        <w:t xml:space="preserve"> matched the advance in snowmelt with an equal advance in flowering, thereby preserving the current interval between the two plant-related events.</w:t>
      </w:r>
    </w:p>
    <w:p>
      <w:pPr>
        <w:pStyle w:val="Heading2"/>
        <w:keepNext/>
        <w:keepLines/>
        <w:spacing w:after="140" w:line="276"/>
      </w:pPr>
      <w:r>
        <w:rPr>
          <w:b w:val="false"/>
          <w:bCs w:val="false"/>
        </w:rPr>
        <w:t xml:space="preserve">Question 8</w:t>
      </w:r>
    </w:p>
    <w:p>
      <w:pPr>
        <w:keepNext/>
        <w:keepLines/>
        <w:spacing w:after="140" w:line="276"/>
      </w:pPr>
      <w:r>
        <w:rPr>
          <w:b w:val="false"/>
          <w:bCs w:val="false"/>
        </w:rPr>
        <w:t xml:space="preserve">A mineral grain in a glacier retains the chemical signature of an eruption 30,000 years ago, while surrounding ice layers are independently dated to about 8,000 years ago. A second signal in the grain accumulates while it is shielded from sunlight and is erased by sustained exposure. This signal indicates about 8,000 years of uninterrupted shielding. One researcher concludes that the grain remained exposed from the eruption until it entered the glacier. Another notes that the chemical signature survives repeated burial and exposure, while a sufficiently long final exposure would erase the second signal's record of any earlier burial. The ice has remained intact since formation. Although both researchers accept that incorporation into the ice began the grain's current shielding interval, their evidence leaves unresolved whether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the interval between eruption and incorporation included earlier periods of burial whose record was erased before the current shielding interval began.</w:t>
      </w:r>
    </w:p>
    <w:p>
      <w:pPr>
        <w:keepNext/>
        <w:keepLines/>
        <w:spacing w:after="140" w:line="276"/>
        <w:ind w:left="240" w:hanging="240"/>
      </w:pPr>
      <w:r>
        <w:rPr>
          <w:b/>
          <w:bCs/>
        </w:rPr>
        <w:t xml:space="preserve">B.</w:t>
      </w:r>
      <w:r>
        <w:rPr>
          <w:b w:val="false"/>
          <w:bCs w:val="false"/>
        </w:rPr>
        <w:t xml:space="preserve"> the current shielding interval began at the eruption rather than at incorporation, since the grain retains the eruption's chemical signature.</w:t>
      </w:r>
    </w:p>
    <w:p>
      <w:pPr>
        <w:keepNext/>
        <w:keepLines/>
        <w:spacing w:after="140" w:line="276"/>
        <w:ind w:left="240" w:hanging="240"/>
      </w:pPr>
      <w:r>
        <w:rPr>
          <w:b/>
          <w:bCs/>
        </w:rPr>
        <w:t xml:space="preserve">C.</w:t>
      </w:r>
      <w:r>
        <w:rPr>
          <w:b w:val="false"/>
          <w:bCs w:val="false"/>
        </w:rPr>
        <w:t xml:space="preserve"> the grain's eruption signature was produced during an earlier burial, since a later exposure could preserve one signal while erasing the other.</w:t>
      </w:r>
    </w:p>
    <w:p>
      <w:pPr>
        <w:keepNext w:val="false"/>
        <w:keepLines/>
        <w:spacing w:after="260" w:line="276"/>
        <w:ind w:left="240" w:hanging="240"/>
      </w:pPr>
      <w:r>
        <w:rPr>
          <w:b/>
          <w:bCs/>
        </w:rPr>
        <w:t xml:space="preserve">D.</w:t>
      </w:r>
      <w:r>
        <w:rPr>
          <w:b w:val="false"/>
          <w:bCs w:val="false"/>
        </w:rPr>
        <w:t xml:space="preserve"> the second signal has continued accumulating since the eruption, with repeated exposure explaining why it records more time than the surrounding ice.</w:t>
      </w:r>
    </w:p>
    <w:p>
      <w:pPr>
        <w:pStyle w:val="Heading2"/>
        <w:keepNext/>
        <w:keepLines/>
        <w:spacing w:after="140" w:line="276"/>
      </w:pPr>
      <w:r>
        <w:rPr>
          <w:b w:val="false"/>
          <w:bCs w:val="false"/>
        </w:rPr>
        <w:t xml:space="preserve">Question 9</w:t>
      </w:r>
    </w:p>
    <w:p>
      <w:pPr>
        <w:keepNext/>
        <w:keepLines/>
        <w:spacing w:after="140" w:line="276"/>
      </w:pPr>
      <w:r>
        <w:rPr>
          <w:b w:val="false"/>
          <w:bCs w:val="false"/>
        </w:rPr>
        <w:t xml:space="preserve">Two lakes have identical concentrations of a dissolved nutrient. In Lake Arven, algae incorporate the nutrient into their cells and release it again rapidly; in Lake Belis, incorporation and release are both slow. A tracer experiment confirms that the amount released per liter of lake water each day is greater in Arven, despite the equal dissolved concentrations. A proposed treatment would remove a fixed fraction of dissolved nutrient each day while leaving nutrient inside living algae untouched. During its first few days, release from algae is expected to remain near each lake's pre-treatment rate. New incorporation will become negligible in both lakes as dissolved nutrient becomes scarce. A prediction that the initial equality of concentrations ensures matching responses to treatment would overlook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the more rapid cycling in Arven would make the treatment remove a greater fraction of its dissolved nutrient each day, independently of changes in concentration.</w:t>
      </w:r>
    </w:p>
    <w:p>
      <w:pPr>
        <w:keepNext/>
        <w:keepLines/>
        <w:spacing w:after="140" w:line="276"/>
        <w:ind w:left="240" w:hanging="240"/>
      </w:pPr>
      <w:r>
        <w:rPr>
          <w:b/>
          <w:bCs/>
        </w:rPr>
        <w:t xml:space="preserve">B.</w:t>
      </w:r>
      <w:r>
        <w:rPr>
          <w:b w:val="false"/>
          <w:bCs w:val="false"/>
        </w:rPr>
        <w:t xml:space="preserve"> the exclusion of living algae would continue protecting the nutrient they release, making the dissolved measurements progressively less representative of removable nutrient.</w:t>
      </w:r>
    </w:p>
    <w:p>
      <w:pPr>
        <w:keepNext/>
        <w:keepLines/>
        <w:spacing w:after="140" w:line="276"/>
        <w:ind w:left="240" w:hanging="240"/>
      </w:pPr>
      <w:r>
        <w:rPr>
          <w:b/>
          <w:bCs/>
        </w:rPr>
        <w:t xml:space="preserve">C.</w:t>
      </w:r>
      <w:r>
        <w:rPr>
          <w:b w:val="false"/>
          <w:bCs w:val="false"/>
        </w:rPr>
        <w:t xml:space="preserve"> Arven's faster pre-treatment incorporation would continue drawing down its dissolved nutrient more rapidly, outweighing the lake's greater release from algae.</w:t>
      </w:r>
    </w:p>
    <w:p>
      <w:pPr>
        <w:keepNext w:val="false"/>
        <w:keepLines/>
        <w:spacing w:after="260" w:line="276"/>
        <w:ind w:left="240" w:hanging="240"/>
      </w:pPr>
      <w:r>
        <w:rPr>
          <w:b/>
          <w:bCs/>
        </w:rPr>
        <w:t xml:space="preserve">D.</w:t>
      </w:r>
      <w:r>
        <w:rPr>
          <w:b w:val="false"/>
          <w:bCs w:val="false"/>
        </w:rPr>
        <w:t xml:space="preserve"> nutrient initially excluded from removal would reenter the treated pool, with a greater replenishing input per liter in Arven during the early treatment period.</w:t>
      </w:r>
    </w:p>
    <w:p>
      <w:pPr>
        <w:pStyle w:val="Heading2"/>
        <w:keepNext/>
        <w:keepLines/>
        <w:spacing w:after="140" w:line="276"/>
      </w:pPr>
      <w:r>
        <w:rPr>
          <w:b w:val="false"/>
          <w:bCs w:val="false"/>
        </w:rPr>
        <w:t xml:space="preserve">Question 10</w:t>
      </w:r>
    </w:p>
    <w:p>
      <w:pPr>
        <w:keepNext/>
        <w:keepLines/>
        <w:spacing w:after="140" w:line="276"/>
      </w:pPr>
      <w:r>
        <w:rPr>
          <w:b w:val="false"/>
          <w:bCs w:val="false"/>
        </w:rPr>
        <w:t xml:space="preserve">Ecologists studying a shrub found that dense stands increase soil salinity, and high salinity suppresses the germination of grasses that would otherwise compete with the shrub. They proposed that this feedback helps established stands persist. A critic noted that shrub seeds germinate poorly in highly saline soil and argued that the feedback must therefore undermine, rather than reinforce, shrub dominance. The ecologists' subsequent experiments showed that mature shrubs tolerate salinity levels that prevent both grass and shrub seeds from germinating, and that established shrubs expand mainly through shoots connected to mature plants. Thus, the critic's argument would be strongest if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grass seeds were less tolerant of saline soil than shrub seeds, allowing the feedback to restrict competitors before restricting shrub recruitment.</w:t>
      </w:r>
    </w:p>
    <w:p>
      <w:pPr>
        <w:keepNext/>
        <w:keepLines/>
        <w:spacing w:after="140" w:line="276"/>
        <w:ind w:left="240" w:hanging="240"/>
      </w:pPr>
      <w:r>
        <w:rPr>
          <w:b/>
          <w:bCs/>
        </w:rPr>
        <w:t xml:space="preserve">B.</w:t>
      </w:r>
      <w:r>
        <w:rPr>
          <w:b w:val="false"/>
          <w:bCs w:val="false"/>
        </w:rPr>
        <w:t xml:space="preserve"> connected shoots tolerated the same salinity as mature shrubs, allowing expansion to occur without the germination of new shrub seeds.</w:t>
      </w:r>
    </w:p>
    <w:p>
      <w:pPr>
        <w:keepNext/>
        <w:keepLines/>
        <w:spacing w:after="140" w:line="276"/>
        <w:ind w:left="240" w:hanging="240"/>
      </w:pPr>
      <w:r>
        <w:rPr>
          <w:b/>
          <w:bCs/>
        </w:rPr>
        <w:t xml:space="preserve">C.</w:t>
      </w:r>
      <w:r>
        <w:rPr>
          <w:b w:val="false"/>
          <w:bCs w:val="false"/>
        </w:rPr>
        <w:t xml:space="preserve"> maintenance of established shrub dominance depended on the seed-germination stage whose success the feedback reduces.</w:t>
      </w:r>
    </w:p>
    <w:p>
      <w:pPr>
        <w:keepNext w:val="false"/>
        <w:keepLines/>
        <w:spacing w:after="260" w:line="276"/>
        <w:ind w:left="240" w:hanging="240"/>
      </w:pPr>
      <w:r>
        <w:rPr>
          <w:b/>
          <w:bCs/>
        </w:rPr>
        <w:t xml:space="preserve">D.</w:t>
      </w:r>
      <w:r>
        <w:rPr>
          <w:b w:val="false"/>
          <w:bCs w:val="false"/>
        </w:rPr>
        <w:t xml:space="preserve"> established shrubs increased salinity only after reaching a density sufficient to suppress grass germination near their roots.</w:t>
      </w:r>
    </w:p>
    <w:p>
      <w:pPr>
        <w:pStyle w:val="Heading2"/>
        <w:keepNext/>
        <w:keepLines/>
        <w:spacing w:after="140" w:line="276"/>
      </w:pPr>
      <w:r>
        <w:rPr>
          <w:b w:val="false"/>
          <w:bCs w:val="false"/>
        </w:rPr>
        <w:t xml:space="preserve">Question 11</w:t>
      </w:r>
    </w:p>
    <w:p>
      <w:pPr>
        <w:keepNext/>
        <w:keepLines/>
        <w:spacing w:after="140" w:line="276"/>
      </w:pPr>
      <w:r>
        <w:rPr>
          <w:b w:val="false"/>
          <w:bCs w:val="false"/>
        </w:rPr>
        <w:t xml:space="preserve">An observatory estimates the brightness of a class of stars from brief exposures, retaining only measurements above a detection threshold. Stars in distant clusters are generally close to that threshold, whereas otherwise similar stars in nearby clusters are well above it. The stars fluctuate modestly around their usual brightness, and the exposures sample random moments. An astronomer compares the retained measurements after correcting for distance and finds that distant stars appear intrinsically brighter. Longer exposures, which average over the fluctuations, subsequently establish that the two groups have the same distribution of usual intrinsic brightness. These findings imply that in the original comparison,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retained measurements of distant stars disproportionately sampled their brighter phases, whereas retained measurements of nearby stars more fully sampled their fluctuations.</w:t>
      </w:r>
    </w:p>
    <w:p>
      <w:pPr>
        <w:keepNext/>
        <w:keepLines/>
        <w:spacing w:after="140" w:line="276"/>
        <w:ind w:left="240" w:hanging="240"/>
      </w:pPr>
      <w:r>
        <w:rPr>
          <w:b/>
          <w:bCs/>
        </w:rPr>
        <w:t xml:space="preserve">B.</w:t>
      </w:r>
      <w:r>
        <w:rPr>
          <w:b w:val="false"/>
          <w:bCs w:val="false"/>
        </w:rPr>
        <w:t xml:space="preserve"> correcting for distance exaggerated fluctuations in distant stars, although the threshold retained the same mixture of bright and dim phases in both groups.</w:t>
      </w:r>
    </w:p>
    <w:p>
      <w:pPr>
        <w:keepNext/>
        <w:keepLines/>
        <w:spacing w:after="140" w:line="276"/>
        <w:ind w:left="240" w:hanging="240"/>
      </w:pPr>
      <w:r>
        <w:rPr>
          <w:b/>
          <w:bCs/>
        </w:rPr>
        <w:t xml:space="preserve">C.</w:t>
      </w:r>
      <w:r>
        <w:rPr>
          <w:b w:val="false"/>
          <w:bCs w:val="false"/>
        </w:rPr>
        <w:t xml:space="preserve"> the distant stars fluctuated more widely than the nearby stars, producing unusually bright exposures despite the groups' matching usual brightness distributions.</w:t>
      </w:r>
    </w:p>
    <w:p>
      <w:pPr>
        <w:keepNext w:val="false"/>
        <w:keepLines/>
        <w:spacing w:after="260" w:line="276"/>
        <w:ind w:left="240" w:hanging="240"/>
      </w:pPr>
      <w:r>
        <w:rPr>
          <w:b/>
          <w:bCs/>
        </w:rPr>
        <w:t xml:space="preserve">D.</w:t>
      </w:r>
      <w:r>
        <w:rPr>
          <w:b w:val="false"/>
          <w:bCs w:val="false"/>
        </w:rPr>
        <w:t xml:space="preserve"> the threshold excluded intrinsically bright nearby stars during their dim phases more often than it excluded intrinsically faint distant stars during their bright phases.</w:t>
      </w:r>
    </w:p>
    <w:p>
      <w:pPr>
        <w:pStyle w:val="Heading2"/>
        <w:keepNext/>
        <w:keepLines/>
        <w:spacing w:after="140" w:line="276"/>
      </w:pPr>
      <w:r>
        <w:rPr>
          <w:b w:val="false"/>
          <w:bCs w:val="false"/>
        </w:rPr>
        <w:t xml:space="preserve">Question 12</w:t>
      </w:r>
    </w:p>
    <w:p>
      <w:pPr>
        <w:keepNext/>
        <w:keepLines/>
        <w:spacing w:after="140" w:line="276"/>
      </w:pPr>
      <w:r>
        <w:rPr>
          <w:b w:val="false"/>
          <w:bCs w:val="false"/>
        </w:rPr>
        <w:t xml:space="preserve">Seeds collected from a drought-prone valley produce plants with smaller leaves than seeds collected from a wet valley, even when both are grown in the same greenhouse. A biologist attributes the difference to inherited DNA differences. Another notes that conditions experienced by a parent plant can alter its seeds' nutrient reserves, affecting offspring leaves without changing DNA. Researchers therefore grow the greenhouse plants to maturity under identical conditions and compare plants grown from the seeds those plants produce. The leaf-size difference disappears in this second greenhouse generation. The researchers have ruled out differential survival, crossbreeding between the valley lineages, and changes in the measured growing conditions. The second-generation result therefore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establishes that the valley populations lack inherited DNA differences, since their descendants converge when their parents share a growing environment.</w:t>
      </w:r>
    </w:p>
    <w:p>
      <w:pPr>
        <w:keepNext/>
        <w:keepLines/>
        <w:spacing w:after="140" w:line="276"/>
        <w:ind w:left="240" w:hanging="240"/>
      </w:pPr>
      <w:r>
        <w:rPr>
          <w:b/>
          <w:bCs/>
        </w:rPr>
        <w:t xml:space="preserve">B.</w:t>
      </w:r>
      <w:r>
        <w:rPr>
          <w:b w:val="false"/>
          <w:bCs w:val="false"/>
        </w:rPr>
        <w:t xml:space="preserve"> weakens the claim that the first-generation leaf difference reflects a stable DNA-based difference expressed under the greenhouse conditions, without identifying the particular parental influence involved.</w:t>
      </w:r>
    </w:p>
    <w:p>
      <w:pPr>
        <w:keepNext/>
        <w:keepLines/>
        <w:spacing w:after="140" w:line="276"/>
        <w:ind w:left="240" w:hanging="240"/>
      </w:pPr>
      <w:r>
        <w:rPr>
          <w:b/>
          <w:bCs/>
        </w:rPr>
        <w:t xml:space="preserve">C.</w:t>
      </w:r>
      <w:r>
        <w:rPr>
          <w:b w:val="false"/>
          <w:bCs w:val="false"/>
        </w:rPr>
        <w:t xml:space="preserve"> establishes that differences in seed nutrient reserves caused the first-generation result, since that proposed influence can disappear after a generation in a common environment.</w:t>
      </w:r>
    </w:p>
    <w:p>
      <w:pPr>
        <w:keepNext w:val="false"/>
        <w:keepLines/>
        <w:spacing w:after="260" w:line="276"/>
        <w:ind w:left="240" w:hanging="240"/>
      </w:pPr>
      <w:r>
        <w:rPr>
          <w:b/>
          <w:bCs/>
        </w:rPr>
        <w:t xml:space="preserve">D.</w:t>
      </w:r>
      <w:r>
        <w:rPr>
          <w:b w:val="false"/>
          <w:bCs w:val="false"/>
        </w:rPr>
        <w:t xml:space="preserve"> leaves the stable DNA-based explanation as well supported as before, since the original leaf difference persisted when plants first shared a growing environment.</w:t>
      </w:r>
    </w:p>
    <w:p>
      <w:pPr>
        <w:pStyle w:val="Heading1"/>
        <w:keepNext/>
        <w:keepLines/>
        <w:spacing w:after="140" w:line="276"/>
      </w:pPr>
      <w:r>
        <w:rPr>
          <w:b w:val="false"/>
          <w:bCs w:val="false"/>
        </w:rPr>
        <w:t xml:space="preserve">Economics</w:t>
      </w:r>
    </w:p>
    <w:p>
      <w:pPr>
        <w:pStyle w:val="Heading2"/>
        <w:keepNext/>
        <w:keepLines/>
        <w:spacing w:after="140" w:line="276"/>
      </w:pPr>
      <w:r>
        <w:rPr>
          <w:b w:val="false"/>
          <w:bCs w:val="false"/>
        </w:rPr>
        <w:t xml:space="preserve">Question 13</w:t>
      </w:r>
    </w:p>
    <w:p>
      <w:pPr>
        <w:keepNext/>
        <w:keepLines/>
        <w:spacing w:after="140" w:line="276"/>
      </w:pPr>
      <w:r>
        <w:rPr>
          <w:b w:val="false"/>
          <w:bCs w:val="false"/>
        </w:rPr>
        <w:t xml:space="preserve">A city's average hourly wage rose after a recession, even though payroll records show that no continuing worker received a raise. Employment fell most sharply in relatively low-paying sectors. An analyst recalculates the post-recession average by applying each sector's pre-recession employment share to that sector's post-recession average wage. The recalculated citywide wage is still higher than before the recession, though by less than the unadjusted average. Further examination shows that within each sector, job losses were concentrated among its lowest-paid workers. No workers changed sectors, and there were no new hires. Thus, the residual increase in the recalculated average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shows that wages rose for some continuing workers, since fixing sector employment shares removes the influence of employment losses on the citywide average.</w:t>
      </w:r>
    </w:p>
    <w:p>
      <w:pPr>
        <w:keepNext/>
        <w:keepLines/>
        <w:spacing w:after="140" w:line="276"/>
        <w:ind w:left="240" w:hanging="240"/>
      </w:pPr>
      <w:r>
        <w:rPr>
          <w:b/>
          <w:bCs/>
        </w:rPr>
        <w:t xml:space="preserve">B.</w:t>
      </w:r>
      <w:r>
        <w:rPr>
          <w:b w:val="false"/>
          <w:bCs w:val="false"/>
        </w:rPr>
        <w:t xml:space="preserve"> indicates that the recalculation assigned relatively high-paying sectors more weight than they had before the recession, despite its use of the earlier employment shares.</w:t>
      </w:r>
    </w:p>
    <w:p>
      <w:pPr>
        <w:keepNext/>
        <w:keepLines/>
        <w:spacing w:after="140" w:line="276"/>
        <w:ind w:left="240" w:hanging="240"/>
      </w:pPr>
      <w:r>
        <w:rPr>
          <w:b/>
          <w:bCs/>
        </w:rPr>
        <w:t xml:space="preserve">C.</w:t>
      </w:r>
      <w:r>
        <w:rPr>
          <w:b w:val="false"/>
          <w:bCs w:val="false"/>
        </w:rPr>
        <w:t xml:space="preserve"> can reflect changes in the workers represented within sectors, which fixing the relative weights of sectors does not remove.</w:t>
      </w:r>
    </w:p>
    <w:p>
      <w:pPr>
        <w:keepNext w:val="false"/>
        <w:keepLines/>
        <w:spacing w:after="260" w:line="276"/>
        <w:ind w:left="240" w:hanging="240"/>
      </w:pPr>
      <w:r>
        <w:rPr>
          <w:b/>
          <w:bCs/>
        </w:rPr>
        <w:t xml:space="preserve">D.</w:t>
      </w:r>
      <w:r>
        <w:rPr>
          <w:b w:val="false"/>
          <w:bCs w:val="false"/>
        </w:rPr>
        <w:t xml:space="preserve"> shows that employment losses between sectors were irrelevant to the original increase, since correcting those losses did not eliminate the entire increase.</w:t>
      </w:r>
    </w:p>
    <w:p>
      <w:pPr>
        <w:pStyle w:val="Heading2"/>
        <w:keepNext/>
        <w:keepLines/>
        <w:spacing w:after="140" w:line="276"/>
      </w:pPr>
      <w:r>
        <w:rPr>
          <w:b w:val="false"/>
          <w:bCs w:val="false"/>
        </w:rPr>
        <w:t xml:space="preserve">Question 14</w:t>
      </w:r>
    </w:p>
    <w:p>
      <w:pPr>
        <w:keepNext/>
        <w:keepLines/>
        <w:spacing w:after="140" w:line="276"/>
      </w:pPr>
      <w:r>
        <w:rPr>
          <w:b w:val="false"/>
          <w:bCs w:val="false"/>
        </w:rPr>
        <w:t xml:space="preserve">A grant program initially offered equipment subsidies to firms with fewer than fifty employees. Firms with forty-eight or forty-nine employees bought substantially more equipment than firms with fifty or fifty-one, a difference analysts attributed to the subsidy. Before the program, equipment purchases had varied smoothly with firm size near fifty employees. A later audit found that eligibility was based on reported head count and that, after the program was announced, some larger firms reassigned workers to separately registered affiliates. Those firms continued using the workers' services, but their reported head counts fell below fifty. If firms planning unusually large equipment purchases had the strongest incentive to make these reassignments, the original comparison would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mix the subsidy's possible effect with differences in purchase plans that helped determine which firms appeared on either side of the eligibility boundary.</w:t>
      </w:r>
    </w:p>
    <w:p>
      <w:pPr>
        <w:keepNext/>
        <w:keepLines/>
        <w:spacing w:after="140" w:line="276"/>
        <w:ind w:left="240" w:hanging="240"/>
      </w:pPr>
      <w:r>
        <w:rPr>
          <w:b/>
          <w:bCs/>
        </w:rPr>
        <w:t xml:space="preserve">B.</w:t>
      </w:r>
      <w:r>
        <w:rPr>
          <w:b w:val="false"/>
          <w:bCs w:val="false"/>
        </w:rPr>
        <w:t xml:space="preserve"> understate the subsidy's effect, since firms moving below the boundary necessarily purchased less equipment than firms originally located there.</w:t>
      </w:r>
    </w:p>
    <w:p>
      <w:pPr>
        <w:keepNext/>
        <w:keepLines/>
        <w:spacing w:after="140" w:line="276"/>
        <w:ind w:left="240" w:hanging="240"/>
      </w:pPr>
      <w:r>
        <w:rPr>
          <w:b/>
          <w:bCs/>
        </w:rPr>
        <w:t xml:space="preserve">C.</w:t>
      </w:r>
      <w:r>
        <w:rPr>
          <w:b w:val="false"/>
          <w:bCs w:val="false"/>
        </w:rPr>
        <w:t xml:space="preserve"> remain insulated from differences in purchase plans, since equipment purchases had varied smoothly with firm size before the program was announced.</w:t>
      </w:r>
    </w:p>
    <w:p>
      <w:pPr>
        <w:keepNext w:val="false"/>
        <w:keepLines/>
        <w:spacing w:after="260" w:line="276"/>
        <w:ind w:left="240" w:hanging="240"/>
      </w:pPr>
      <w:r>
        <w:rPr>
          <w:b/>
          <w:bCs/>
        </w:rPr>
        <w:t xml:space="preserve">D.</w:t>
      </w:r>
      <w:r>
        <w:rPr>
          <w:b w:val="false"/>
          <w:bCs w:val="false"/>
        </w:rPr>
        <w:t xml:space="preserve"> identify the subsidy’s effect on firms that kept their workers, since reassignment changed reported employment without changing access to those workers' services.</w:t>
      </w:r>
    </w:p>
    <w:p>
      <w:pPr>
        <w:pStyle w:val="Heading2"/>
        <w:keepNext/>
        <w:keepLines/>
        <w:spacing w:after="140" w:line="276"/>
      </w:pPr>
      <w:r>
        <w:rPr>
          <w:b w:val="false"/>
          <w:bCs w:val="false"/>
        </w:rPr>
        <w:t xml:space="preserve">Question 15</w:t>
      </w:r>
    </w:p>
    <w:p>
      <w:pPr>
        <w:keepNext/>
        <w:keepLines/>
        <w:spacing w:after="140" w:line="276"/>
      </w:pPr>
      <w:r>
        <w:rPr>
          <w:b w:val="false"/>
          <w:bCs w:val="false"/>
        </w:rPr>
        <w:t xml:space="preserve">A city tests a congestion charge on one of two parallel roads. Researchers plan to compare changes in travel time on the charged road with changes on the uncharged road, treating the latter as the outcome that would have occurred without the charge. A traffic model predicts that the charge will divert some drivers onto the uncharged road. It also predicts that, absent the charge, travel times on both roads would have remained stable. Suppose the charged road becomes faster and the uncharged road becomes slower, exactly as the model predicts, and no other relevant changes occur. The difference between the two roads' changes would then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understate the charge's reduction of travel time on the charged road, because diverted traffic would prevent the uncharged road from sharing in that reduction.</w:t>
      </w:r>
    </w:p>
    <w:p>
      <w:pPr>
        <w:keepNext/>
        <w:keepLines/>
        <w:spacing w:after="140" w:line="276"/>
        <w:ind w:left="240" w:hanging="240"/>
      </w:pPr>
      <w:r>
        <w:rPr>
          <w:b/>
          <w:bCs/>
        </w:rPr>
        <w:t xml:space="preserve">B.</w:t>
      </w:r>
      <w:r>
        <w:rPr>
          <w:b w:val="false"/>
          <w:bCs w:val="false"/>
        </w:rPr>
        <w:t xml:space="preserve"> measure the net improvement across both roads, because subtracting the uncharged road's deterioration would account for the cost imposed on diverted drivers.</w:t>
      </w:r>
    </w:p>
    <w:p>
      <w:pPr>
        <w:keepNext/>
        <w:keepLines/>
        <w:spacing w:after="140" w:line="276"/>
        <w:ind w:left="240" w:hanging="240"/>
      </w:pPr>
      <w:r>
        <w:rPr>
          <w:b/>
          <w:bCs/>
        </w:rPr>
        <w:t xml:space="preserve">C.</w:t>
      </w:r>
      <w:r>
        <w:rPr>
          <w:b w:val="false"/>
          <w:bCs w:val="false"/>
        </w:rPr>
        <w:t xml:space="preserve"> isolate the charge's effect on the charged road, because the absence of a charge on the other road makes its observed change an untreated baseline.</w:t>
      </w:r>
    </w:p>
    <w:p>
      <w:pPr>
        <w:keepNext w:val="false"/>
        <w:keepLines/>
        <w:spacing w:after="260" w:line="276"/>
        <w:ind w:left="240" w:hanging="240"/>
      </w:pPr>
      <w:r>
        <w:rPr>
          <w:b/>
          <w:bCs/>
        </w:rPr>
        <w:t xml:space="preserve">D.</w:t>
      </w:r>
      <w:r>
        <w:rPr>
          <w:b w:val="false"/>
          <w:bCs w:val="false"/>
        </w:rPr>
        <w:t xml:space="preserve"> exaggerate the reduction on the charged road relative to its own no-charge outcome by also incorporating deterioration on a road affected by the same policy.</w:t>
      </w:r>
    </w:p>
    <w:p>
      <w:pPr>
        <w:pStyle w:val="Heading2"/>
        <w:keepNext/>
        <w:keepLines/>
        <w:spacing w:after="140" w:line="276"/>
      </w:pPr>
      <w:r>
        <w:rPr>
          <w:b w:val="false"/>
          <w:bCs w:val="false"/>
        </w:rPr>
        <w:t xml:space="preserve">Question 16</w:t>
      </w:r>
    </w:p>
    <w:p>
      <w:pPr>
        <w:keepNext/>
        <w:keepLines/>
        <w:spacing w:after="140" w:line="276"/>
      </w:pPr>
      <w:r>
        <w:rPr>
          <w:b w:val="false"/>
          <w:bCs w:val="false"/>
        </w:rPr>
        <w:t xml:space="preserve">A country announces a tax on an imported industrial chemical, effective in six months. Domestic buyers immediately increase imports and store the chemical, which does not deteriorate in storage. After the tax takes effect, imports fall sharply, yet factories' use of the chemical and purchases of the domestic substitute remain unchanged. An analyst interprets the import decline as evidence that the tax has already induced factories to replace the imported chemical. Inventory records instead show that factories have been drawing down the stocks accumulated before implementation. If those stocks are finite and factories' use remains unchanged, the observations suggest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the post-tax decline reveals a lasting reduction in factories' dependence on the imported chemical, even though the decline was initially financed by stored supplies.</w:t>
      </w:r>
    </w:p>
    <w:p>
      <w:pPr>
        <w:keepNext/>
        <w:keepLines/>
        <w:spacing w:after="140" w:line="276"/>
        <w:ind w:left="240" w:hanging="240"/>
      </w:pPr>
      <w:r>
        <w:rPr>
          <w:b/>
          <w:bCs/>
        </w:rPr>
        <w:t xml:space="preserve">B.</w:t>
      </w:r>
      <w:r>
        <w:rPr>
          <w:b w:val="false"/>
          <w:bCs w:val="false"/>
        </w:rPr>
        <w:t xml:space="preserve"> imports have partly shifted across time rather than been replaced in production, and the current gap between use and new imports cannot persist after the accumulated stocks are exhausted without another adjustment.</w:t>
      </w:r>
    </w:p>
    <w:p>
      <w:pPr>
        <w:keepNext/>
        <w:keepLines/>
        <w:spacing w:after="140" w:line="276"/>
        <w:ind w:left="240" w:hanging="240"/>
      </w:pPr>
      <w:r>
        <w:rPr>
          <w:b/>
          <w:bCs/>
        </w:rPr>
        <w:t xml:space="preserve">C.</w:t>
      </w:r>
      <w:r>
        <w:rPr>
          <w:b w:val="false"/>
          <w:bCs w:val="false"/>
        </w:rPr>
        <w:t xml:space="preserve"> the absence of increased domestic purchases indicates that the tax has not affected import decisions, since factories continue to use the same chemical at the same rate.</w:t>
      </w:r>
    </w:p>
    <w:p>
      <w:pPr>
        <w:keepNext w:val="false"/>
        <w:keepLines/>
        <w:spacing w:after="260" w:line="276"/>
        <w:ind w:left="240" w:hanging="240"/>
      </w:pPr>
      <w:r>
        <w:rPr>
          <w:b/>
          <w:bCs/>
        </w:rPr>
        <w:t xml:space="preserve">D.</w:t>
      </w:r>
      <w:r>
        <w:rPr>
          <w:b w:val="false"/>
          <w:bCs w:val="false"/>
        </w:rPr>
        <w:t xml:space="preserve"> exhaustion of the accumulated stocks will make factories adopt the domestic substitute, since maintaining their current input use will no longer be compatible with importing the taxed chemical.</w:t>
      </w:r>
    </w:p>
    <w:p>
      <w:pPr>
        <w:pStyle w:val="Heading1"/>
        <w:keepNext/>
        <w:keepLines/>
        <w:spacing w:after="140" w:line="276"/>
      </w:pPr>
      <w:r>
        <w:rPr>
          <w:b w:val="false"/>
          <w:bCs w:val="false"/>
        </w:rPr>
        <w:t xml:space="preserve">Business</w:t>
      </w:r>
    </w:p>
    <w:p>
      <w:pPr>
        <w:pStyle w:val="Heading2"/>
        <w:keepNext/>
        <w:keepLines/>
        <w:spacing w:after="140" w:line="276"/>
      </w:pPr>
      <w:r>
        <w:rPr>
          <w:b w:val="false"/>
          <w:bCs w:val="false"/>
        </w:rPr>
        <w:t xml:space="preserve">Question 17</w:t>
      </w:r>
    </w:p>
    <w:p>
      <w:pPr>
        <w:keepNext/>
        <w:keepLines/>
        <w:spacing w:after="140" w:line="276"/>
      </w:pPr>
      <w:r>
        <w:rPr>
          <w:b w:val="false"/>
          <w:bCs w:val="false"/>
        </w:rPr>
        <w:t xml:space="preserve">A software company reports that the percentage of trial users purchasing a subscription increased after it shortened its free trial. Previously, anyone could begin a trial without entering payment details. The new trial requires a valid payment method at entry, although no charge occurs without an explicit purchase. Among people who actually begin a trial, subscription purchases rise from one in five to one in three. However, randomized invitations sent to comparable groups show that the new arrangement produces fewer trial starts and the same number of paid subscriptions per thousand invitations. All invitations offer the same product at the same eventual subscription price. These results indicate that the higher reported conversion rate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can result from narrowing the population that enters the denominator, without increasing the probability that an invited person ultimately buys a subscription.</w:t>
      </w:r>
    </w:p>
    <w:p>
      <w:pPr>
        <w:keepNext/>
        <w:keepLines/>
        <w:spacing w:after="140" w:line="276"/>
        <w:ind w:left="240" w:hanging="240"/>
      </w:pPr>
      <w:r>
        <w:rPr>
          <w:b/>
          <w:bCs/>
        </w:rPr>
        <w:t xml:space="preserve">B.</w:t>
      </w:r>
      <w:r>
        <w:rPr>
          <w:b w:val="false"/>
          <w:bCs w:val="false"/>
        </w:rPr>
        <w:t xml:space="preserve"> demonstrates that shortening the trial increases purchase propensity among comparable users, although requiring payment details offsets that gain before trial entry.</w:t>
      </w:r>
    </w:p>
    <w:p>
      <w:pPr>
        <w:keepNext/>
        <w:keepLines/>
        <w:spacing w:after="140" w:line="276"/>
        <w:ind w:left="240" w:hanging="240"/>
      </w:pPr>
      <w:r>
        <w:rPr>
          <w:b/>
          <w:bCs/>
        </w:rPr>
        <w:t xml:space="preserve">C.</w:t>
      </w:r>
      <w:r>
        <w:rPr>
          <w:b w:val="false"/>
          <w:bCs w:val="false"/>
        </w:rPr>
        <w:t xml:space="preserve"> establishes that the users discouraged from beginning the new trial would not have subscribed under the earlier arrangement.</w:t>
      </w:r>
    </w:p>
    <w:p>
      <w:pPr>
        <w:keepNext w:val="false"/>
        <w:keepLines/>
        <w:spacing w:after="260" w:line="276"/>
        <w:ind w:left="240" w:hanging="240"/>
      </w:pPr>
      <w:r>
        <w:rPr>
          <w:b/>
          <w:bCs/>
        </w:rPr>
        <w:t xml:space="preserve">D.</w:t>
      </w:r>
      <w:r>
        <w:rPr>
          <w:b w:val="false"/>
          <w:bCs w:val="false"/>
        </w:rPr>
        <w:t xml:space="preserve"> understates the new arrangement's improvement in customer acquisition, because subscription purchases remain constant despite the reduction in trial starts.</w:t>
      </w:r>
    </w:p>
    <w:p>
      <w:pPr>
        <w:pStyle w:val="Heading2"/>
        <w:keepNext/>
        <w:keepLines/>
        <w:spacing w:after="140" w:line="276"/>
      </w:pPr>
      <w:r>
        <w:rPr>
          <w:b w:val="false"/>
          <w:bCs w:val="false"/>
        </w:rPr>
        <w:t xml:space="preserve">Question 18</w:t>
      </w:r>
    </w:p>
    <w:p>
      <w:pPr>
        <w:keepNext/>
        <w:keepLines/>
        <w:spacing w:after="140" w:line="276"/>
      </w:pPr>
      <w:r>
        <w:rPr>
          <w:b w:val="false"/>
          <w:bCs w:val="false"/>
        </w:rPr>
        <w:t xml:space="preserve">A manufacturer assigns identical machines at random to receive either a standard warranty or an extended warranty, then randomly assigns them to customers. The extended warranty covers certain repairs that the standard warranty excludes; prices and maintenance instructions are otherwise identical. During the first year, the manufacturer receives more repair claims for machines with extended coverage. A manager concludes that extended coverage causes customers to maintain their machines less carefully. Independent technicians, unaware of warranty assignments, inspect every machine at year's end and find the same frequency and severity of faults in both groups, including faults covered under only the extended warranty. Service records show that no claimed repairs were performed before these inspections. The combined evidence indicates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the extended warranty's effect on maintenance was offset by repairs, leaving an underlying difference that the year-end inspections could no longer detect.</w:t>
      </w:r>
    </w:p>
    <w:p>
      <w:pPr>
        <w:keepNext/>
        <w:keepLines/>
        <w:spacing w:after="140" w:line="276"/>
        <w:ind w:left="240" w:hanging="240"/>
      </w:pPr>
      <w:r>
        <w:rPr>
          <w:b/>
          <w:bCs/>
        </w:rPr>
        <w:t xml:space="preserve">B.</w:t>
      </w:r>
      <w:r>
        <w:rPr>
          <w:b w:val="false"/>
          <w:bCs w:val="false"/>
        </w:rPr>
        <w:t xml:space="preserve"> the random allocation of warranties makes the difference in claims a reliable measure of the difference in machine condition, despite the inspections' findings.</w:t>
      </w:r>
    </w:p>
    <w:p>
      <w:pPr>
        <w:keepNext/>
        <w:keepLines/>
        <w:spacing w:after="140" w:line="276"/>
        <w:ind w:left="240" w:hanging="240"/>
      </w:pPr>
      <w:r>
        <w:rPr>
          <w:b/>
          <w:bCs/>
        </w:rPr>
        <w:t xml:space="preserve">C.</w:t>
      </w:r>
      <w:r>
        <w:rPr>
          <w:b w:val="false"/>
          <w:bCs w:val="false"/>
        </w:rPr>
        <w:t xml:space="preserve"> the claims difference need not represent a difference in physical deterioration, since coverage can change whether an existing fault becomes a claim.</w:t>
      </w:r>
    </w:p>
    <w:p>
      <w:pPr>
        <w:keepNext w:val="false"/>
        <w:keepLines/>
        <w:spacing w:after="260" w:line="276"/>
        <w:ind w:left="240" w:hanging="240"/>
      </w:pPr>
      <w:r>
        <w:rPr>
          <w:b/>
          <w:bCs/>
        </w:rPr>
        <w:t xml:space="preserve">D.</w:t>
      </w:r>
      <w:r>
        <w:rPr>
          <w:b w:val="false"/>
          <w:bCs w:val="false"/>
        </w:rPr>
        <w:t xml:space="preserve"> the inspections establish that customers maintained the machines equally carefully, thereby identifying reporting as the only behavior affected by coverage.</w:t>
      </w:r>
    </w:p>
    <w:p>
      <w:pPr>
        <w:pStyle w:val="Heading2"/>
        <w:keepNext/>
        <w:keepLines/>
        <w:spacing w:after="140" w:line="276"/>
      </w:pPr>
      <w:r>
        <w:rPr>
          <w:b w:val="false"/>
          <w:bCs w:val="false"/>
        </w:rPr>
        <w:t xml:space="preserve">Question 19</w:t>
      </w:r>
    </w:p>
    <w:p>
      <w:pPr>
        <w:keepNext/>
        <w:keepLines/>
        <w:spacing w:after="140" w:line="276"/>
      </w:pPr>
      <w:r>
        <w:rPr>
          <w:b w:val="false"/>
          <w:bCs w:val="false"/>
        </w:rPr>
        <w:t xml:space="preserve">A retailer replaces monthly inventory reviews with daily reviews and notices that recorded stockout episodes per product per month fall. Under both systems, a stockout is entered in the central database only at a review; a shelf can empty and be replenished between reviews without generating a record. Each detected episode is counted once, regardless of how many reviews it spans. The retailer also introduces faster replenishment at the time of the change. An operations researcher notes that, holding actual stockout episodes fixed, daily reviews would detect at least as many episodes as monthly reviews. Definitions, product coverage, and the length of the measurement period otherwise remain unchanged. Consequently, the decline in recorded stockouts after the changes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could be explained by the increased frequency of reviews alone, because more frequent observation reduces the time during which an empty shelf remains unrecorded.</w:t>
      </w:r>
    </w:p>
    <w:p>
      <w:pPr>
        <w:keepNext/>
        <w:keepLines/>
        <w:spacing w:after="140" w:line="276"/>
        <w:ind w:left="240" w:hanging="240"/>
      </w:pPr>
      <w:r>
        <w:rPr>
          <w:b/>
          <w:bCs/>
        </w:rPr>
        <w:t xml:space="preserve">B.</w:t>
      </w:r>
      <w:r>
        <w:rPr>
          <w:b w:val="false"/>
          <w:bCs w:val="false"/>
        </w:rPr>
        <w:t xml:space="preserve"> is evidence against unchanged stockout episodes being merely recorded differently, although it does not by itself separate the effects of faster replenishment from other operational changes.</w:t>
      </w:r>
    </w:p>
    <w:p>
      <w:pPr>
        <w:keepNext/>
        <w:keepLines/>
        <w:spacing w:after="140" w:line="276"/>
        <w:ind w:left="240" w:hanging="240"/>
      </w:pPr>
      <w:r>
        <w:rPr>
          <w:b/>
          <w:bCs/>
        </w:rPr>
        <w:t xml:space="preserve">C.</w:t>
      </w:r>
      <w:r>
        <w:rPr>
          <w:b w:val="false"/>
          <w:bCs w:val="false"/>
        </w:rPr>
        <w:t xml:space="preserve"> establishes a decline in the number of actual stockout episodes, rather than merely a reduction in the length of those episodes.</w:t>
      </w:r>
    </w:p>
    <w:p>
      <w:pPr>
        <w:keepNext w:val="false"/>
        <w:keepLines/>
        <w:spacing w:after="260" w:line="276"/>
        <w:ind w:left="240" w:hanging="240"/>
      </w:pPr>
      <w:r>
        <w:rPr>
          <w:b/>
          <w:bCs/>
        </w:rPr>
        <w:t xml:space="preserve">D.</w:t>
      </w:r>
      <w:r>
        <w:rPr>
          <w:b w:val="false"/>
          <w:bCs w:val="false"/>
        </w:rPr>
        <w:t xml:space="preserve"> establishes that daily reviews prevented more stockout episodes than faster replenishment did, because the former directly increased the opportunities to discover empty shelves.</w:t>
      </w:r>
    </w:p>
    <w:p>
      <w:pPr>
        <w:pStyle w:val="Heading2"/>
        <w:keepNext/>
        <w:keepLines/>
        <w:spacing w:after="140" w:line="276"/>
      </w:pPr>
      <w:r>
        <w:rPr>
          <w:b w:val="false"/>
          <w:bCs w:val="false"/>
        </w:rPr>
        <w:t xml:space="preserve">Question 20</w:t>
      </w:r>
    </w:p>
    <w:p>
      <w:pPr>
        <w:keepNext/>
        <w:keepLines/>
        <w:spacing w:after="140" w:line="276"/>
      </w:pPr>
      <w:r>
        <w:rPr>
          <w:b w:val="false"/>
          <w:bCs w:val="false"/>
        </w:rPr>
        <w:t xml:space="preserve">A delivery platform tests a discount by randomly offering it to a small share of customers. Recipients place more orders than comparable nonrecipients, and delivery times remain unchanged. The company proposes extending the discount to everyone and projecting the increase in orders by multiplying the trial effect by the customer population. Its planning model holds the number of available couriers fixed in the short run and predicts that longer delivery times discourage repeat orders. During the trial, unused courier capacity accommodated the additional orders; the model predicts that a universal discount would generate enough initial orders to exceed that capacity. Even if customers initially respond to the discount as strongly as trial recipients did, the model implies that ______</w:t>
      </w:r>
    </w:p>
    <w:p>
      <w:pPr>
        <w:keepNext/>
        <w:keepLines/>
        <w:spacing w:after="140" w:line="276"/>
      </w:pPr>
      <w:r>
        <w:rPr>
          <w:b w:val="false"/>
          <w:bCs w:val="false"/>
        </w:rPr>
        <w:t xml:space="preserve">Which choice most logically completes the text?</w:t>
      </w:r>
    </w:p>
    <w:p>
      <w:pPr>
        <w:keepNext/>
        <w:keepLines/>
        <w:spacing w:after="140" w:line="276"/>
        <w:ind w:left="240" w:hanging="240"/>
      </w:pPr>
      <w:r>
        <w:rPr>
          <w:b/>
          <w:bCs/>
        </w:rPr>
        <w:t xml:space="preserve">A.</w:t>
      </w:r>
      <w:r>
        <w:rPr>
          <w:b w:val="false"/>
          <w:bCs w:val="false"/>
        </w:rPr>
        <w:t xml:space="preserve"> the universal discount should reproduce the trial's increase in repeat orders, since random assignment isolated recipients' response from pre-existing differences between customers.</w:t>
      </w:r>
    </w:p>
    <w:p>
      <w:pPr>
        <w:keepNext/>
        <w:keepLines/>
        <w:spacing w:after="140" w:line="276"/>
        <w:ind w:left="240" w:hanging="240"/>
      </w:pPr>
      <w:r>
        <w:rPr>
          <w:b/>
          <w:bCs/>
        </w:rPr>
        <w:t xml:space="preserve">B.</w:t>
      </w:r>
      <w:r>
        <w:rPr>
          <w:b w:val="false"/>
          <w:bCs w:val="false"/>
        </w:rPr>
        <w:t xml:space="preserve"> the trial underestimated the universal discount's effect on repeat orders, since the small group of recipients could not reveal the full response of customers who received no discount.</w:t>
      </w:r>
    </w:p>
    <w:p>
      <w:pPr>
        <w:keepNext/>
        <w:keepLines/>
        <w:spacing w:after="140" w:line="276"/>
        <w:ind w:left="240" w:hanging="240"/>
      </w:pPr>
      <w:r>
        <w:rPr>
          <w:b/>
          <w:bCs/>
        </w:rPr>
        <w:t xml:space="preserve">C.</w:t>
      </w:r>
      <w:r>
        <w:rPr>
          <w:b w:val="false"/>
          <w:bCs w:val="false"/>
        </w:rPr>
        <w:t xml:space="preserve"> the universal discount should leave repeat ordering unchanged, since the constraint on courier capacity offsets the initial demand response by the same amount.</w:t>
      </w:r>
    </w:p>
    <w:p>
      <w:pPr>
        <w:keepNext w:val="false"/>
        <w:keepLines/>
        <w:spacing w:after="260" w:line="276"/>
        <w:ind w:left="240" w:hanging="240"/>
      </w:pPr>
      <w:r>
        <w:rPr>
          <w:b/>
          <w:bCs/>
        </w:rPr>
        <w:t xml:space="preserve">D.</w:t>
      </w:r>
      <w:r>
        <w:rPr>
          <w:b w:val="false"/>
          <w:bCs w:val="false"/>
        </w:rPr>
        <w:t xml:space="preserve"> scaling up the trial effect without accounting for delivery delays could overstate sustained order growth, because expansion would change a condition under which the trial response was observed.</w:t>
      </w:r>
    </w:p>
    <w:p>
      <w:pPr>
        <w:keepNext w:val="false"/>
        <w:keepLines/>
        <w:spacing w:after="140" w:line="276"/>
      </w:pPr>
      <w:r>
        <w:rPr>
          <w:b/>
          <w:bCs/>
        </w:rPr>
        <w:t xml:space="preserve">End of questions.</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2026-09-09T04:21:21.360Z</dcterms:created>
  <dcterms:modified xsi:type="dcterms:W3CDTF">2026-09-09T04:21:21.360Z</dcterms:modified>
</cp:coreProperties>
</file>

<file path=docProps/custom.xml><?xml version="1.0" encoding="utf-8"?>
<Properties xmlns="http://schemas.openxmlformats.org/officeDocument/2006/custom-properties" xmlns:vt="http://schemas.openxmlformats.org/officeDocument/2006/docPropsVTypes"/>
</file>