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keepLines/>
        <w:spacing w:after="120" w:line="264"/>
      </w:pPr>
      <w:r>
        <w:t xml:space="preserve">Answer Key — 20 Extremely Difficult DSAT-Style Verbal Inference Questions</w:t>
      </w:r>
    </w:p>
    <w:p>
      <w:pPr>
        <w:keepNext w:val="false"/>
        <w:keepLines/>
        <w:spacing w:after="120" w:line="264"/>
      </w:pPr>
      <w:r>
        <w:t xml:space="preserve">Companion to </w:t>
      </w:r>
      <w:hyperlink w:history="1" r:id="rIdb4c7i5qsssu9as6siqxvq">
        <w:r>
          <w:rPr>
            <w:rStyle w:val="Hyperlink"/>
          </w:rPr>
          <w:t xml:space="preserve">the question set</w:t>
        </w:r>
      </w:hyperlink>
      <w:r>
        <w:t xml:space="preserve">.</w:t>
      </w:r>
    </w:p>
    <w:p>
      <w:pPr>
        <w:keepNext w:val="false"/>
        <w:keepLines/>
        <w:spacing w:after="120" w:line="264"/>
      </w:pPr>
      <w:r>
        <w:rPr>
          <w:b/>
          <w:bCs/>
        </w:rPr>
        <w:t xml:space="preserve">Review principle:</w:t>
      </w:r>
      <w:r>
        <w:t xml:space="preserve"> Select the conclusion supported at the passage's stated level of certainty. An answer that supplies a possible mechanism, proves too much, or applies the right fact to the wrong condition is not interchangeable with the supported inference.</w:t>
      </w:r>
    </w:p>
    <w:p>
      <w:pPr>
        <w:keepNext w:val="false"/>
        <w:keepLines/>
        <w:spacing w:after="120" w:line="264"/>
      </w:pPr>
      <w:r>
        <w:rPr>
          <w:b/>
          <w:bCs/>
        </w:rPr>
        <w:t xml:space="preserve">Difficulty note:</w:t>
      </w:r>
      <w:r>
        <w:t xml:space="preserve"> “Extremely difficult” describes the design target. These original items have undergone editorial reasoning review, not student testing or psychometric calibration. Their constructed science and economics are premises for reading practice, not reports of real studies.</w:t>
      </w:r>
    </w:p>
    <w:p>
      <w:pPr>
        <w:pStyle w:val="Heading1"/>
        <w:keepNext/>
        <w:keepLines/>
        <w:spacing w:after="120" w:line="264"/>
      </w:pPr>
      <w:r>
        <w:t xml:space="preserve">Quick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shd w:fill="E8EEF4" w:val="clear"/>
            <w:tcMar>
              <w:top w:type="dxa" w:w="80"/>
              <w:left w:type="dxa" w:w="100"/>
              <w:bottom w:type="dxa" w:w="80"/>
              <w:right w:type="dxa" w:w="100"/>
            </w:tcMar>
          </w:tcPr>
          <w:p>
            <w:pPr>
              <w:keepNext w:val="false"/>
              <w:keepLines/>
              <w:spacing w:after="120" w:line="264"/>
            </w:pPr>
            <w:r>
              <w:rPr>
                <w:b/>
                <w:bCs/>
              </w:rPr>
              <w:t xml:space="preserve">Question</w:t>
            </w:r>
          </w:p>
        </w:tc>
        <w:tc>
          <w:tcPr>
            <w:tcW w:type="dxa" w:w="2520"/>
            <w:shd w:fill="E8EEF4" w:val="clear"/>
            <w:tcMar>
              <w:top w:type="dxa" w:w="80"/>
              <w:left w:type="dxa" w:w="100"/>
              <w:bottom w:type="dxa" w:w="80"/>
              <w:right w:type="dxa" w:w="100"/>
            </w:tcMar>
          </w:tcPr>
          <w:p>
            <w:pPr>
              <w:keepNext w:val="false"/>
              <w:keepLines/>
              <w:spacing w:after="120" w:line="264"/>
            </w:pPr>
            <w:r>
              <w:rPr>
                <w:b/>
                <w:bCs/>
              </w:rPr>
              <w:t xml:space="preserve">Answer</w:t>
            </w:r>
          </w:p>
        </w:tc>
        <w:tc>
          <w:tcPr>
            <w:tcW w:type="dxa" w:w="2520"/>
            <w:shd w:fill="E8EEF4" w:val="clear"/>
            <w:tcMar>
              <w:top w:type="dxa" w:w="80"/>
              <w:left w:type="dxa" w:w="100"/>
              <w:bottom w:type="dxa" w:w="80"/>
              <w:right w:type="dxa" w:w="100"/>
            </w:tcMar>
          </w:tcPr>
          <w:p>
            <w:pPr>
              <w:keepNext w:val="false"/>
              <w:keepLines/>
              <w:spacing w:after="120" w:line="264"/>
            </w:pPr>
            <w:r>
              <w:rPr>
                <w:b/>
                <w:bCs/>
              </w:rPr>
              <w:t xml:space="preserve">Question</w:t>
            </w:r>
          </w:p>
        </w:tc>
        <w:tc>
          <w:tcPr>
            <w:tcW w:type="dxa" w:w="2520"/>
            <w:shd w:fill="E8EEF4" w:val="clear"/>
            <w:tcMar>
              <w:top w:type="dxa" w:w="80"/>
              <w:left w:type="dxa" w:w="100"/>
              <w:bottom w:type="dxa" w:w="80"/>
              <w:right w:type="dxa" w:w="100"/>
            </w:tcMar>
          </w:tcPr>
          <w:p>
            <w:pPr>
              <w:keepNext w:val="false"/>
              <w:keepLines/>
              <w:spacing w:after="120" w:line="264"/>
            </w:pPr>
            <w:r>
              <w:rPr>
                <w:b/>
                <w:bCs/>
              </w:rPr>
              <w:t xml:space="preserve">Answer</w:t>
            </w:r>
          </w:p>
        </w:tc>
      </w:tr>
      <w:tr>
        <w:trPr>
          <w:cantSplit/>
          <w:tblHeader w:val="false"/>
        </w:trPr>
        <w:tc>
          <w:tcPr>
            <w:tcW w:type="dxa" w:w="2520"/>
            <w:tcMar>
              <w:top w:type="dxa" w:w="80"/>
              <w:left w:type="dxa" w:w="100"/>
              <w:bottom w:type="dxa" w:w="80"/>
              <w:right w:type="dxa" w:w="100"/>
            </w:tcMar>
          </w:tcPr>
          <w:p>
            <w:pPr>
              <w:keepNext w:val="false"/>
              <w:keepLines/>
              <w:spacing w:after="120" w:line="264"/>
            </w:pPr>
            <w:r>
              <w:t xml:space="preserve">1</w:t>
            </w:r>
          </w:p>
        </w:tc>
        <w:tc>
          <w:tcPr>
            <w:tcW w:type="dxa" w:w="2520"/>
            <w:tcMar>
              <w:top w:type="dxa" w:w="80"/>
              <w:left w:type="dxa" w:w="100"/>
              <w:bottom w:type="dxa" w:w="80"/>
              <w:right w:type="dxa" w:w="100"/>
            </w:tcMar>
          </w:tcPr>
          <w:p>
            <w:pPr>
              <w:keepNext w:val="false"/>
              <w:keepLines/>
              <w:spacing w:after="120" w:line="264"/>
            </w:pPr>
            <w:r>
              <w:t xml:space="preserve">D</w:t>
            </w:r>
          </w:p>
        </w:tc>
        <w:tc>
          <w:tcPr>
            <w:tcW w:type="dxa" w:w="2520"/>
            <w:tcMar>
              <w:top w:type="dxa" w:w="80"/>
              <w:left w:type="dxa" w:w="100"/>
              <w:bottom w:type="dxa" w:w="80"/>
              <w:right w:type="dxa" w:w="100"/>
            </w:tcMar>
          </w:tcPr>
          <w:p>
            <w:pPr>
              <w:keepNext w:val="false"/>
              <w:keepLines/>
              <w:spacing w:after="120" w:line="264"/>
            </w:pPr>
            <w:r>
              <w:t xml:space="preserve">11</w:t>
            </w:r>
          </w:p>
        </w:tc>
        <w:tc>
          <w:tcPr>
            <w:tcW w:type="dxa" w:w="2520"/>
            <w:tcMar>
              <w:top w:type="dxa" w:w="80"/>
              <w:left w:type="dxa" w:w="100"/>
              <w:bottom w:type="dxa" w:w="80"/>
              <w:right w:type="dxa" w:w="100"/>
            </w:tcMar>
          </w:tcPr>
          <w:p>
            <w:pPr>
              <w:keepNext w:val="false"/>
              <w:keepLines/>
              <w:spacing w:after="120" w:line="264"/>
            </w:pPr>
            <w:r>
              <w:t xml:space="preserve">A</w:t>
            </w:r>
          </w:p>
        </w:tc>
      </w:tr>
      <w:tr>
        <w:trPr>
          <w:cantSplit/>
          <w:tblHeader w:val="false"/>
        </w:trPr>
        <w:tc>
          <w:tcPr>
            <w:tcW w:type="dxa" w:w="2520"/>
            <w:tcMar>
              <w:top w:type="dxa" w:w="80"/>
              <w:left w:type="dxa" w:w="100"/>
              <w:bottom w:type="dxa" w:w="80"/>
              <w:right w:type="dxa" w:w="100"/>
            </w:tcMar>
          </w:tcPr>
          <w:p>
            <w:pPr>
              <w:keepNext w:val="false"/>
              <w:keepLines/>
              <w:spacing w:after="120" w:line="264"/>
            </w:pPr>
            <w:r>
              <w:t xml:space="preserve">2</w:t>
            </w:r>
          </w:p>
        </w:tc>
        <w:tc>
          <w:tcPr>
            <w:tcW w:type="dxa" w:w="2520"/>
            <w:tcMar>
              <w:top w:type="dxa" w:w="80"/>
              <w:left w:type="dxa" w:w="100"/>
              <w:bottom w:type="dxa" w:w="80"/>
              <w:right w:type="dxa" w:w="100"/>
            </w:tcMar>
          </w:tcPr>
          <w:p>
            <w:pPr>
              <w:keepNext w:val="false"/>
              <w:keepLines/>
              <w:spacing w:after="120" w:line="264"/>
            </w:pPr>
            <w:r>
              <w:t xml:space="preserve">B</w:t>
            </w:r>
          </w:p>
        </w:tc>
        <w:tc>
          <w:tcPr>
            <w:tcW w:type="dxa" w:w="2520"/>
            <w:tcMar>
              <w:top w:type="dxa" w:w="80"/>
              <w:left w:type="dxa" w:w="100"/>
              <w:bottom w:type="dxa" w:w="80"/>
              <w:right w:type="dxa" w:w="100"/>
            </w:tcMar>
          </w:tcPr>
          <w:p>
            <w:pPr>
              <w:keepNext w:val="false"/>
              <w:keepLines/>
              <w:spacing w:after="120" w:line="264"/>
            </w:pPr>
            <w:r>
              <w:t xml:space="preserve">12</w:t>
            </w:r>
          </w:p>
        </w:tc>
        <w:tc>
          <w:tcPr>
            <w:tcW w:type="dxa" w:w="2520"/>
            <w:tcMar>
              <w:top w:type="dxa" w:w="80"/>
              <w:left w:type="dxa" w:w="100"/>
              <w:bottom w:type="dxa" w:w="80"/>
              <w:right w:type="dxa" w:w="100"/>
            </w:tcMar>
          </w:tcPr>
          <w:p>
            <w:pPr>
              <w:keepNext w:val="false"/>
              <w:keepLines/>
              <w:spacing w:after="120" w:line="264"/>
            </w:pPr>
            <w:r>
              <w:t xml:space="preserve">B</w:t>
            </w:r>
          </w:p>
        </w:tc>
      </w:tr>
      <w:tr>
        <w:trPr>
          <w:cantSplit/>
          <w:tblHeader w:val="false"/>
        </w:trPr>
        <w:tc>
          <w:tcPr>
            <w:tcW w:type="dxa" w:w="2520"/>
            <w:tcMar>
              <w:top w:type="dxa" w:w="80"/>
              <w:left w:type="dxa" w:w="100"/>
              <w:bottom w:type="dxa" w:w="80"/>
              <w:right w:type="dxa" w:w="100"/>
            </w:tcMar>
          </w:tcPr>
          <w:p>
            <w:pPr>
              <w:keepNext w:val="false"/>
              <w:keepLines/>
              <w:spacing w:after="120" w:line="264"/>
            </w:pPr>
            <w:r>
              <w:t xml:space="preserve">3</w:t>
            </w:r>
          </w:p>
        </w:tc>
        <w:tc>
          <w:tcPr>
            <w:tcW w:type="dxa" w:w="2520"/>
            <w:tcMar>
              <w:top w:type="dxa" w:w="80"/>
              <w:left w:type="dxa" w:w="100"/>
              <w:bottom w:type="dxa" w:w="80"/>
              <w:right w:type="dxa" w:w="100"/>
            </w:tcMar>
          </w:tcPr>
          <w:p>
            <w:pPr>
              <w:keepNext w:val="false"/>
              <w:keepLines/>
              <w:spacing w:after="120" w:line="264"/>
            </w:pPr>
            <w:r>
              <w:t xml:space="preserve">A</w:t>
            </w:r>
          </w:p>
        </w:tc>
        <w:tc>
          <w:tcPr>
            <w:tcW w:type="dxa" w:w="2520"/>
            <w:tcMar>
              <w:top w:type="dxa" w:w="80"/>
              <w:left w:type="dxa" w:w="100"/>
              <w:bottom w:type="dxa" w:w="80"/>
              <w:right w:type="dxa" w:w="100"/>
            </w:tcMar>
          </w:tcPr>
          <w:p>
            <w:pPr>
              <w:keepNext w:val="false"/>
              <w:keepLines/>
              <w:spacing w:after="120" w:line="264"/>
            </w:pPr>
            <w:r>
              <w:t xml:space="preserve">13</w:t>
            </w:r>
          </w:p>
        </w:tc>
        <w:tc>
          <w:tcPr>
            <w:tcW w:type="dxa" w:w="2520"/>
            <w:tcMar>
              <w:top w:type="dxa" w:w="80"/>
              <w:left w:type="dxa" w:w="100"/>
              <w:bottom w:type="dxa" w:w="80"/>
              <w:right w:type="dxa" w:w="100"/>
            </w:tcMar>
          </w:tcPr>
          <w:p>
            <w:pPr>
              <w:keepNext w:val="false"/>
              <w:keepLines/>
              <w:spacing w:after="120" w:line="264"/>
            </w:pPr>
            <w:r>
              <w:t xml:space="preserve">C</w:t>
            </w:r>
          </w:p>
        </w:tc>
      </w:tr>
      <w:tr>
        <w:trPr>
          <w:cantSplit/>
          <w:tblHeader w:val="false"/>
        </w:trPr>
        <w:tc>
          <w:tcPr>
            <w:tcW w:type="dxa" w:w="2520"/>
            <w:tcMar>
              <w:top w:type="dxa" w:w="80"/>
              <w:left w:type="dxa" w:w="100"/>
              <w:bottom w:type="dxa" w:w="80"/>
              <w:right w:type="dxa" w:w="100"/>
            </w:tcMar>
          </w:tcPr>
          <w:p>
            <w:pPr>
              <w:keepNext w:val="false"/>
              <w:keepLines/>
              <w:spacing w:after="120" w:line="264"/>
            </w:pPr>
            <w:r>
              <w:t xml:space="preserve">4</w:t>
            </w:r>
          </w:p>
        </w:tc>
        <w:tc>
          <w:tcPr>
            <w:tcW w:type="dxa" w:w="2520"/>
            <w:tcMar>
              <w:top w:type="dxa" w:w="80"/>
              <w:left w:type="dxa" w:w="100"/>
              <w:bottom w:type="dxa" w:w="80"/>
              <w:right w:type="dxa" w:w="100"/>
            </w:tcMar>
          </w:tcPr>
          <w:p>
            <w:pPr>
              <w:keepNext w:val="false"/>
              <w:keepLines/>
              <w:spacing w:after="120" w:line="264"/>
            </w:pPr>
            <w:r>
              <w:t xml:space="preserve">C</w:t>
            </w:r>
          </w:p>
        </w:tc>
        <w:tc>
          <w:tcPr>
            <w:tcW w:type="dxa" w:w="2520"/>
            <w:tcMar>
              <w:top w:type="dxa" w:w="80"/>
              <w:left w:type="dxa" w:w="100"/>
              <w:bottom w:type="dxa" w:w="80"/>
              <w:right w:type="dxa" w:w="100"/>
            </w:tcMar>
          </w:tcPr>
          <w:p>
            <w:pPr>
              <w:keepNext w:val="false"/>
              <w:keepLines/>
              <w:spacing w:after="120" w:line="264"/>
            </w:pPr>
            <w:r>
              <w:t xml:space="preserve">14</w:t>
            </w:r>
          </w:p>
        </w:tc>
        <w:tc>
          <w:tcPr>
            <w:tcW w:type="dxa" w:w="2520"/>
            <w:tcMar>
              <w:top w:type="dxa" w:w="80"/>
              <w:left w:type="dxa" w:w="100"/>
              <w:bottom w:type="dxa" w:w="80"/>
              <w:right w:type="dxa" w:w="100"/>
            </w:tcMar>
          </w:tcPr>
          <w:p>
            <w:pPr>
              <w:keepNext w:val="false"/>
              <w:keepLines/>
              <w:spacing w:after="120" w:line="264"/>
            </w:pPr>
            <w:r>
              <w:t xml:space="preserve">A</w:t>
            </w:r>
          </w:p>
        </w:tc>
      </w:tr>
      <w:tr>
        <w:trPr>
          <w:cantSplit/>
          <w:tblHeader w:val="false"/>
        </w:trPr>
        <w:tc>
          <w:tcPr>
            <w:tcW w:type="dxa" w:w="2520"/>
            <w:tcMar>
              <w:top w:type="dxa" w:w="80"/>
              <w:left w:type="dxa" w:w="100"/>
              <w:bottom w:type="dxa" w:w="80"/>
              <w:right w:type="dxa" w:w="100"/>
            </w:tcMar>
          </w:tcPr>
          <w:p>
            <w:pPr>
              <w:keepNext w:val="false"/>
              <w:keepLines/>
              <w:spacing w:after="120" w:line="264"/>
            </w:pPr>
            <w:r>
              <w:t xml:space="preserve">5</w:t>
            </w:r>
          </w:p>
        </w:tc>
        <w:tc>
          <w:tcPr>
            <w:tcW w:type="dxa" w:w="2520"/>
            <w:tcMar>
              <w:top w:type="dxa" w:w="80"/>
              <w:left w:type="dxa" w:w="100"/>
              <w:bottom w:type="dxa" w:w="80"/>
              <w:right w:type="dxa" w:w="100"/>
            </w:tcMar>
          </w:tcPr>
          <w:p>
            <w:pPr>
              <w:keepNext w:val="false"/>
              <w:keepLines/>
              <w:spacing w:after="120" w:line="264"/>
            </w:pPr>
            <w:r>
              <w:t xml:space="preserve">B</w:t>
            </w:r>
          </w:p>
        </w:tc>
        <w:tc>
          <w:tcPr>
            <w:tcW w:type="dxa" w:w="2520"/>
            <w:tcMar>
              <w:top w:type="dxa" w:w="80"/>
              <w:left w:type="dxa" w:w="100"/>
              <w:bottom w:type="dxa" w:w="80"/>
              <w:right w:type="dxa" w:w="100"/>
            </w:tcMar>
          </w:tcPr>
          <w:p>
            <w:pPr>
              <w:keepNext w:val="false"/>
              <w:keepLines/>
              <w:spacing w:after="120" w:line="264"/>
            </w:pPr>
            <w:r>
              <w:t xml:space="preserve">15</w:t>
            </w:r>
          </w:p>
        </w:tc>
        <w:tc>
          <w:tcPr>
            <w:tcW w:type="dxa" w:w="2520"/>
            <w:tcMar>
              <w:top w:type="dxa" w:w="80"/>
              <w:left w:type="dxa" w:w="100"/>
              <w:bottom w:type="dxa" w:w="80"/>
              <w:right w:type="dxa" w:w="100"/>
            </w:tcMar>
          </w:tcPr>
          <w:p>
            <w:pPr>
              <w:keepNext w:val="false"/>
              <w:keepLines/>
              <w:spacing w:after="120" w:line="264"/>
            </w:pPr>
            <w:r>
              <w:t xml:space="preserve">D</w:t>
            </w:r>
          </w:p>
        </w:tc>
      </w:tr>
      <w:tr>
        <w:trPr>
          <w:cantSplit/>
          <w:tblHeader w:val="false"/>
        </w:trPr>
        <w:tc>
          <w:tcPr>
            <w:tcW w:type="dxa" w:w="2520"/>
            <w:tcMar>
              <w:top w:type="dxa" w:w="80"/>
              <w:left w:type="dxa" w:w="100"/>
              <w:bottom w:type="dxa" w:w="80"/>
              <w:right w:type="dxa" w:w="100"/>
            </w:tcMar>
          </w:tcPr>
          <w:p>
            <w:pPr>
              <w:keepNext w:val="false"/>
              <w:keepLines/>
              <w:spacing w:after="120" w:line="264"/>
            </w:pPr>
            <w:r>
              <w:t xml:space="preserve">6</w:t>
            </w:r>
          </w:p>
        </w:tc>
        <w:tc>
          <w:tcPr>
            <w:tcW w:type="dxa" w:w="2520"/>
            <w:tcMar>
              <w:top w:type="dxa" w:w="80"/>
              <w:left w:type="dxa" w:w="100"/>
              <w:bottom w:type="dxa" w:w="80"/>
              <w:right w:type="dxa" w:w="100"/>
            </w:tcMar>
          </w:tcPr>
          <w:p>
            <w:pPr>
              <w:keepNext w:val="false"/>
              <w:keepLines/>
              <w:spacing w:after="120" w:line="264"/>
            </w:pPr>
            <w:r>
              <w:t xml:space="preserve">D</w:t>
            </w:r>
          </w:p>
        </w:tc>
        <w:tc>
          <w:tcPr>
            <w:tcW w:type="dxa" w:w="2520"/>
            <w:tcMar>
              <w:top w:type="dxa" w:w="80"/>
              <w:left w:type="dxa" w:w="100"/>
              <w:bottom w:type="dxa" w:w="80"/>
              <w:right w:type="dxa" w:w="100"/>
            </w:tcMar>
          </w:tcPr>
          <w:p>
            <w:pPr>
              <w:keepNext w:val="false"/>
              <w:keepLines/>
              <w:spacing w:after="120" w:line="264"/>
            </w:pPr>
            <w:r>
              <w:t xml:space="preserve">16</w:t>
            </w:r>
          </w:p>
        </w:tc>
        <w:tc>
          <w:tcPr>
            <w:tcW w:type="dxa" w:w="2520"/>
            <w:tcMar>
              <w:top w:type="dxa" w:w="80"/>
              <w:left w:type="dxa" w:w="100"/>
              <w:bottom w:type="dxa" w:w="80"/>
              <w:right w:type="dxa" w:w="100"/>
            </w:tcMar>
          </w:tcPr>
          <w:p>
            <w:pPr>
              <w:keepNext w:val="false"/>
              <w:keepLines/>
              <w:spacing w:after="120" w:line="264"/>
            </w:pPr>
            <w:r>
              <w:t xml:space="preserve">B</w:t>
            </w:r>
          </w:p>
        </w:tc>
      </w:tr>
      <w:tr>
        <w:trPr>
          <w:cantSplit/>
          <w:tblHeader w:val="false"/>
        </w:trPr>
        <w:tc>
          <w:tcPr>
            <w:tcW w:type="dxa" w:w="2520"/>
            <w:tcMar>
              <w:top w:type="dxa" w:w="80"/>
              <w:left w:type="dxa" w:w="100"/>
              <w:bottom w:type="dxa" w:w="80"/>
              <w:right w:type="dxa" w:w="100"/>
            </w:tcMar>
          </w:tcPr>
          <w:p>
            <w:pPr>
              <w:keepNext w:val="false"/>
              <w:keepLines/>
              <w:spacing w:after="120" w:line="264"/>
            </w:pPr>
            <w:r>
              <w:t xml:space="preserve">7</w:t>
            </w:r>
          </w:p>
        </w:tc>
        <w:tc>
          <w:tcPr>
            <w:tcW w:type="dxa" w:w="2520"/>
            <w:tcMar>
              <w:top w:type="dxa" w:w="80"/>
              <w:left w:type="dxa" w:w="100"/>
              <w:bottom w:type="dxa" w:w="80"/>
              <w:right w:type="dxa" w:w="100"/>
            </w:tcMar>
          </w:tcPr>
          <w:p>
            <w:pPr>
              <w:keepNext w:val="false"/>
              <w:keepLines/>
              <w:spacing w:after="120" w:line="264"/>
            </w:pPr>
            <w:r>
              <w:t xml:space="preserve">C</w:t>
            </w:r>
          </w:p>
        </w:tc>
        <w:tc>
          <w:tcPr>
            <w:tcW w:type="dxa" w:w="2520"/>
            <w:tcMar>
              <w:top w:type="dxa" w:w="80"/>
              <w:left w:type="dxa" w:w="100"/>
              <w:bottom w:type="dxa" w:w="80"/>
              <w:right w:type="dxa" w:w="100"/>
            </w:tcMar>
          </w:tcPr>
          <w:p>
            <w:pPr>
              <w:keepNext w:val="false"/>
              <w:keepLines/>
              <w:spacing w:after="120" w:line="264"/>
            </w:pPr>
            <w:r>
              <w:t xml:space="preserve">17</w:t>
            </w:r>
          </w:p>
        </w:tc>
        <w:tc>
          <w:tcPr>
            <w:tcW w:type="dxa" w:w="2520"/>
            <w:tcMar>
              <w:top w:type="dxa" w:w="80"/>
              <w:left w:type="dxa" w:w="100"/>
              <w:bottom w:type="dxa" w:w="80"/>
              <w:right w:type="dxa" w:w="100"/>
            </w:tcMar>
          </w:tcPr>
          <w:p>
            <w:pPr>
              <w:keepNext w:val="false"/>
              <w:keepLines/>
              <w:spacing w:after="120" w:line="264"/>
            </w:pPr>
            <w:r>
              <w:t xml:space="preserve">A</w:t>
            </w:r>
          </w:p>
        </w:tc>
      </w:tr>
      <w:tr>
        <w:trPr>
          <w:cantSplit/>
          <w:tblHeader w:val="false"/>
        </w:trPr>
        <w:tc>
          <w:tcPr>
            <w:tcW w:type="dxa" w:w="2520"/>
            <w:tcMar>
              <w:top w:type="dxa" w:w="80"/>
              <w:left w:type="dxa" w:w="100"/>
              <w:bottom w:type="dxa" w:w="80"/>
              <w:right w:type="dxa" w:w="100"/>
            </w:tcMar>
          </w:tcPr>
          <w:p>
            <w:pPr>
              <w:keepNext w:val="false"/>
              <w:keepLines/>
              <w:spacing w:after="120" w:line="264"/>
            </w:pPr>
            <w:r>
              <w:t xml:space="preserve">8</w:t>
            </w:r>
          </w:p>
        </w:tc>
        <w:tc>
          <w:tcPr>
            <w:tcW w:type="dxa" w:w="2520"/>
            <w:tcMar>
              <w:top w:type="dxa" w:w="80"/>
              <w:left w:type="dxa" w:w="100"/>
              <w:bottom w:type="dxa" w:w="80"/>
              <w:right w:type="dxa" w:w="100"/>
            </w:tcMar>
          </w:tcPr>
          <w:p>
            <w:pPr>
              <w:keepNext w:val="false"/>
              <w:keepLines/>
              <w:spacing w:after="120" w:line="264"/>
            </w:pPr>
            <w:r>
              <w:t xml:space="preserve">A</w:t>
            </w:r>
          </w:p>
        </w:tc>
        <w:tc>
          <w:tcPr>
            <w:tcW w:type="dxa" w:w="2520"/>
            <w:tcMar>
              <w:top w:type="dxa" w:w="80"/>
              <w:left w:type="dxa" w:w="100"/>
              <w:bottom w:type="dxa" w:w="80"/>
              <w:right w:type="dxa" w:w="100"/>
            </w:tcMar>
          </w:tcPr>
          <w:p>
            <w:pPr>
              <w:keepNext w:val="false"/>
              <w:keepLines/>
              <w:spacing w:after="120" w:line="264"/>
            </w:pPr>
            <w:r>
              <w:t xml:space="preserve">18</w:t>
            </w:r>
          </w:p>
        </w:tc>
        <w:tc>
          <w:tcPr>
            <w:tcW w:type="dxa" w:w="2520"/>
            <w:tcMar>
              <w:top w:type="dxa" w:w="80"/>
              <w:left w:type="dxa" w:w="100"/>
              <w:bottom w:type="dxa" w:w="80"/>
              <w:right w:type="dxa" w:w="100"/>
            </w:tcMar>
          </w:tcPr>
          <w:p>
            <w:pPr>
              <w:keepNext w:val="false"/>
              <w:keepLines/>
              <w:spacing w:after="120" w:line="264"/>
            </w:pPr>
            <w:r>
              <w:t xml:space="preserve">C</w:t>
            </w:r>
          </w:p>
        </w:tc>
      </w:tr>
      <w:tr>
        <w:trPr>
          <w:cantSplit/>
          <w:tblHeader w:val="false"/>
        </w:trPr>
        <w:tc>
          <w:tcPr>
            <w:tcW w:type="dxa" w:w="2520"/>
            <w:tcMar>
              <w:top w:type="dxa" w:w="80"/>
              <w:left w:type="dxa" w:w="100"/>
              <w:bottom w:type="dxa" w:w="80"/>
              <w:right w:type="dxa" w:w="100"/>
            </w:tcMar>
          </w:tcPr>
          <w:p>
            <w:pPr>
              <w:keepNext w:val="false"/>
              <w:keepLines/>
              <w:spacing w:after="120" w:line="264"/>
            </w:pPr>
            <w:r>
              <w:t xml:space="preserve">9</w:t>
            </w:r>
          </w:p>
        </w:tc>
        <w:tc>
          <w:tcPr>
            <w:tcW w:type="dxa" w:w="2520"/>
            <w:tcMar>
              <w:top w:type="dxa" w:w="80"/>
              <w:left w:type="dxa" w:w="100"/>
              <w:bottom w:type="dxa" w:w="80"/>
              <w:right w:type="dxa" w:w="100"/>
            </w:tcMar>
          </w:tcPr>
          <w:p>
            <w:pPr>
              <w:keepNext w:val="false"/>
              <w:keepLines/>
              <w:spacing w:after="120" w:line="264"/>
            </w:pPr>
            <w:r>
              <w:t xml:space="preserve">D</w:t>
            </w:r>
          </w:p>
        </w:tc>
        <w:tc>
          <w:tcPr>
            <w:tcW w:type="dxa" w:w="2520"/>
            <w:tcMar>
              <w:top w:type="dxa" w:w="80"/>
              <w:left w:type="dxa" w:w="100"/>
              <w:bottom w:type="dxa" w:w="80"/>
              <w:right w:type="dxa" w:w="100"/>
            </w:tcMar>
          </w:tcPr>
          <w:p>
            <w:pPr>
              <w:keepNext w:val="false"/>
              <w:keepLines/>
              <w:spacing w:after="120" w:line="264"/>
            </w:pPr>
            <w:r>
              <w:t xml:space="preserve">19</w:t>
            </w:r>
          </w:p>
        </w:tc>
        <w:tc>
          <w:tcPr>
            <w:tcW w:type="dxa" w:w="2520"/>
            <w:tcMar>
              <w:top w:type="dxa" w:w="80"/>
              <w:left w:type="dxa" w:w="100"/>
              <w:bottom w:type="dxa" w:w="80"/>
              <w:right w:type="dxa" w:w="100"/>
            </w:tcMar>
          </w:tcPr>
          <w:p>
            <w:pPr>
              <w:keepNext w:val="false"/>
              <w:keepLines/>
              <w:spacing w:after="120" w:line="264"/>
            </w:pPr>
            <w:r>
              <w:t xml:space="preserve">B</w:t>
            </w:r>
          </w:p>
        </w:tc>
      </w:tr>
      <w:tr>
        <w:trPr>
          <w:cantSplit/>
          <w:tblHeader w:val="false"/>
        </w:trPr>
        <w:tc>
          <w:tcPr>
            <w:tcW w:type="dxa" w:w="2520"/>
            <w:tcMar>
              <w:top w:type="dxa" w:w="80"/>
              <w:left w:type="dxa" w:w="100"/>
              <w:bottom w:type="dxa" w:w="80"/>
              <w:right w:type="dxa" w:w="100"/>
            </w:tcMar>
          </w:tcPr>
          <w:p>
            <w:pPr>
              <w:keepNext w:val="false"/>
              <w:keepLines/>
              <w:spacing w:after="120" w:line="264"/>
            </w:pPr>
            <w:r>
              <w:t xml:space="preserve">10</w:t>
            </w:r>
          </w:p>
        </w:tc>
        <w:tc>
          <w:tcPr>
            <w:tcW w:type="dxa" w:w="2520"/>
            <w:tcMar>
              <w:top w:type="dxa" w:w="80"/>
              <w:left w:type="dxa" w:w="100"/>
              <w:bottom w:type="dxa" w:w="80"/>
              <w:right w:type="dxa" w:w="100"/>
            </w:tcMar>
          </w:tcPr>
          <w:p>
            <w:pPr>
              <w:keepNext w:val="false"/>
              <w:keepLines/>
              <w:spacing w:after="120" w:line="264"/>
            </w:pPr>
            <w:r>
              <w:t xml:space="preserve">C</w:t>
            </w:r>
          </w:p>
        </w:tc>
        <w:tc>
          <w:tcPr>
            <w:tcW w:type="dxa" w:w="2520"/>
            <w:tcMar>
              <w:top w:type="dxa" w:w="80"/>
              <w:left w:type="dxa" w:w="100"/>
              <w:bottom w:type="dxa" w:w="80"/>
              <w:right w:type="dxa" w:w="100"/>
            </w:tcMar>
          </w:tcPr>
          <w:p>
            <w:pPr>
              <w:keepNext w:val="false"/>
              <w:keepLines/>
              <w:spacing w:after="120" w:line="264"/>
            </w:pPr>
            <w:r>
              <w:t xml:space="preserve">20</w:t>
            </w:r>
          </w:p>
        </w:tc>
        <w:tc>
          <w:tcPr>
            <w:tcW w:type="dxa" w:w="2520"/>
            <w:tcMar>
              <w:top w:type="dxa" w:w="80"/>
              <w:left w:type="dxa" w:w="100"/>
              <w:bottom w:type="dxa" w:w="80"/>
              <w:right w:type="dxa" w:w="100"/>
            </w:tcMar>
          </w:tcPr>
          <w:p>
            <w:pPr>
              <w:keepNext w:val="false"/>
              <w:keepLines/>
              <w:spacing w:after="120" w:line="264"/>
            </w:pPr>
            <w:r>
              <w:t xml:space="preserve">D</w:t>
            </w:r>
          </w:p>
        </w:tc>
      </w:tr>
    </w:tbl>
    <w:p>
      <w:pPr>
        <w:pStyle w:val="Heading1"/>
        <w:keepNext/>
        <w:keepLines/>
        <w:spacing w:after="120" w:line="264"/>
      </w:pPr>
      <w:r>
        <w:t xml:space="preserve">Science</w:t>
      </w:r>
    </w:p>
    <w:p>
      <w:pPr>
        <w:pStyle w:val="Heading2"/>
        <w:keepNext/>
        <w:keepLines/>
        <w:spacing w:after="120" w:line="264"/>
      </w:pPr>
      <w:r>
        <w:t xml:space="preserve">Question 1 — D</w:t>
      </w:r>
    </w:p>
    <w:p>
      <w:pPr>
        <w:keepNext w:val="false"/>
        <w:keepLines/>
        <w:spacing w:after="120" w:line="264"/>
      </w:pPr>
      <w:r>
        <w:rPr>
          <w:b/>
          <w:bCs/>
        </w:rPr>
        <w:t xml:space="preserve">Inference:</w:t>
      </w:r>
      <w:r>
        <w:t xml:space="preserve"> Removing each century's own average makes a persistent difference between the centuries invisible in the processed deviations. Comparable deviations therefore permit different average rainfall levels.</w:t>
      </w:r>
    </w:p>
    <w:p>
      <w:pPr>
        <w:keepNext w:val="false"/>
        <w:keepLines/>
        <w:spacing w:after="120" w:line="264"/>
      </w:pPr>
      <w:r>
        <w:rPr>
          <w:b/>
          <w:bCs/>
        </w:rPr>
        <w:t xml:space="preserve">Why D follows:</w:t>
      </w:r>
      <w:r>
        <w:t xml:space="preserve"> If one century's annual readings are uniformly higher, its average is higher by the same amount. Subtraction cancels the shift. The passage explicitly links sustained rainfall increases to just such a shift.</w:t>
      </w:r>
    </w:p>
    <w:p>
      <w:pPr>
        <w:pStyle w:val="ListParagraph"/>
        <w:keepNext w:val="false"/>
        <w:keepLines/>
        <w:numPr>
          <w:ilvl w:val="0"/>
          <w:numId w:val="2"/>
        </w:numPr>
        <w:spacing w:after="120" w:line="264"/>
      </w:pPr>
      <w:r>
        <w:rPr>
          <w:b/>
          <w:bCs/>
        </w:rPr>
        <w:t xml:space="preserve">A — Wrong measure:</w:t>
      </w:r>
      <w:r>
        <w:t xml:space="preserve"> More extreme unusually wet years would change the positive deviations, not merely the baseline that is removed.</w:t>
      </w:r>
    </w:p>
    <w:p>
      <w:pPr>
        <w:pStyle w:val="ListParagraph"/>
        <w:keepNext w:val="false"/>
        <w:keepLines/>
        <w:numPr>
          <w:ilvl w:val="0"/>
          <w:numId w:val="2"/>
        </w:numPr>
        <w:spacing w:after="120" w:line="264"/>
      </w:pPr>
      <w:r>
        <w:rPr>
          <w:b/>
          <w:bCs/>
        </w:rPr>
        <w:t xml:space="preserve">B — Reversed transformation:</w:t>
      </w:r>
      <w:r>
        <w:t xml:space="preserve"> The method removes differences in the averages; it does not preserve them while suppressing the annual departures.</w:t>
      </w:r>
    </w:p>
    <w:p>
      <w:pPr>
        <w:pStyle w:val="ListParagraph"/>
        <w:keepNext w:val="false"/>
        <w:keepLines/>
        <w:numPr>
          <w:ilvl w:val="0"/>
          <w:numId w:val="2"/>
        </w:numPr>
        <w:spacing w:after="120" w:line="264"/>
      </w:pPr>
      <w:r>
        <w:rPr>
          <w:b/>
          <w:bCs/>
        </w:rPr>
        <w:t xml:space="preserve">C — Unsupported compensation:</w:t>
      </w:r>
      <w:r>
        <w:t xml:space="preserve"> A weaker response to an unchanged rainfall distribution would compress the deviations rather than explain matching deviations. No compensating difference is supplied.</w:t>
      </w:r>
    </w:p>
    <w:p>
      <w:pPr>
        <w:keepNext w:val="false"/>
        <w:keepLines/>
        <w:spacing w:after="120" w:line="264"/>
      </w:pPr>
      <w:r>
        <w:rPr>
          <w:b/>
          <w:bCs/>
        </w:rPr>
        <w:t xml:space="preserve">Text disruptor:</w:t>
      </w:r>
      <w:r>
        <w:t xml:space="preserve"> Successful validation against modern wet and dry years establishes sensitivity to annual departures, not recovery of a baseline deliberately discarded. </w:t>
      </w:r>
      <w:r>
        <w:rPr>
          <w:b/>
          <w:bCs/>
        </w:rPr>
        <w:t xml:space="preserve">Diction hinge:</w:t>
      </w:r>
      <w:r>
        <w:t xml:space="preserve"> “variability” versus “average.”</w:t>
      </w:r>
    </w:p>
    <w:p>
      <w:pPr>
        <w:pStyle w:val="Heading2"/>
        <w:keepNext/>
        <w:keepLines/>
        <w:spacing w:after="120" w:line="264"/>
      </w:pPr>
      <w:r>
        <w:t xml:space="preserve">Question 2 — B</w:t>
      </w:r>
    </w:p>
    <w:p>
      <w:pPr>
        <w:keepNext w:val="false"/>
        <w:keepLines/>
        <w:spacing w:after="120" w:line="264"/>
      </w:pPr>
      <w:r>
        <w:rPr>
          <w:b/>
          <w:bCs/>
        </w:rPr>
        <w:t xml:space="preserve">Inference:</w:t>
      </w:r>
      <w:r>
        <w:t xml:space="preserve"> M helps supply S through the bacterial conversion step; the demonstrated problem is not a salt-induced inability to absorb S.</w:t>
      </w:r>
    </w:p>
    <w:p>
      <w:pPr>
        <w:keepNext w:val="false"/>
        <w:keepLines/>
        <w:spacing w:after="120" w:line="264"/>
      </w:pPr>
      <w:r>
        <w:rPr>
          <w:b/>
          <w:bCs/>
        </w:rPr>
        <w:t xml:space="preserve">Why B follows:</w:t>
      </w:r>
      <w:r>
        <w:t xml:space="preserve"> Both plant types absorb supplied S equally well. Adding M increases bacterial conversion, and supplying the conversion product bypasses the M-deficient plant's growth problem. These results locate the demonstrated benefit before absorption.</w:t>
      </w:r>
    </w:p>
    <w:p>
      <w:pPr>
        <w:pStyle w:val="ListParagraph"/>
        <w:keepNext w:val="false"/>
        <w:keepLines/>
        <w:numPr>
          <w:ilvl w:val="0"/>
          <w:numId w:val="2"/>
        </w:numPr>
        <w:spacing w:after="120" w:line="264"/>
      </w:pPr>
      <w:r>
        <w:rPr>
          <w:b/>
          <w:bCs/>
        </w:rPr>
        <w:t xml:space="preserve">A — Wrong causal stage:</w:t>
      </w:r>
      <w:r>
        <w:t xml:space="preserve"> It attributes the benefit to absorption even though absorption is equivalent when S is available.</w:t>
      </w:r>
    </w:p>
    <w:p>
      <w:pPr>
        <w:pStyle w:val="ListParagraph"/>
        <w:keepNext w:val="false"/>
        <w:keepLines/>
        <w:numPr>
          <w:ilvl w:val="0"/>
          <w:numId w:val="2"/>
        </w:numPr>
        <w:spacing w:after="120" w:line="264"/>
      </w:pPr>
      <w:r>
        <w:rPr>
          <w:b/>
          <w:bCs/>
        </w:rPr>
        <w:t xml:space="preserve">C — Invented bypass:</w:t>
      </w:r>
      <w:r>
        <w:t xml:space="preserve"> No result shows that M lets the plant use unconverted R. The bacteria-free R treatment supplies no growth rescue.</w:t>
      </w:r>
    </w:p>
    <w:p>
      <w:pPr>
        <w:pStyle w:val="ListParagraph"/>
        <w:keepNext w:val="false"/>
        <w:keepLines/>
        <w:numPr>
          <w:ilvl w:val="0"/>
          <w:numId w:val="2"/>
        </w:numPr>
        <w:spacing w:after="120" w:line="264"/>
      </w:pPr>
      <w:r>
        <w:rPr>
          <w:b/>
          <w:bCs/>
        </w:rPr>
        <w:t xml:space="preserve">D — Mechanism substitution:</w:t>
      </w:r>
      <w:r>
        <w:t xml:space="preserve"> It invents a lower nitrogen requirement and says bacterial S production remains unchanged, contrary to the measured conversion increase with M.</w:t>
      </w:r>
    </w:p>
    <w:p>
      <w:pPr>
        <w:keepNext w:val="false"/>
        <w:keepLines/>
        <w:spacing w:after="120" w:line="264"/>
      </w:pPr>
      <w:r>
        <w:rPr>
          <w:b/>
          <w:bCs/>
        </w:rPr>
        <w:t xml:space="preserve">Text disruptor:</w:t>
      </w:r>
      <w:r>
        <w:t xml:space="preserve"> Direct S supplementation restores growth without restoring M, which can tempt readers to conclude that M normally acts on the plant's use of S. </w:t>
      </w:r>
      <w:r>
        <w:rPr>
          <w:b/>
          <w:bCs/>
        </w:rPr>
        <w:t xml:space="preserve">Diction hinge:</w:t>
      </w:r>
      <w:r>
        <w:t xml:space="preserve"> “availability” versus “capacity to absorb.”</w:t>
      </w:r>
    </w:p>
    <w:p>
      <w:pPr>
        <w:pStyle w:val="Heading2"/>
        <w:keepNext/>
        <w:keepLines/>
        <w:spacing w:after="120" w:line="264"/>
      </w:pPr>
      <w:r>
        <w:t xml:space="preserve">Question 3 — A</w:t>
      </w:r>
    </w:p>
    <w:p>
      <w:pPr>
        <w:keepNext w:val="false"/>
        <w:keepLines/>
        <w:spacing w:after="120" w:line="264"/>
      </w:pPr>
      <w:r>
        <w:rPr>
          <w:b/>
          <w:bCs/>
        </w:rPr>
        <w:t xml:space="preserve">Inference:</w:t>
      </w:r>
      <w:r>
        <w:t xml:space="preserve"> At equilibrium, the destruction rate sets the replacement requirement; measuring that rate tests whether the established geological supply can meet it.</w:t>
      </w:r>
    </w:p>
    <w:p>
      <w:pPr>
        <w:keepNext w:val="false"/>
        <w:keepLines/>
        <w:spacing w:after="120" w:line="264"/>
      </w:pPr>
      <w:r>
        <w:rPr>
          <w:b/>
          <w:bCs/>
        </w:rPr>
        <w:t xml:space="preserve">Why A follows:</w:t>
      </w:r>
      <w:r>
        <w:t xml:space="preserve"> A lower loss rate requires less production to maintain the same abundance. Thus an indirect measurement of loss bears on the need for an additional source even though it does not directly detect that source.</w:t>
      </w:r>
    </w:p>
    <w:p>
      <w:pPr>
        <w:pStyle w:val="ListParagraph"/>
        <w:keepNext w:val="false"/>
        <w:keepLines/>
        <w:numPr>
          <w:ilvl w:val="0"/>
          <w:numId w:val="2"/>
        </w:numPr>
        <w:spacing w:after="120" w:line="264"/>
      </w:pPr>
      <w:r>
        <w:rPr>
          <w:b/>
          <w:bCs/>
        </w:rPr>
        <w:t xml:space="preserve">B — Sufficiency becomes identification:</w:t>
      </w:r>
      <w:r>
        <w:t xml:space="preserve"> Showing that geology can account for the gas does not establish that geology actually supplies all of it or that organisms contribute none.</w:t>
      </w:r>
    </w:p>
    <w:p>
      <w:pPr>
        <w:pStyle w:val="ListParagraph"/>
        <w:keepNext w:val="false"/>
        <w:keepLines/>
        <w:numPr>
          <w:ilvl w:val="0"/>
          <w:numId w:val="2"/>
        </w:numPr>
        <w:spacing w:after="120" w:line="264"/>
      </w:pPr>
      <w:r>
        <w:rPr>
          <w:b/>
          <w:bCs/>
        </w:rPr>
        <w:t xml:space="preserve">C — Requirement becomes source identity:</w:t>
      </w:r>
      <w:r>
        <w:t xml:space="preserve"> Both models require replenishment, but one obtains it from geology. Replenishment is not synonymous with biological production.</w:t>
      </w:r>
    </w:p>
    <w:p>
      <w:pPr>
        <w:pStyle w:val="ListParagraph"/>
        <w:keepNext w:val="false"/>
        <w:keepLines/>
        <w:numPr>
          <w:ilvl w:val="0"/>
          <w:numId w:val="2"/>
        </w:numPr>
        <w:spacing w:after="120" w:line="264"/>
      </w:pPr>
      <w:r>
        <w:rPr>
          <w:b/>
          <w:bCs/>
        </w:rPr>
        <w:t xml:space="preserve">D — Uniqueness overclaim:</w:t>
      </w:r>
      <w:r>
        <w:t xml:space="preserve"> A moderate destruction rate would challenge the small known geological source, but abundance does not distinguish biology from another source of comparable strength.</w:t>
      </w:r>
    </w:p>
    <w:p>
      <w:pPr>
        <w:keepNext w:val="false"/>
        <w:keepLines/>
        <w:spacing w:after="120" w:line="264"/>
      </w:pPr>
      <w:r>
        <w:rPr>
          <w:b/>
          <w:bCs/>
        </w:rPr>
        <w:t xml:space="preserve">Text disruptor:</w:t>
      </w:r>
      <w:r>
        <w:t xml:space="preserve"> Two models fit the same observation. The useful new measurement concerns a rate rather than another measurement of abundance. </w:t>
      </w:r>
      <w:r>
        <w:rPr>
          <w:b/>
          <w:bCs/>
        </w:rPr>
        <w:t xml:space="preserve">Diction hinge:</w:t>
      </w:r>
      <w:r>
        <w:t xml:space="preserve"> “sufficient to account for” versus “actual source.”</w:t>
      </w:r>
    </w:p>
    <w:p>
      <w:pPr>
        <w:pStyle w:val="Heading2"/>
        <w:keepNext/>
        <w:keepLines/>
        <w:spacing w:after="120" w:line="264"/>
      </w:pPr>
      <w:r>
        <w:t xml:space="preserve">Question 4 — C</w:t>
      </w:r>
    </w:p>
    <w:p>
      <w:pPr>
        <w:keepNext w:val="false"/>
        <w:keepLines/>
        <w:spacing w:after="120" w:line="264"/>
      </w:pPr>
      <w:r>
        <w:rPr>
          <w:b/>
          <w:bCs/>
        </w:rPr>
        <w:t xml:space="preserve">Inference:</w:t>
      </w:r>
      <w:r>
        <w:t xml:space="preserve"> Failure to discriminate between laboratory replicas and real threats does not by itself refute the usefulness of a cue that reliably predicts threats in nature.</w:t>
      </w:r>
    </w:p>
    <w:p>
      <w:pPr>
        <w:keepNext w:val="false"/>
        <w:keepLines/>
        <w:spacing w:after="120" w:line="264"/>
      </w:pPr>
      <w:r>
        <w:rPr>
          <w:b/>
          <w:bCs/>
        </w:rPr>
        <w:t xml:space="preserve">Why C follows:</w:t>
      </w:r>
      <w:r>
        <w:t xml:space="preserve"> The artificial tones duplicate the relevant natural cue. The reply specifically changes the reference environment: discrimination among manufactured stimuli is not the same issue as the cue's ecological reliability.</w:t>
      </w:r>
    </w:p>
    <w:p>
      <w:pPr>
        <w:pStyle w:val="ListParagraph"/>
        <w:keepNext w:val="false"/>
        <w:keepLines/>
        <w:numPr>
          <w:ilvl w:val="0"/>
          <w:numId w:val="2"/>
        </w:numPr>
        <w:spacing w:after="120" w:line="264"/>
      </w:pPr>
      <w:r>
        <w:rPr>
          <w:b/>
          <w:bCs/>
        </w:rPr>
        <w:t xml:space="preserve">A — Isolation error:</w:t>
      </w:r>
      <w:r>
        <w:t xml:space="preserve"> Frequency and intensity were both matched; the experiment does not separate their contributions or establish that frequency is irrelevant.</w:t>
      </w:r>
    </w:p>
    <w:p>
      <w:pPr>
        <w:pStyle w:val="ListParagraph"/>
        <w:keepNext w:val="false"/>
        <w:keepLines/>
        <w:numPr>
          <w:ilvl w:val="0"/>
          <w:numId w:val="2"/>
        </w:numPr>
        <w:spacing w:after="120" w:line="264"/>
      </w:pPr>
      <w:r>
        <w:rPr>
          <w:b/>
          <w:bCs/>
        </w:rPr>
        <w:t xml:space="preserve">B — Unsupported learning:</w:t>
      </w:r>
      <w:r>
        <w:t xml:space="preserve"> Neither recognition of individual bats nor learning is proposed as the basis of the response.</w:t>
      </w:r>
    </w:p>
    <w:p>
      <w:pPr>
        <w:pStyle w:val="ListParagraph"/>
        <w:keepNext w:val="false"/>
        <w:keepLines/>
        <w:numPr>
          <w:ilvl w:val="0"/>
          <w:numId w:val="2"/>
        </w:numPr>
        <w:spacing w:after="120" w:line="264"/>
      </w:pPr>
      <w:r>
        <w:rPr>
          <w:b/>
          <w:bCs/>
        </w:rPr>
        <w:t xml:space="preserve">D — Function-change inference:</w:t>
      </w:r>
      <w:r>
        <w:t xml:space="preserve"> An artificial stimulus can engage an existing response without demonstrating any change in its original function.</w:t>
      </w:r>
    </w:p>
    <w:p>
      <w:pPr>
        <w:keepNext w:val="false"/>
        <w:keepLines/>
        <w:spacing w:after="120" w:line="264"/>
      </w:pPr>
      <w:r>
        <w:rPr>
          <w:b/>
          <w:bCs/>
        </w:rPr>
        <w:t xml:space="preserve">Text disruptor:</w:t>
      </w:r>
      <w:r>
        <w:t xml:space="preserve"> An equally strong response to artificial tones sounds like evidence against predator adaptation, but the tones were designed to replicate the predator-associated feature. </w:t>
      </w:r>
      <w:r>
        <w:rPr>
          <w:b/>
          <w:bCs/>
        </w:rPr>
        <w:t xml:space="preserve">Diction hinge:</w:t>
      </w:r>
      <w:r>
        <w:t xml:space="preserve"> laboratory “selectivity” versus ecological “usefulness.” The item does not claim the experiment proves an evolutionary history.</w:t>
      </w:r>
    </w:p>
    <w:p>
      <w:pPr>
        <w:pStyle w:val="Heading2"/>
        <w:keepNext/>
        <w:keepLines/>
        <w:spacing w:after="120" w:line="264"/>
      </w:pPr>
      <w:r>
        <w:t xml:space="preserve">Question 5 — B</w:t>
      </w:r>
    </w:p>
    <w:p>
      <w:pPr>
        <w:keepNext w:val="false"/>
        <w:keepLines/>
        <w:spacing w:after="120" w:line="264"/>
      </w:pPr>
      <w:r>
        <w:rPr>
          <w:b/>
          <w:bCs/>
        </w:rPr>
        <w:t xml:space="preserve">Inference:</w:t>
      </w:r>
      <w:r>
        <w:t xml:space="preserve"> A preservation-sensitive trace increases while an independently controlled population indicator remains stable; this favors preservation over increased animal abundance.</w:t>
      </w:r>
    </w:p>
    <w:p>
      <w:pPr>
        <w:keepNext w:val="false"/>
        <w:keepLines/>
        <w:spacing w:after="120" w:line="264"/>
      </w:pPr>
      <w:r>
        <w:rPr>
          <w:b/>
          <w:bCs/>
        </w:rPr>
        <w:t xml:space="preserve">Why B follows:</w:t>
      </w:r>
      <w:r>
        <w:t xml:space="preserve"> Pellet preservation, production, and sediment accumulation are held stable. A population increase should therefore appear in the pellet record as well. The lining increase instead occurs precisely where lining preservation improves.</w:t>
      </w:r>
    </w:p>
    <w:p>
      <w:pPr>
        <w:pStyle w:val="ListParagraph"/>
        <w:keepNext w:val="false"/>
        <w:keepLines/>
        <w:numPr>
          <w:ilvl w:val="0"/>
          <w:numId w:val="2"/>
        </w:numPr>
        <w:spacing w:after="120" w:line="264"/>
      </w:pPr>
      <w:r>
        <w:rPr>
          <w:b/>
          <w:bCs/>
        </w:rPr>
        <w:t xml:space="preserve">A — Unmeasured behavior:</w:t>
      </w:r>
      <w:r>
        <w:t xml:space="preserve"> Increased burrowing per animal could be imagined, but no evidence demonstrates it. The documented preservation change already explains why the records diverge.</w:t>
      </w:r>
    </w:p>
    <w:p>
      <w:pPr>
        <w:pStyle w:val="ListParagraph"/>
        <w:keepNext w:val="false"/>
        <w:keepLines/>
        <w:numPr>
          <w:ilvl w:val="0"/>
          <w:numId w:val="2"/>
        </w:numPr>
        <w:spacing w:after="120" w:line="264"/>
      </w:pPr>
      <w:r>
        <w:rPr>
          <w:b/>
          <w:bCs/>
        </w:rPr>
        <w:t xml:space="preserve">C — False evidentiary balance:</w:t>
      </w:r>
      <w:r>
        <w:t xml:space="preserve"> The stable pellet record is informative against population growth under the stated controls; it does not cancel the lining evidence into a tie.</w:t>
      </w:r>
    </w:p>
    <w:p>
      <w:pPr>
        <w:pStyle w:val="ListParagraph"/>
        <w:keepNext w:val="false"/>
        <w:keepLines/>
        <w:numPr>
          <w:ilvl w:val="0"/>
          <w:numId w:val="2"/>
        </w:numPr>
        <w:spacing w:after="120" w:line="264"/>
      </w:pPr>
      <w:r>
        <w:rPr>
          <w:b/>
          <w:bCs/>
        </w:rPr>
        <w:t xml:space="preserve">D — Ignored controls:</w:t>
      </w:r>
      <w:r>
        <w:t xml:space="preserve"> The passage excludes both improved pellet preservation and reduced average pellet production as explanations of the stable count.</w:t>
      </w:r>
    </w:p>
    <w:p>
      <w:pPr>
        <w:keepNext w:val="false"/>
        <w:keepLines/>
        <w:spacing w:after="120" w:line="264"/>
      </w:pPr>
      <w:r>
        <w:rPr>
          <w:b/>
          <w:bCs/>
        </w:rPr>
        <w:t xml:space="preserve">Text disruptor:</w:t>
      </w:r>
      <w:r>
        <w:t xml:space="preserve"> The dramatic fossil increase initially favors population growth. The less visually dramatic pellet record becomes decisive only after tracking its controls. </w:t>
      </w:r>
      <w:r>
        <w:rPr>
          <w:b/>
          <w:bCs/>
        </w:rPr>
        <w:t xml:space="preserve">Diction hinge:</w:t>
      </w:r>
      <w:r>
        <w:t xml:space="preserve"> representation in an archive versus abundance in the original population.</w:t>
      </w:r>
    </w:p>
    <w:p>
      <w:pPr>
        <w:pStyle w:val="Heading2"/>
        <w:keepNext/>
        <w:keepLines/>
        <w:spacing w:after="120" w:line="264"/>
      </w:pPr>
      <w:r>
        <w:t xml:space="preserve">Question 6 — D</w:t>
      </w:r>
    </w:p>
    <w:p>
      <w:pPr>
        <w:keepNext w:val="false"/>
        <w:keepLines/>
        <w:spacing w:after="120" w:line="264"/>
      </w:pPr>
      <w:r>
        <w:rPr>
          <w:b/>
          <w:bCs/>
        </w:rPr>
        <w:t xml:space="preserve">Inference:</w:t>
      </w:r>
      <w:r>
        <w:t xml:space="preserve"> Among the proposed pathways, the results support stress → X → Z → repair; artificial activation of Z can bypass a normally required upstream component.</w:t>
      </w:r>
    </w:p>
    <w:p>
      <w:pPr>
        <w:keepNext w:val="false"/>
        <w:keepLines/>
        <w:spacing w:after="120" w:line="264"/>
      </w:pPr>
      <w:r>
        <w:rPr>
          <w:b/>
          <w:bCs/>
        </w:rPr>
        <w:t xml:space="preserve">Why D follows:</w:t>
      </w:r>
      <w:r>
        <w:t xml:space="preserve"> If stress activated Z independently of X, blocking only X would leave sufficient Z activation available to initiate repair. Instead, blocking X prevents repair, while direct Z activation restores it.</w:t>
      </w:r>
    </w:p>
    <w:p>
      <w:pPr>
        <w:pStyle w:val="ListParagraph"/>
        <w:keepNext w:val="false"/>
        <w:keepLines/>
        <w:numPr>
          <w:ilvl w:val="0"/>
          <w:numId w:val="2"/>
        </w:numPr>
        <w:spacing w:after="120" w:line="264"/>
      </w:pPr>
      <w:r>
        <w:rPr>
          <w:b/>
          <w:bCs/>
        </w:rPr>
        <w:t xml:space="preserve">A — Condition switch:</w:t>
      </w:r>
      <w:r>
        <w:t xml:space="preserve"> Bypass under drug treatment does not show dispensability during the ordinary stress response.</w:t>
      </w:r>
    </w:p>
    <w:p>
      <w:pPr>
        <w:pStyle w:val="ListParagraph"/>
        <w:keepNext w:val="false"/>
        <w:keepLines/>
        <w:numPr>
          <w:ilvl w:val="0"/>
          <w:numId w:val="2"/>
        </w:numPr>
        <w:spacing w:after="120" w:line="264"/>
      </w:pPr>
      <w:r>
        <w:rPr>
          <w:b/>
          <w:bCs/>
        </w:rPr>
        <w:t xml:space="preserve">B — Partial match:</w:t>
      </w:r>
      <w:r>
        <w:t xml:space="preserve"> Both pathways include Z, but only the serial pathway accounts for repair stopping when X alone is blocked.</w:t>
      </w:r>
    </w:p>
    <w:p>
      <w:pPr>
        <w:pStyle w:val="ListParagraph"/>
        <w:keepNext w:val="false"/>
        <w:keepLines/>
        <w:numPr>
          <w:ilvl w:val="0"/>
          <w:numId w:val="2"/>
        </w:numPr>
        <w:spacing w:after="120" w:line="264"/>
      </w:pPr>
      <w:r>
        <w:rPr>
          <w:b/>
          <w:bCs/>
        </w:rPr>
        <w:t xml:space="preserve">C — Unsupported reciprocity:</w:t>
      </w:r>
      <w:r>
        <w:t xml:space="preserve"> The experiment rescues X blockage by activating Z. It does not show that activating X rescues Z blockage or that Z activates X.</w:t>
      </w:r>
    </w:p>
    <w:p>
      <w:pPr>
        <w:keepNext w:val="false"/>
        <w:keepLines/>
        <w:spacing w:after="120" w:line="264"/>
      </w:pPr>
      <w:r>
        <w:rPr>
          <w:b/>
          <w:bCs/>
        </w:rPr>
        <w:t xml:space="preserve">Text disruptor:</w:t>
      </w:r>
      <w:r>
        <w:t xml:space="preserve"> Successful rescue can seem to contradict necessity. The contradiction disappears when ordinary activation and experimentally supplied activation are separated. </w:t>
      </w:r>
      <w:r>
        <w:rPr>
          <w:b/>
          <w:bCs/>
        </w:rPr>
        <w:t xml:space="preserve">Diction hinge:</w:t>
      </w:r>
      <w:r>
        <w:t xml:space="preserve"> “required upstream” versus “unconditionally indispensable.” The conclusion is bounded to the stated pathway comparison.</w:t>
      </w:r>
    </w:p>
    <w:p>
      <w:pPr>
        <w:pStyle w:val="Heading2"/>
        <w:keepNext/>
        <w:keepLines/>
        <w:spacing w:after="120" w:line="264"/>
      </w:pPr>
      <w:r>
        <w:t xml:space="preserve">Question 7 — C</w:t>
      </w:r>
    </w:p>
    <w:p>
      <w:pPr>
        <w:keepNext w:val="false"/>
        <w:keepLines/>
        <w:spacing w:after="120" w:line="264"/>
      </w:pPr>
      <w:r>
        <w:rPr>
          <w:b/>
          <w:bCs/>
        </w:rPr>
        <w:t xml:space="preserve">Inference:</w:t>
      </w:r>
      <w:r>
        <w:t xml:space="preserve"> Shading must counter both changes advancing flowering, while insect emergence remains tied to an unchanged calendar cue.</w:t>
      </w:r>
    </w:p>
    <w:p>
      <w:pPr>
        <w:keepNext w:val="false"/>
        <w:keepLines/>
        <w:spacing w:after="120" w:line="264"/>
      </w:pPr>
      <w:r>
        <w:rPr>
          <w:b/>
          <w:bCs/>
        </w:rPr>
        <w:t xml:space="preserve">Why C follows:</w:t>
      </w:r>
      <w:r>
        <w:t xml:space="preserve"> Earlier snowmelt starts warmth accumulation earlier; warmer springs then reach the threshold faster. Restoring overlap requires enough delay to compensate for their combined calendar effect.</w:t>
      </w:r>
    </w:p>
    <w:p>
      <w:pPr>
        <w:pStyle w:val="ListParagraph"/>
        <w:keepNext w:val="false"/>
        <w:keepLines/>
        <w:numPr>
          <w:ilvl w:val="0"/>
          <w:numId w:val="2"/>
        </w:numPr>
        <w:spacing w:after="120" w:line="264"/>
      </w:pPr>
      <w:r>
        <w:rPr>
          <w:b/>
          <w:bCs/>
        </w:rPr>
        <w:t xml:space="preserve">A — Direction reversal:</w:t>
      </w:r>
      <w:r>
        <w:t xml:space="preserve"> Making flowering begin at snowmelt advances it rather than delaying it and disregards the warmth-accumulation requirement.</w:t>
      </w:r>
    </w:p>
    <w:p>
      <w:pPr>
        <w:pStyle w:val="ListParagraph"/>
        <w:keepNext w:val="false"/>
        <w:keepLines/>
        <w:numPr>
          <w:ilvl w:val="0"/>
          <w:numId w:val="2"/>
        </w:numPr>
        <w:spacing w:after="120" w:line="264"/>
      </w:pPr>
      <w:r>
        <w:rPr>
          <w:b/>
          <w:bCs/>
        </w:rPr>
        <w:t xml:space="preserve">B — Incomplete correction:</w:t>
      </w:r>
      <w:r>
        <w:t xml:space="preserve"> Restoring the old warming rate still starts accumulation earlier if snowmelt advances. It does not necessarily restore the flowering date.</w:t>
      </w:r>
    </w:p>
    <w:p>
      <w:pPr>
        <w:pStyle w:val="ListParagraph"/>
        <w:keepNext w:val="false"/>
        <w:keepLines/>
        <w:numPr>
          <w:ilvl w:val="0"/>
          <w:numId w:val="2"/>
        </w:numPr>
        <w:spacing w:after="120" w:line="264"/>
      </w:pPr>
      <w:r>
        <w:rPr>
          <w:b/>
          <w:bCs/>
        </w:rPr>
        <w:t xml:space="preserve">D — Wrong relationship preserved:</w:t>
      </w:r>
      <w:r>
        <w:t xml:space="preserve"> Preserving the snowmelt-to-flowering interval shifts flowering earlier with snowmelt; the relevant relationship is flowering versus insect emergence.</w:t>
      </w:r>
    </w:p>
    <w:p>
      <w:pPr>
        <w:keepNext w:val="false"/>
        <w:keepLines/>
        <w:spacing w:after="120" w:line="264"/>
      </w:pPr>
      <w:r>
        <w:rPr>
          <w:b/>
          <w:bCs/>
        </w:rPr>
        <w:t xml:space="preserve">Text disruptor:</w:t>
      </w:r>
      <w:r>
        <w:t xml:space="preserve"> The familiar post-snowmelt rate appears to be a natural restoration target, but the start date has also changed. </w:t>
      </w:r>
      <w:r>
        <w:rPr>
          <w:b/>
          <w:bCs/>
        </w:rPr>
        <w:t xml:space="preserve">Diction hinge:</w:t>
      </w:r>
      <w:r>
        <w:t xml:space="preserve"> an interval measured from snowmelt versus a date aligned with the pollinator.</w:t>
      </w:r>
    </w:p>
    <w:p>
      <w:pPr>
        <w:pStyle w:val="Heading2"/>
        <w:keepNext/>
        <w:keepLines/>
        <w:spacing w:after="120" w:line="264"/>
      </w:pPr>
      <w:r>
        <w:t xml:space="preserve">Question 8 — A</w:t>
      </w:r>
    </w:p>
    <w:p>
      <w:pPr>
        <w:keepNext w:val="false"/>
        <w:keepLines/>
        <w:spacing w:after="120" w:line="264"/>
      </w:pPr>
      <w:r>
        <w:rPr>
          <w:b/>
          <w:bCs/>
        </w:rPr>
        <w:t xml:space="preserve">Inference:</w:t>
      </w:r>
      <w:r>
        <w:t xml:space="preserve"> The current shielding record constrains the latest uninterrupted burial interval, not every earlier episode that could have been erased by exposure.</w:t>
      </w:r>
    </w:p>
    <w:p>
      <w:pPr>
        <w:keepNext w:val="false"/>
        <w:keepLines/>
        <w:spacing w:after="120" w:line="264"/>
      </w:pPr>
      <w:r>
        <w:rPr>
          <w:b/>
          <w:bCs/>
        </w:rPr>
        <w:t xml:space="preserve">Why A follows:</w:t>
      </w:r>
      <w:r>
        <w:t xml:space="preserve"> Both a continuously exposed pre-glacial history and a history containing earlier burial followed by sufficient exposure can produce the same surviving signals. The data do not distinguish these histories.</w:t>
      </w:r>
    </w:p>
    <w:p>
      <w:pPr>
        <w:pStyle w:val="ListParagraph"/>
        <w:keepNext w:val="false"/>
        <w:keepLines/>
        <w:numPr>
          <w:ilvl w:val="0"/>
          <w:numId w:val="2"/>
        </w:numPr>
        <w:spacing w:after="120" w:line="264"/>
      </w:pPr>
      <w:r>
        <w:rPr>
          <w:b/>
          <w:bCs/>
        </w:rPr>
        <w:t xml:space="preserve">B — Clock substitution:</w:t>
      </w:r>
      <w:r>
        <w:t xml:space="preserve"> Both researchers accept incorporation as the start of current shielding. The older chemical source signature is not a record of continuous shielding.</w:t>
      </w:r>
    </w:p>
    <w:p>
      <w:pPr>
        <w:pStyle w:val="ListParagraph"/>
        <w:keepNext w:val="false"/>
        <w:keepLines/>
        <w:numPr>
          <w:ilvl w:val="0"/>
          <w:numId w:val="2"/>
        </w:numPr>
        <w:spacing w:after="120" w:line="264"/>
      </w:pPr>
      <w:r>
        <w:rPr>
          <w:b/>
          <w:bCs/>
        </w:rPr>
        <w:t xml:space="preserve">C — Source/event conflation:</w:t>
      </w:r>
      <w:r>
        <w:t xml:space="preserve"> The chemical signature identifies the eruption, not a process said to generate that signature during burial. Preservation through burial does not make burial its origin.</w:t>
      </w:r>
    </w:p>
    <w:p>
      <w:pPr>
        <w:pStyle w:val="ListParagraph"/>
        <w:keepNext w:val="false"/>
        <w:keepLines/>
        <w:numPr>
          <w:ilvl w:val="0"/>
          <w:numId w:val="2"/>
        </w:numPr>
        <w:spacing w:after="120" w:line="264"/>
      </w:pPr>
      <w:r>
        <w:rPr>
          <w:b/>
          <w:bCs/>
        </w:rPr>
        <w:t xml:space="preserve">D — Direction and reset errors:</w:t>
      </w:r>
      <w:r>
        <w:t xml:space="preserve"> Sustained exposure erases accumulation rather than allowing it to continue. The signal also matches the ice age; it does not record more time.</w:t>
      </w:r>
    </w:p>
    <w:p>
      <w:pPr>
        <w:keepNext w:val="false"/>
        <w:keepLines/>
        <w:spacing w:after="120" w:line="264"/>
      </w:pPr>
      <w:r>
        <w:rPr>
          <w:b/>
          <w:bCs/>
        </w:rPr>
        <w:t xml:space="preserve">Text disruptor:</w:t>
      </w:r>
      <w:r>
        <w:t xml:space="preserve"> Agreement between the shielding interval and ice age can seem to validate the researcher's entire reconstruction. It validates the recent interval without restoring erased history. </w:t>
      </w:r>
      <w:r>
        <w:rPr>
          <w:b/>
          <w:bCs/>
        </w:rPr>
        <w:t xml:space="preserve">Diction hinge:</w:t>
      </w:r>
      <w:r>
        <w:t xml:space="preserve"> “current” and “uninterrupted,” not cumulative lifetime shielding.</w:t>
      </w:r>
    </w:p>
    <w:p>
      <w:pPr>
        <w:pStyle w:val="Heading2"/>
        <w:keepNext/>
        <w:keepLines/>
        <w:spacing w:after="120" w:line="264"/>
      </w:pPr>
      <w:r>
        <w:t xml:space="preserve">Question 9 — D</w:t>
      </w:r>
    </w:p>
    <w:p>
      <w:pPr>
        <w:keepNext w:val="false"/>
        <w:keepLines/>
        <w:spacing w:after="120" w:line="264"/>
      </w:pPr>
      <w:r>
        <w:rPr>
          <w:b/>
          <w:bCs/>
        </w:rPr>
        <w:t xml:space="preserve">Inference:</w:t>
      </w:r>
      <w:r>
        <w:t xml:space="preserve"> Equal dissolved stocks do not imply equal treatment responses when nutrient in an initially untreated reservoir returns to those stocks at different rates.</w:t>
      </w:r>
    </w:p>
    <w:p>
      <w:pPr>
        <w:keepNext w:val="false"/>
        <w:keepLines/>
        <w:spacing w:after="120" w:line="264"/>
      </w:pPr>
      <w:r>
        <w:rPr>
          <w:b/>
          <w:bCs/>
        </w:rPr>
        <w:t xml:space="preserve">Why D follows:</w:t>
      </w:r>
      <w:r>
        <w:t xml:space="preserve"> The removal rule applies to dissolved nutrient, not permanently to particular nutrient molecules. Once algae release nutrient, it enters the removable pool. Arven has the larger continuing input per liter, while new incorporation becomes negligible in both lakes.</w:t>
      </w:r>
    </w:p>
    <w:p>
      <w:pPr>
        <w:pStyle w:val="ListParagraph"/>
        <w:keepNext w:val="false"/>
        <w:keepLines/>
        <w:numPr>
          <w:ilvl w:val="0"/>
          <w:numId w:val="2"/>
        </w:numPr>
        <w:spacing w:after="120" w:line="264"/>
      </w:pPr>
      <w:r>
        <w:rPr>
          <w:b/>
          <w:bCs/>
        </w:rPr>
        <w:t xml:space="preserve">A — Fraction/amount confusion:</w:t>
      </w:r>
      <w:r>
        <w:t xml:space="preserve"> The removed fraction is fixed by the treatment. Faster replenishment can affect concentrations and amounts removed, not that prescribed fraction.</w:t>
      </w:r>
    </w:p>
    <w:p>
      <w:pPr>
        <w:pStyle w:val="ListParagraph"/>
        <w:keepNext w:val="false"/>
        <w:keepLines/>
        <w:numPr>
          <w:ilvl w:val="0"/>
          <w:numId w:val="2"/>
        </w:numPr>
        <w:spacing w:after="120" w:line="264"/>
      </w:pPr>
      <w:r>
        <w:rPr>
          <w:b/>
          <w:bCs/>
        </w:rPr>
        <w:t xml:space="preserve">B — Boundary follows the material incorrectly:</w:t>
      </w:r>
      <w:r>
        <w:t xml:space="preserve"> Exclusion applies while nutrient is inside living cells. It does not follow the nutrient after release into water.</w:t>
      </w:r>
    </w:p>
    <w:p>
      <w:pPr>
        <w:pStyle w:val="ListParagraph"/>
        <w:keepNext w:val="false"/>
        <w:keepLines/>
        <w:numPr>
          <w:ilvl w:val="0"/>
          <w:numId w:val="2"/>
        </w:numPr>
        <w:spacing w:after="120" w:line="264"/>
      </w:pPr>
      <w:r>
        <w:rPr>
          <w:b/>
          <w:bCs/>
        </w:rPr>
        <w:t xml:space="preserve">C — Wrong time window:</w:t>
      </w:r>
      <w:r>
        <w:t xml:space="preserve"> It carries rapid pre-treatment incorporation forward despite the explicit assumption that new incorporation becomes negligible during scarcity.</w:t>
      </w:r>
    </w:p>
    <w:p>
      <w:pPr>
        <w:keepNext w:val="false"/>
        <w:keepLines/>
        <w:spacing w:after="120" w:line="264"/>
      </w:pPr>
      <w:r>
        <w:rPr>
          <w:b/>
          <w:bCs/>
        </w:rPr>
        <w:t xml:space="preserve">Text disruptor:</w:t>
      </w:r>
      <w:r>
        <w:t xml:space="preserve"> Both uptake and release are initially rapid in Arven, suggesting cancellation. The treatment-period assumptions preserve release while suppressing new uptake. </w:t>
      </w:r>
      <w:r>
        <w:rPr>
          <w:b/>
          <w:bCs/>
        </w:rPr>
        <w:t xml:space="preserve">Diction hinge:</w:t>
      </w:r>
      <w:r>
        <w:t xml:space="preserve"> pool “concentration” versus transfer “rate.”</w:t>
      </w:r>
    </w:p>
    <w:p>
      <w:pPr>
        <w:pStyle w:val="Heading2"/>
        <w:keepNext/>
        <w:keepLines/>
        <w:spacing w:after="120" w:line="264"/>
      </w:pPr>
      <w:r>
        <w:t xml:space="preserve">Question 10 — C</w:t>
      </w:r>
    </w:p>
    <w:p>
      <w:pPr>
        <w:keepNext w:val="false"/>
        <w:keepLines/>
        <w:spacing w:after="120" w:line="264"/>
      </w:pPr>
      <w:r>
        <w:rPr>
          <w:b/>
          <w:bCs/>
        </w:rPr>
        <w:t xml:space="preserve">Inference:</w:t>
      </w:r>
      <w:r>
        <w:t xml:space="preserve"> A reproductive-stage disadvantage undermines established dominance only insofar as maintaining that dominance depends on the disadvantaged stage.</w:t>
      </w:r>
    </w:p>
    <w:p>
      <w:pPr>
        <w:keepNext w:val="false"/>
        <w:keepLines/>
        <w:spacing w:after="120" w:line="264"/>
      </w:pPr>
      <w:r>
        <w:rPr>
          <w:b/>
          <w:bCs/>
        </w:rPr>
        <w:t xml:space="preserve">Why C follows:</w:t>
      </w:r>
      <w:r>
        <w:t xml:space="preserve"> The critic treats poor seed germination as fatal to persistence. Mature tolerance and shoot-based expansion supply a route around that stage. Making persistence depend on germination would restore the critic's missing link.</w:t>
      </w:r>
    </w:p>
    <w:p>
      <w:pPr>
        <w:pStyle w:val="ListParagraph"/>
        <w:keepNext w:val="false"/>
        <w:keepLines/>
        <w:numPr>
          <w:ilvl w:val="0"/>
          <w:numId w:val="2"/>
        </w:numPr>
        <w:spacing w:after="120" w:line="264"/>
      </w:pPr>
      <w:r>
        <w:rPr>
          <w:b/>
          <w:bCs/>
        </w:rPr>
        <w:t xml:space="preserve">A — Strengthens the feedback:</w:t>
      </w:r>
      <w:r>
        <w:t xml:space="preserve"> Restricting grass before shrub recruitment makes competitive suppression more favorable to shrubs, not less.</w:t>
      </w:r>
    </w:p>
    <w:p>
      <w:pPr>
        <w:pStyle w:val="ListParagraph"/>
        <w:keepNext w:val="false"/>
        <w:keepLines/>
        <w:numPr>
          <w:ilvl w:val="0"/>
          <w:numId w:val="2"/>
        </w:numPr>
        <w:spacing w:after="120" w:line="264"/>
      </w:pPr>
      <w:r>
        <w:rPr>
          <w:b/>
          <w:bCs/>
        </w:rPr>
        <w:t xml:space="preserve">B — Reinforces the bypass:</w:t>
      </w:r>
      <w:r>
        <w:t xml:space="preserve"> Tolerant connected shoots strengthen the account of persistence without seed germination.</w:t>
      </w:r>
    </w:p>
    <w:p>
      <w:pPr>
        <w:pStyle w:val="ListParagraph"/>
        <w:keepNext w:val="false"/>
        <w:keepLines/>
        <w:numPr>
          <w:ilvl w:val="0"/>
          <w:numId w:val="2"/>
        </w:numPr>
        <w:spacing w:after="120" w:line="264"/>
      </w:pPr>
      <w:r>
        <w:rPr>
          <w:b/>
          <w:bCs/>
        </w:rPr>
        <w:t xml:space="preserve">D — Different limitation:</w:t>
      </w:r>
      <w:r>
        <w:t xml:space="preserve"> A density threshold can limit establishment of a new stand while leaving the proposed feedback in already dense stands intact.</w:t>
      </w:r>
    </w:p>
    <w:p>
      <w:pPr>
        <w:keepNext w:val="false"/>
        <w:keepLines/>
        <w:spacing w:after="120" w:line="264"/>
      </w:pPr>
      <w:r>
        <w:rPr>
          <w:b/>
          <w:bCs/>
        </w:rPr>
        <w:t xml:space="preserve">Text disruptor:</w:t>
      </w:r>
      <w:r>
        <w:t xml:space="preserve"> The shrubs damage conditions for their own seeds—a compelling seeming contradiction that concerns a different life stage from the one sustaining dominance. </w:t>
      </w:r>
      <w:r>
        <w:rPr>
          <w:b/>
          <w:bCs/>
        </w:rPr>
        <w:t xml:space="preserve">Diction hinge:</w:t>
      </w:r>
      <w:r>
        <w:t xml:space="preserve"> “established” versus newly establishing; “maintenance” versus recruitment from seed.</w:t>
      </w:r>
    </w:p>
    <w:p>
      <w:pPr>
        <w:pStyle w:val="Heading2"/>
        <w:keepNext/>
        <w:keepLines/>
        <w:spacing w:after="120" w:line="264"/>
      </w:pPr>
      <w:r>
        <w:t xml:space="preserve">Question 11 — A</w:t>
      </w:r>
    </w:p>
    <w:p>
      <w:pPr>
        <w:keepNext w:val="false"/>
        <w:keepLines/>
        <w:spacing w:after="120" w:line="264"/>
      </w:pPr>
      <w:r>
        <w:rPr>
          <w:b/>
          <w:bCs/>
        </w:rPr>
        <w:t xml:space="preserve">Inference:</w:t>
      </w:r>
      <w:r>
        <w:t xml:space="preserve"> Threshold-based retention samples different parts of the fluctuation cycle for objects near and far above the threshold.</w:t>
      </w:r>
    </w:p>
    <w:p>
      <w:pPr>
        <w:keepNext w:val="false"/>
        <w:keepLines/>
        <w:spacing w:after="120" w:line="264"/>
      </w:pPr>
      <w:r>
        <w:rPr>
          <w:b/>
          <w:bCs/>
        </w:rPr>
        <w:t xml:space="preserve">Why A follows:</w:t>
      </w:r>
      <w:r>
        <w:t xml:space="preserve"> Near-threshold distant stars are preferentially retained during brighter phases. Nearby stars stay detectable through more of their fluctuations. Correcting distance does not recover omitted dim-phase measurements.</w:t>
      </w:r>
    </w:p>
    <w:p>
      <w:pPr>
        <w:pStyle w:val="ListParagraph"/>
        <w:keepNext w:val="false"/>
        <w:keepLines/>
        <w:numPr>
          <w:ilvl w:val="0"/>
          <w:numId w:val="2"/>
        </w:numPr>
        <w:spacing w:after="120" w:line="264"/>
      </w:pPr>
      <w:r>
        <w:rPr>
          <w:b/>
          <w:bCs/>
        </w:rPr>
        <w:t xml:space="preserve">B — Unsupported processing cause:</w:t>
      </w:r>
      <w:r>
        <w:t xml:space="preserve"> Distance correction does not explain why the threshold would retain equal mixtures; the passage gives a reason the mixtures differ.</w:t>
      </w:r>
    </w:p>
    <w:p>
      <w:pPr>
        <w:pStyle w:val="ListParagraph"/>
        <w:keepNext w:val="false"/>
        <w:keepLines/>
        <w:numPr>
          <w:ilvl w:val="0"/>
          <w:numId w:val="2"/>
        </w:numPr>
        <w:spacing w:after="120" w:line="264"/>
      </w:pPr>
      <w:r>
        <w:rPr>
          <w:b/>
          <w:bCs/>
        </w:rPr>
        <w:t xml:space="preserve">C — Unestablished variability difference:</w:t>
      </w:r>
      <w:r>
        <w:t xml:space="preserve"> Matching usual brightness distributions does not prove that distant stars fluctuate more. Preferential retention explains the result without that added claim.</w:t>
      </w:r>
    </w:p>
    <w:p>
      <w:pPr>
        <w:pStyle w:val="ListParagraph"/>
        <w:keepNext w:val="false"/>
        <w:keepLines/>
        <w:numPr>
          <w:ilvl w:val="0"/>
          <w:numId w:val="2"/>
        </w:numPr>
        <w:spacing w:after="120" w:line="264"/>
      </w:pPr>
      <w:r>
        <w:rPr>
          <w:b/>
          <w:bCs/>
        </w:rPr>
        <w:t xml:space="preserve">D — Wrong group direction:</w:t>
      </w:r>
      <w:r>
        <w:t xml:space="preserve"> Nearby stars are well above the threshold, whereas distant stars lie near it. The proposed pattern reverses which group is especially vulnerable to omitted dim phases.</w:t>
      </w:r>
    </w:p>
    <w:p>
      <w:pPr>
        <w:keepNext w:val="false"/>
        <w:keepLines/>
        <w:spacing w:after="120" w:line="264"/>
      </w:pPr>
      <w:r>
        <w:rPr>
          <w:b/>
          <w:bCs/>
        </w:rPr>
        <w:t xml:space="preserve">Text disruptor:</w:t>
      </w:r>
      <w:r>
        <w:t xml:space="preserve"> Random exposure times sound like unbiased sampling. Random measurement times do not guarantee an unbiased retained sample after a brightness filter. </w:t>
      </w:r>
      <w:r>
        <w:rPr>
          <w:b/>
          <w:bCs/>
        </w:rPr>
        <w:t xml:space="preserve">Diction hinge:</w:t>
      </w:r>
      <w:r>
        <w:t xml:space="preserve"> measurements taken versus measurements retained.</w:t>
      </w:r>
    </w:p>
    <w:p>
      <w:pPr>
        <w:pStyle w:val="Heading2"/>
        <w:keepNext/>
        <w:keepLines/>
        <w:spacing w:after="120" w:line="264"/>
      </w:pPr>
      <w:r>
        <w:t xml:space="preserve">Question 12 — B</w:t>
      </w:r>
    </w:p>
    <w:p>
      <w:pPr>
        <w:keepNext w:val="false"/>
        <w:keepLines/>
        <w:spacing w:after="120" w:line="264"/>
      </w:pPr>
      <w:r>
        <w:rPr>
          <w:b/>
          <w:bCs/>
        </w:rPr>
        <w:t xml:space="preserve">Inference:</w:t>
      </w:r>
      <w:r>
        <w:t xml:space="preserve"> Disappearance after a second common-environment generation weakens a stable DNA explanation for this particular greenhouse phenotype but does not uniquely identify the transient influence.</w:t>
      </w:r>
    </w:p>
    <w:p>
      <w:pPr>
        <w:keepNext w:val="false"/>
        <w:keepLines/>
        <w:spacing w:after="120" w:line="264"/>
      </w:pPr>
      <w:r>
        <w:rPr>
          <w:b/>
          <w:bCs/>
        </w:rPr>
        <w:t xml:space="preserve">Why B follows:</w:t>
      </w:r>
      <w:r>
        <w:t xml:space="preserve"> A stable inherited difference expressed under the same greenhouse conditions should not disappear merely because parents were also greenhouse-grown, given the stated exclusions. A parental environmental influence is compatible with the result, but nutrient reserves are only one proposed mechanism.</w:t>
      </w:r>
    </w:p>
    <w:p>
      <w:pPr>
        <w:pStyle w:val="ListParagraph"/>
        <w:keepNext w:val="false"/>
        <w:keepLines/>
        <w:numPr>
          <w:ilvl w:val="0"/>
          <w:numId w:val="2"/>
        </w:numPr>
        <w:spacing w:after="120" w:line="264"/>
      </w:pPr>
      <w:r>
        <w:rPr>
          <w:b/>
          <w:bCs/>
        </w:rPr>
        <w:t xml:space="preserve">A — Phenotype-to-genome overreach:</w:t>
      </w:r>
      <w:r>
        <w:t xml:space="preserve"> Convergence in leaf size does not establish that the populations lack DNA differences generally.</w:t>
      </w:r>
    </w:p>
    <w:p>
      <w:pPr>
        <w:pStyle w:val="ListParagraph"/>
        <w:keepNext w:val="false"/>
        <w:keepLines/>
        <w:numPr>
          <w:ilvl w:val="0"/>
          <w:numId w:val="2"/>
        </w:numPr>
        <w:spacing w:after="120" w:line="264"/>
      </w:pPr>
      <w:r>
        <w:rPr>
          <w:b/>
          <w:bCs/>
        </w:rPr>
        <w:t xml:space="preserve">C — Compatible becomes proven:</w:t>
      </w:r>
      <w:r>
        <w:t xml:space="preserve"> Seed reserves could explain the result, but were not measured or experimentally isolated.</w:t>
      </w:r>
    </w:p>
    <w:p>
      <w:pPr>
        <w:pStyle w:val="ListParagraph"/>
        <w:keepNext w:val="false"/>
        <w:keepLines/>
        <w:numPr>
          <w:ilvl w:val="0"/>
          <w:numId w:val="2"/>
        </w:numPr>
        <w:spacing w:after="120" w:line="264"/>
      </w:pPr>
      <w:r>
        <w:rPr>
          <w:b/>
          <w:bCs/>
        </w:rPr>
        <w:t xml:space="preserve">D — Evidence frozen at the first result:</w:t>
      </w:r>
      <w:r>
        <w:t xml:space="preserve"> The second generation directly changes the support for the explanation; persistence in the first generation does not make the later convergence irrelevant.</w:t>
      </w:r>
    </w:p>
    <w:p>
      <w:pPr>
        <w:keepNext w:val="false"/>
        <w:keepLines/>
        <w:spacing w:after="120" w:line="264"/>
      </w:pPr>
      <w:r>
        <w:rPr>
          <w:b/>
          <w:bCs/>
        </w:rPr>
        <w:t xml:space="preserve">Text disruptor:</w:t>
      </w:r>
      <w:r>
        <w:t xml:space="preserve"> The first common-garden result invites a genetic conclusion, and the specifically named nutrient explanation then invites premature certainty in the opposite direction. </w:t>
      </w:r>
      <w:r>
        <w:rPr>
          <w:b/>
          <w:bCs/>
        </w:rPr>
        <w:t xml:space="preserve">Diction hinge:</w:t>
      </w:r>
      <w:r>
        <w:t xml:space="preserve"> weakening one explanation versus identifying its replacement.</w:t>
      </w:r>
    </w:p>
    <w:p>
      <w:pPr>
        <w:pStyle w:val="Heading1"/>
        <w:keepNext/>
        <w:keepLines/>
        <w:spacing w:after="120" w:line="264"/>
      </w:pPr>
      <w:r>
        <w:t xml:space="preserve">Economics</w:t>
      </w:r>
    </w:p>
    <w:p>
      <w:pPr>
        <w:pStyle w:val="Heading2"/>
        <w:keepNext/>
        <w:keepLines/>
        <w:spacing w:after="120" w:line="264"/>
      </w:pPr>
      <w:r>
        <w:t xml:space="preserve">Question 13 — C</w:t>
      </w:r>
    </w:p>
    <w:p>
      <w:pPr>
        <w:keepNext w:val="false"/>
        <w:keepLines/>
        <w:spacing w:after="120" w:line="264"/>
      </w:pPr>
      <w:r>
        <w:rPr>
          <w:b/>
          <w:bCs/>
        </w:rPr>
        <w:t xml:space="preserve">Inference:</w:t>
      </w:r>
      <w:r>
        <w:t xml:space="preserve"> Fixing sector weights removes between-sector composition changes but leaves within-sector composition changes in the sector averages being weighted.</w:t>
      </w:r>
    </w:p>
    <w:p>
      <w:pPr>
        <w:keepNext w:val="false"/>
        <w:keepLines/>
        <w:spacing w:after="120" w:line="264"/>
      </w:pPr>
      <w:r>
        <w:rPr>
          <w:b/>
          <w:bCs/>
        </w:rPr>
        <w:t xml:space="preserve">Why C follows:</w:t>
      </w:r>
      <w:r>
        <w:t xml:space="preserve"> Losing the lowest-paid workers can raise a sector's mean even when no remaining worker receives a raise. Applying earlier sector weights to these new means does not restore the missing low-paid workers.</w:t>
      </w:r>
    </w:p>
    <w:p>
      <w:pPr>
        <w:pStyle w:val="ListParagraph"/>
        <w:keepNext w:val="false"/>
        <w:keepLines/>
        <w:numPr>
          <w:ilvl w:val="0"/>
          <w:numId w:val="2"/>
        </w:numPr>
        <w:spacing w:after="120" w:line="264"/>
      </w:pPr>
      <w:r>
        <w:rPr>
          <w:b/>
          <w:bCs/>
        </w:rPr>
        <w:t xml:space="preserve">A — Incomplete adjustment treated as complete:</w:t>
      </w:r>
      <w:r>
        <w:t xml:space="preserve"> The fixed weights do not remove selection within sectors; payroll records also explicitly exclude raises.</w:t>
      </w:r>
    </w:p>
    <w:p>
      <w:pPr>
        <w:pStyle w:val="ListParagraph"/>
        <w:keepNext w:val="false"/>
        <w:keepLines/>
        <w:numPr>
          <w:ilvl w:val="0"/>
          <w:numId w:val="2"/>
        </w:numPr>
        <w:spacing w:after="120" w:line="264"/>
      </w:pPr>
      <w:r>
        <w:rPr>
          <w:b/>
          <w:bCs/>
        </w:rPr>
        <w:t xml:space="preserve">B — Contradicted weighting rule:</w:t>
      </w:r>
      <w:r>
        <w:t xml:space="preserve"> The analyst uses the earlier sector shares, not larger-than-earlier weights for high-paying sectors.</w:t>
      </w:r>
    </w:p>
    <w:p>
      <w:pPr>
        <w:pStyle w:val="ListParagraph"/>
        <w:keepNext w:val="false"/>
        <w:keepLines/>
        <w:numPr>
          <w:ilvl w:val="0"/>
          <w:numId w:val="2"/>
        </w:numPr>
        <w:spacing w:after="120" w:line="264"/>
      </w:pPr>
      <w:r>
        <w:rPr>
          <w:b/>
          <w:bCs/>
        </w:rPr>
        <w:t xml:space="preserve">D — Partial explanation rejected:</w:t>
      </w:r>
      <w:r>
        <w:t xml:space="preserve"> The adjusted increase is smaller than the unadjusted increase. Failure to explain the entire increase does not make the between-sector change irrelevant.</w:t>
      </w:r>
    </w:p>
    <w:p>
      <w:pPr>
        <w:keepNext w:val="false"/>
        <w:keepLines/>
        <w:spacing w:after="120" w:line="264"/>
      </w:pPr>
      <w:r>
        <w:rPr>
          <w:b/>
          <w:bCs/>
        </w:rPr>
        <w:t xml:space="preserve">Text disruptor:</w:t>
      </w:r>
      <w:r>
        <w:t xml:space="preserve"> A statistical correction appears to settle the composition problem but operates at only one of its two levels. </w:t>
      </w:r>
      <w:r>
        <w:rPr>
          <w:b/>
          <w:bCs/>
        </w:rPr>
        <w:t xml:space="preserve">Diction hinge:</w:t>
      </w:r>
      <w:r>
        <w:t xml:space="preserve"> workers represented within sectors versus relative weights of sectors.</w:t>
      </w:r>
    </w:p>
    <w:p>
      <w:pPr>
        <w:pStyle w:val="Heading2"/>
        <w:keepNext/>
        <w:keepLines/>
        <w:spacing w:after="120" w:line="264"/>
      </w:pPr>
      <w:r>
        <w:t xml:space="preserve">Question 14 — A</w:t>
      </w:r>
    </w:p>
    <w:p>
      <w:pPr>
        <w:keepNext w:val="false"/>
        <w:keepLines/>
        <w:spacing w:after="120" w:line="264"/>
      </w:pPr>
      <w:r>
        <w:rPr>
          <w:b/>
          <w:bCs/>
        </w:rPr>
        <w:t xml:space="preserve">Inference:</w:t>
      </w:r>
      <w:r>
        <w:t xml:space="preserve"> If intended purchases influence reassignment across the threshold, reported eligibility no longer separates firms independently of those plans.</w:t>
      </w:r>
    </w:p>
    <w:p>
      <w:pPr>
        <w:keepNext w:val="false"/>
        <w:keepLines/>
        <w:spacing w:after="120" w:line="264"/>
      </w:pPr>
      <w:r>
        <w:rPr>
          <w:b/>
          <w:bCs/>
        </w:rPr>
        <w:t xml:space="preserve">Why A follows:</w:t>
      </w:r>
      <w:r>
        <w:t xml:space="preserve"> The purchase plans help determine which firms appear below fifty employees. A later difference in purchases can therefore combine an actual subsidy effect with selection based on plans already held.</w:t>
      </w:r>
    </w:p>
    <w:p>
      <w:pPr>
        <w:pStyle w:val="ListParagraph"/>
        <w:keepNext w:val="false"/>
        <w:keepLines/>
        <w:numPr>
          <w:ilvl w:val="0"/>
          <w:numId w:val="2"/>
        </w:numPr>
        <w:spacing w:after="120" w:line="264"/>
      </w:pPr>
      <w:r>
        <w:rPr>
          <w:b/>
          <w:bCs/>
        </w:rPr>
        <w:t xml:space="preserve">B — Unsupported sign:</w:t>
      </w:r>
      <w:r>
        <w:t xml:space="preserve"> Nothing establishes that reassigning firms planned less than firms originally below the boundary. The stipulated incentive instead concerns unusually large planned purchases.</w:t>
      </w:r>
    </w:p>
    <w:p>
      <w:pPr>
        <w:pStyle w:val="ListParagraph"/>
        <w:keepNext w:val="false"/>
        <w:keepLines/>
        <w:numPr>
          <w:ilvl w:val="0"/>
          <w:numId w:val="2"/>
        </w:numPr>
        <w:spacing w:after="120" w:line="264"/>
      </w:pPr>
      <w:r>
        <w:rPr>
          <w:b/>
          <w:bCs/>
        </w:rPr>
        <w:t xml:space="preserve">C — Wrong time window:</w:t>
      </w:r>
      <w:r>
        <w:t xml:space="preserve"> Smoothness before announcement does not rule out sorting induced by announcement.</w:t>
      </w:r>
    </w:p>
    <w:p>
      <w:pPr>
        <w:pStyle w:val="ListParagraph"/>
        <w:keepNext w:val="false"/>
        <w:keepLines/>
        <w:numPr>
          <w:ilvl w:val="0"/>
          <w:numId w:val="2"/>
        </w:numPr>
        <w:spacing w:after="120" w:line="264"/>
      </w:pPr>
      <w:r>
        <w:rPr>
          <w:b/>
          <w:bCs/>
        </w:rPr>
        <w:t xml:space="preserve">D — Wrong comparability criterion:</w:t>
      </w:r>
      <w:r>
        <w:t xml:space="preserve"> Continued access to workers does not make purchase plans comparable across reported head counts. Reassignment's nominal nature enables the sorting.</w:t>
      </w:r>
    </w:p>
    <w:p>
      <w:pPr>
        <w:keepNext w:val="false"/>
        <w:keepLines/>
        <w:spacing w:after="120" w:line="264"/>
      </w:pPr>
      <w:r>
        <w:rPr>
          <w:b/>
          <w:bCs/>
        </w:rPr>
        <w:t xml:space="preserve">Text disruptor:</w:t>
      </w:r>
      <w:r>
        <w:t xml:space="preserve"> A clean pre-program relationship and nearly identical reported firm sizes make the boundary comparison look persuasive. The new incentive changes how firms arrive on either side. </w:t>
      </w:r>
      <w:r>
        <w:rPr>
          <w:b/>
          <w:bCs/>
        </w:rPr>
        <w:t xml:space="preserve">Diction hinge:</w:t>
      </w:r>
      <w:r>
        <w:t xml:space="preserve"> “reported” employment versus the firm's continuing use of labor.</w:t>
      </w:r>
    </w:p>
    <w:p>
      <w:pPr>
        <w:pStyle w:val="Heading2"/>
        <w:keepNext/>
        <w:keepLines/>
        <w:spacing w:after="120" w:line="264"/>
      </w:pPr>
      <w:r>
        <w:t xml:space="preserve">Question 15 — D</w:t>
      </w:r>
    </w:p>
    <w:p>
      <w:pPr>
        <w:keepNext w:val="false"/>
        <w:keepLines/>
        <w:spacing w:after="120" w:line="264"/>
      </w:pPr>
      <w:r>
        <w:rPr>
          <w:b/>
          <w:bCs/>
        </w:rPr>
        <w:t xml:space="preserve">Inference:</w:t>
      </w:r>
      <w:r>
        <w:t xml:space="preserve"> The comparison incorporates two policy effects: improvement on the charged road and deterioration on the supposed control road.</w:t>
      </w:r>
    </w:p>
    <w:p>
      <w:pPr>
        <w:keepNext w:val="false"/>
        <w:keepLines/>
        <w:spacing w:after="120" w:line="264"/>
      </w:pPr>
      <w:r>
        <w:rPr>
          <w:b/>
          <w:bCs/>
        </w:rPr>
        <w:t xml:space="preserve">Why D follows:</w:t>
      </w:r>
      <w:r>
        <w:t xml:space="preserve"> Suppose the charged road's travel time falls by four minutes and the other road's rises by two. Their difference in changes is minus six minutes, even though the charged road's improvement relative to its stipulated stable baseline is four minutes. The comparison overstates that road-specific reduction.</w:t>
      </w:r>
    </w:p>
    <w:p>
      <w:pPr>
        <w:pStyle w:val="ListParagraph"/>
        <w:keepNext w:val="false"/>
        <w:keepLines/>
        <w:numPr>
          <w:ilvl w:val="0"/>
          <w:numId w:val="2"/>
        </w:numPr>
        <w:spacing w:after="120" w:line="264"/>
      </w:pPr>
      <w:r>
        <w:rPr>
          <w:b/>
          <w:bCs/>
        </w:rPr>
        <w:t xml:space="preserve">A — Sign reversal:</w:t>
      </w:r>
      <w:r>
        <w:t xml:space="preserve"> Deterioration on the comparison road makes the charged road look relatively better, not less improved.</w:t>
      </w:r>
    </w:p>
    <w:p>
      <w:pPr>
        <w:pStyle w:val="ListParagraph"/>
        <w:keepNext w:val="false"/>
        <w:keepLines/>
        <w:numPr>
          <w:ilvl w:val="0"/>
          <w:numId w:val="2"/>
        </w:numPr>
        <w:spacing w:after="120" w:line="264"/>
      </w:pPr>
      <w:r>
        <w:rPr>
          <w:b/>
          <w:bCs/>
        </w:rPr>
        <w:t xml:space="preserve">B — Difference is not network net benefit:</w:t>
      </w:r>
      <w:r>
        <w:t xml:space="preserve"> Contrasting changes exaggerates the relative separation; it does not sum benefits and costs across drivers or roads.</w:t>
      </w:r>
    </w:p>
    <w:p>
      <w:pPr>
        <w:pStyle w:val="ListParagraph"/>
        <w:keepNext w:val="false"/>
        <w:keepLines/>
        <w:numPr>
          <w:ilvl w:val="0"/>
          <w:numId w:val="2"/>
        </w:numPr>
        <w:spacing w:after="120" w:line="264"/>
      </w:pPr>
      <w:r>
        <w:rPr>
          <w:b/>
          <w:bCs/>
        </w:rPr>
        <w:t xml:space="preserve">C — Untaxed is not unaffected:</w:t>
      </w:r>
      <w:r>
        <w:t xml:space="preserve"> Diversion makes the uncharged road an affected comparison group despite its lack of a direct charge.</w:t>
      </w:r>
    </w:p>
    <w:p>
      <w:pPr>
        <w:keepNext w:val="false"/>
        <w:keepLines/>
        <w:spacing w:after="120" w:line="264"/>
      </w:pPr>
      <w:r>
        <w:rPr>
          <w:b/>
          <w:bCs/>
        </w:rPr>
        <w:t xml:space="preserve">Text disruptor:</w:t>
      </w:r>
      <w:r>
        <w:t xml:space="preserve"> The apparent control is uncharged, but the policy changes its traffic. </w:t>
      </w:r>
      <w:r>
        <w:rPr>
          <w:b/>
          <w:bCs/>
        </w:rPr>
        <w:t xml:space="preserve">Diction hinge:</w:t>
      </w:r>
      <w:r>
        <w:t xml:space="preserve"> directly untreated versus unaffected; relative difference versus net effect.</w:t>
      </w:r>
    </w:p>
    <w:p>
      <w:pPr>
        <w:pStyle w:val="Heading2"/>
        <w:keepNext/>
        <w:keepLines/>
        <w:spacing w:after="120" w:line="264"/>
      </w:pPr>
      <w:r>
        <w:t xml:space="preserve">Question 16 — B</w:t>
      </w:r>
    </w:p>
    <w:p>
      <w:pPr>
        <w:keepNext w:val="false"/>
        <w:keepLines/>
        <w:spacing w:after="120" w:line="264"/>
      </w:pPr>
      <w:r>
        <w:rPr>
          <w:b/>
          <w:bCs/>
        </w:rPr>
        <w:t xml:space="preserve">Inference:</w:t>
      </w:r>
      <w:r>
        <w:t xml:space="preserve"> Current use is being supplied partly from earlier imports, so lower contemporaneous imports do not establish substitution in production or a sustainable new import rate.</w:t>
      </w:r>
    </w:p>
    <w:p>
      <w:pPr>
        <w:keepNext w:val="false"/>
        <w:keepLines/>
        <w:spacing w:after="120" w:line="264"/>
      </w:pPr>
      <w:r>
        <w:rPr>
          <w:b/>
          <w:bCs/>
        </w:rPr>
        <w:t xml:space="preserve">Why B follows:</w:t>
      </w:r>
      <w:r>
        <w:t xml:space="preserve"> Use and substitute purchases remain unchanged while finite inventories decline. Once the stored supply is exhausted, the gap must close through some change in imports, use, or sourcing.</w:t>
      </w:r>
    </w:p>
    <w:p>
      <w:pPr>
        <w:pStyle w:val="ListParagraph"/>
        <w:keepNext w:val="false"/>
        <w:keepLines/>
        <w:numPr>
          <w:ilvl w:val="0"/>
          <w:numId w:val="2"/>
        </w:numPr>
        <w:spacing w:after="120" w:line="264"/>
      </w:pPr>
      <w:r>
        <w:rPr>
          <w:b/>
          <w:bCs/>
        </w:rPr>
        <w:t xml:space="preserve">A — Timing becomes structural dependence:</w:t>
      </w:r>
      <w:r>
        <w:t xml:space="preserve"> Drawing down imported inventory is continued use of imports acquired earlier, not evidence of lasting replacement.</w:t>
      </w:r>
    </w:p>
    <w:p>
      <w:pPr>
        <w:pStyle w:val="ListParagraph"/>
        <w:keepNext w:val="false"/>
        <w:keepLines/>
        <w:numPr>
          <w:ilvl w:val="0"/>
          <w:numId w:val="2"/>
        </w:numPr>
        <w:spacing w:after="120" w:line="264"/>
      </w:pPr>
      <w:r>
        <w:rPr>
          <w:b/>
          <w:bCs/>
        </w:rPr>
        <w:t xml:space="preserve">C — Wrong outcome measure:</w:t>
      </w:r>
      <w:r>
        <w:t xml:space="preserve"> Unchanged factory use does not imply unchanged import decisions; purchases were shifted before implementation.</w:t>
      </w:r>
    </w:p>
    <w:p>
      <w:pPr>
        <w:pStyle w:val="ListParagraph"/>
        <w:keepNext w:val="false"/>
        <w:keepLines/>
        <w:numPr>
          <w:ilvl w:val="0"/>
          <w:numId w:val="2"/>
        </w:numPr>
        <w:spacing w:after="120" w:line="264"/>
      </w:pPr>
      <w:r>
        <w:rPr>
          <w:b/>
          <w:bCs/>
        </w:rPr>
        <w:t xml:space="preserve">D — Necessary adjustment becomes a specified adjustment:</w:t>
      </w:r>
      <w:r>
        <w:t xml:space="preserve"> Factories could import more of the taxed chemical, reduce use, or change sourcing. The passage does not force domestic substitution.</w:t>
      </w:r>
    </w:p>
    <w:p>
      <w:pPr>
        <w:keepNext w:val="false"/>
        <w:keepLines/>
        <w:spacing w:after="120" w:line="264"/>
      </w:pPr>
      <w:r>
        <w:rPr>
          <w:b/>
          <w:bCs/>
        </w:rPr>
        <w:t xml:space="preserve">Text disruptor:</w:t>
      </w:r>
      <w:r>
        <w:t xml:space="preserve"> The import decline begins exactly when the tax takes effect, making the analyst's interpretation attractive. Anticipatory storage links it to an earlier response instead. </w:t>
      </w:r>
      <w:r>
        <w:rPr>
          <w:b/>
          <w:bCs/>
        </w:rPr>
        <w:t xml:space="preserve">Diction hinge:</w:t>
      </w:r>
      <w:r>
        <w:t xml:space="preserve"> imports as current purchases versus imported material as current inputs.</w:t>
      </w:r>
    </w:p>
    <w:p>
      <w:pPr>
        <w:pStyle w:val="Heading1"/>
        <w:keepNext/>
        <w:keepLines/>
        <w:spacing w:after="120" w:line="264"/>
      </w:pPr>
      <w:r>
        <w:t xml:space="preserve">Business</w:t>
      </w:r>
    </w:p>
    <w:p>
      <w:pPr>
        <w:pStyle w:val="Heading2"/>
        <w:keepNext/>
        <w:keepLines/>
        <w:spacing w:after="120" w:line="264"/>
      </w:pPr>
      <w:r>
        <w:t xml:space="preserve">Question 17 — A</w:t>
      </w:r>
    </w:p>
    <w:p>
      <w:pPr>
        <w:keepNext w:val="false"/>
        <w:keepLines/>
        <w:spacing w:after="120" w:line="264"/>
      </w:pPr>
      <w:r>
        <w:rPr>
          <w:b/>
          <w:bCs/>
        </w:rPr>
        <w:t xml:space="preserve">Inference:</w:t>
      </w:r>
      <w:r>
        <w:t xml:space="preserve"> A higher conversion rate conditional on entering a trial can coexist with unchanged acquisition per invited person when entry becomes more selective.</w:t>
      </w:r>
    </w:p>
    <w:p>
      <w:pPr>
        <w:keepNext w:val="false"/>
        <w:keepLines/>
        <w:spacing w:after="120" w:line="264"/>
      </w:pPr>
      <w:r>
        <w:rPr>
          <w:b/>
          <w:bCs/>
        </w:rPr>
        <w:t xml:space="preserve">Why A follows:</w:t>
      </w:r>
      <w:r>
        <w:t xml:space="preserve"> The randomized invitation comparison holds the relevant starting population comparable. Equal subscriptions divided by fewer trial starts yields a higher trial conversion rate without a higher invitation-to-subscription probability.</w:t>
      </w:r>
    </w:p>
    <w:p>
      <w:pPr>
        <w:pStyle w:val="ListParagraph"/>
        <w:keepNext w:val="false"/>
        <w:keepLines/>
        <w:numPr>
          <w:ilvl w:val="0"/>
          <w:numId w:val="2"/>
        </w:numPr>
        <w:spacing w:after="120" w:line="264"/>
      </w:pPr>
      <w:r>
        <w:rPr>
          <w:b/>
          <w:bCs/>
        </w:rPr>
        <w:t xml:space="preserve">B — Confounded component attribution:</w:t>
      </w:r>
      <w:r>
        <w:t xml:space="preserve"> Shortening the trial and requiring payment details change together. The experiment does not separately estimate their effects or establish a gain canceled by another component.</w:t>
      </w:r>
    </w:p>
    <w:p>
      <w:pPr>
        <w:pStyle w:val="ListParagraph"/>
        <w:keepNext w:val="false"/>
        <w:keepLines/>
        <w:numPr>
          <w:ilvl w:val="0"/>
          <w:numId w:val="2"/>
        </w:numPr>
        <w:spacing w:after="120" w:line="264"/>
      </w:pPr>
      <w:r>
        <w:rPr>
          <w:b/>
          <w:bCs/>
        </w:rPr>
        <w:t xml:space="preserve">C — Aggregate equality becomes individual identity:</w:t>
      </w:r>
      <w:r>
        <w:t xml:space="preserve"> Equal total subscriptions does not reveal which people would subscribe under the alternative arrangement.</w:t>
      </w:r>
    </w:p>
    <w:p>
      <w:pPr>
        <w:pStyle w:val="ListParagraph"/>
        <w:keepNext w:val="false"/>
        <w:keepLines/>
        <w:numPr>
          <w:ilvl w:val="0"/>
          <w:numId w:val="2"/>
        </w:numPr>
        <w:spacing w:after="120" w:line="264"/>
      </w:pPr>
      <w:r>
        <w:rPr>
          <w:b/>
          <w:bCs/>
        </w:rPr>
        <w:t xml:space="preserve">D — Efficiency/acquisition substitution:</w:t>
      </w:r>
      <w:r>
        <w:t xml:space="preserve"> Fewer trials per subscription may affect operating costs, but unchanged subscriptions per thousand invitations do not demonstrate increased customer acquisition.</w:t>
      </w:r>
    </w:p>
    <w:p>
      <w:pPr>
        <w:keepNext w:val="false"/>
        <w:keepLines/>
        <w:spacing w:after="120" w:line="264"/>
      </w:pPr>
      <w:r>
        <w:rPr>
          <w:b/>
          <w:bCs/>
        </w:rPr>
        <w:t xml:space="preserve">Text disruptor:</w:t>
      </w:r>
      <w:r>
        <w:t xml:space="preserve"> Random assignment makes the overall comparison useful but does not randomize the self-selected subset that starts each trial. </w:t>
      </w:r>
      <w:r>
        <w:rPr>
          <w:b/>
          <w:bCs/>
        </w:rPr>
        <w:t xml:space="preserve">Diction hinge:</w:t>
      </w:r>
      <w:r>
        <w:t xml:space="preserve"> conditional conversion versus acquisition from the original invited population.</w:t>
      </w:r>
    </w:p>
    <w:p>
      <w:pPr>
        <w:pStyle w:val="Heading2"/>
        <w:keepNext/>
        <w:keepLines/>
        <w:spacing w:after="120" w:line="264"/>
      </w:pPr>
      <w:r>
        <w:t xml:space="preserve">Question 18 — C</w:t>
      </w:r>
    </w:p>
    <w:p>
      <w:pPr>
        <w:keepNext w:val="false"/>
        <w:keepLines/>
        <w:spacing w:after="120" w:line="264"/>
      </w:pPr>
      <w:r>
        <w:rPr>
          <w:b/>
          <w:bCs/>
        </w:rPr>
        <w:t xml:space="preserve">Inference:</w:t>
      </w:r>
      <w:r>
        <w:t xml:space="preserve"> Coverage can change the translation of a physical fault into a claim, so a claims difference is not sufficient evidence of a condition difference.</w:t>
      </w:r>
    </w:p>
    <w:p>
      <w:pPr>
        <w:keepNext w:val="false"/>
        <w:keepLines/>
        <w:spacing w:after="120" w:line="264"/>
      </w:pPr>
      <w:r>
        <w:rPr>
          <w:b/>
          <w:bCs/>
        </w:rPr>
        <w:t xml:space="preserve">Why C follows:</w:t>
      </w:r>
      <w:r>
        <w:t xml:space="preserve"> Random allocation rules out choosing already worse machines for extended coverage. Independent inspections find matching faults, and the no-repair condition prevents earlier repairs from hiding a difference. Different claim eligibility remains a reason that equivalent faults can yield different claim counts.</w:t>
      </w:r>
    </w:p>
    <w:p>
      <w:pPr>
        <w:pStyle w:val="ListParagraph"/>
        <w:keepNext w:val="false"/>
        <w:keepLines/>
        <w:numPr>
          <w:ilvl w:val="0"/>
          <w:numId w:val="2"/>
        </w:numPr>
        <w:spacing w:after="120" w:line="264"/>
      </w:pPr>
      <w:r>
        <w:rPr>
          <w:b/>
          <w:bCs/>
        </w:rPr>
        <w:t xml:space="preserve">A — Excluded explanation:</w:t>
      </w:r>
      <w:r>
        <w:t xml:space="preserve"> No repairs occurred before inspection, so repairs could not erase an underlying condition difference.</w:t>
      </w:r>
    </w:p>
    <w:p>
      <w:pPr>
        <w:pStyle w:val="ListParagraph"/>
        <w:keepNext w:val="false"/>
        <w:keepLines/>
        <w:numPr>
          <w:ilvl w:val="0"/>
          <w:numId w:val="2"/>
        </w:numPr>
        <w:spacing w:after="120" w:line="264"/>
      </w:pPr>
      <w:r>
        <w:rPr>
          <w:b/>
          <w:bCs/>
        </w:rPr>
        <w:t xml:space="preserve">B — Randomization is not measurement equivalence:</w:t>
      </w:r>
      <w:r>
        <w:t xml:space="preserve"> Random assignment does not make claims an equivalent measure when coverage changes what can be claimed.</w:t>
      </w:r>
    </w:p>
    <w:p>
      <w:pPr>
        <w:pStyle w:val="ListParagraph"/>
        <w:keepNext w:val="false"/>
        <w:keepLines/>
        <w:numPr>
          <w:ilvl w:val="0"/>
          <w:numId w:val="2"/>
        </w:numPr>
        <w:spacing w:after="120" w:line="264"/>
      </w:pPr>
      <w:r>
        <w:rPr>
          <w:b/>
          <w:bCs/>
        </w:rPr>
        <w:t xml:space="preserve">D — Outcome equality overextended:</w:t>
      </w:r>
      <w:r>
        <w:t xml:space="preserve"> Equal measured faults do not prove identical maintenance behavior or that reporting was the only behavior affected.</w:t>
      </w:r>
    </w:p>
    <w:p>
      <w:pPr>
        <w:keepNext w:val="false"/>
        <w:keepLines/>
        <w:spacing w:after="120" w:line="264"/>
      </w:pPr>
      <w:r>
        <w:rPr>
          <w:b/>
          <w:bCs/>
        </w:rPr>
        <w:t xml:space="preserve">Text disruptor:</w:t>
      </w:r>
      <w:r>
        <w:t xml:space="preserve"> Random assignment seems to validate the manager's causal account. It strengthens interpretation of the claims effect without making claims interchangeable with physical deterioration. </w:t>
      </w:r>
      <w:r>
        <w:rPr>
          <w:b/>
          <w:bCs/>
        </w:rPr>
        <w:t xml:space="preserve">Diction hinge:</w:t>
      </w:r>
      <w:r>
        <w:t xml:space="preserve"> a policy effect on reporting versus an effect on the condition reported.</w:t>
      </w:r>
    </w:p>
    <w:p>
      <w:pPr>
        <w:pStyle w:val="Heading2"/>
        <w:keepNext/>
        <w:keepLines/>
        <w:spacing w:after="120" w:line="264"/>
      </w:pPr>
      <w:r>
        <w:t xml:space="preserve">Question 19 — B</w:t>
      </w:r>
    </w:p>
    <w:p>
      <w:pPr>
        <w:keepNext w:val="false"/>
        <w:keepLines/>
        <w:spacing w:after="120" w:line="264"/>
      </w:pPr>
      <w:r>
        <w:rPr>
          <w:b/>
          <w:bCs/>
        </w:rPr>
        <w:t xml:space="preserve">Inference:</w:t>
      </w:r>
      <w:r>
        <w:t xml:space="preserve"> Under the stated detection rule, more frequent reviews alone cannot explain fewer records of otherwise unchanged episodes. Some episode characteristics or other operations must differ, but the observed count does not isolate the cause.</w:t>
      </w:r>
    </w:p>
    <w:p>
      <w:pPr>
        <w:keepNext w:val="false"/>
        <w:keepLines/>
        <w:spacing w:after="120" w:line="264"/>
      </w:pPr>
      <w:r>
        <w:rPr>
          <w:b/>
          <w:bCs/>
        </w:rPr>
        <w:t xml:space="preserve">Why B follows:</w:t>
      </w:r>
      <w:r>
        <w:t xml:space="preserve"> Holding the episodes fixed, daily observation detects at least as many. Therefore an actual decline cannot be attributed solely to that change in observation. Faster replenishment is one simultaneous operational change, but the comparison does not estimate separate contributions.</w:t>
      </w:r>
    </w:p>
    <w:p>
      <w:pPr>
        <w:pStyle w:val="ListParagraph"/>
        <w:keepNext w:val="false"/>
        <w:keepLines/>
        <w:numPr>
          <w:ilvl w:val="0"/>
          <w:numId w:val="2"/>
        </w:numPr>
        <w:spacing w:after="120" w:line="264"/>
      </w:pPr>
      <w:r>
        <w:rPr>
          <w:b/>
          <w:bCs/>
        </w:rPr>
        <w:t xml:space="preserve">A — Detection direction reversed:</w:t>
      </w:r>
      <w:r>
        <w:t xml:space="preserve"> Less time before an episode is noticed increases detection; it does not by itself reduce recorded episodes.</w:t>
      </w:r>
    </w:p>
    <w:p>
      <w:pPr>
        <w:pStyle w:val="ListParagraph"/>
        <w:keepNext w:val="false"/>
        <w:keepLines/>
        <w:numPr>
          <w:ilvl w:val="0"/>
          <w:numId w:val="2"/>
        </w:numPr>
        <w:spacing w:after="120" w:line="264"/>
      </w:pPr>
      <w:r>
        <w:rPr>
          <w:b/>
          <w:bCs/>
        </w:rPr>
        <w:t xml:space="preserve">C — Number/duration substitution:</w:t>
      </w:r>
      <w:r>
        <w:t xml:space="preserve"> Shorter episodes can fit between reviews more often. Fewer records therefore need not establish fewer underlying episodes rather than shorter ones.</w:t>
      </w:r>
    </w:p>
    <w:p>
      <w:pPr>
        <w:pStyle w:val="ListParagraph"/>
        <w:keepNext w:val="false"/>
        <w:keepLines/>
        <w:numPr>
          <w:ilvl w:val="0"/>
          <w:numId w:val="2"/>
        </w:numPr>
        <w:spacing w:after="120" w:line="264"/>
      </w:pPr>
      <w:r>
        <w:rPr>
          <w:b/>
          <w:bCs/>
        </w:rPr>
        <w:t xml:space="preserve">D — Cause ranking invented:</w:t>
      </w:r>
      <w:r>
        <w:t xml:space="preserve"> The data do not compare the two changes separately or establish which prevents more episodes.</w:t>
      </w:r>
    </w:p>
    <w:p>
      <w:pPr>
        <w:keepNext w:val="false"/>
        <w:keepLines/>
        <w:spacing w:after="120" w:line="264"/>
      </w:pPr>
      <w:r>
        <w:rPr>
          <w:b/>
          <w:bCs/>
        </w:rPr>
        <w:t xml:space="preserve">Text disruptor:</w:t>
      </w:r>
      <w:r>
        <w:t xml:space="preserve"> Increased monitoring usually creates more records. Here the observed movement is opposite that measurement effect, but this does not authorize a precise claim about the true episode count. </w:t>
      </w:r>
      <w:r>
        <w:rPr>
          <w:b/>
          <w:bCs/>
        </w:rPr>
        <w:t xml:space="preserve">Diction hinge:</w:t>
      </w:r>
      <w:r>
        <w:t xml:space="preserve"> unchanged episodes, fewer episodes, and shorter episodes are distinct possibilities.</w:t>
      </w:r>
    </w:p>
    <w:p>
      <w:pPr>
        <w:pStyle w:val="Heading2"/>
        <w:keepNext/>
        <w:keepLines/>
        <w:spacing w:after="120" w:line="264"/>
      </w:pPr>
      <w:r>
        <w:t xml:space="preserve">Question 20 — D</w:t>
      </w:r>
    </w:p>
    <w:p>
      <w:pPr>
        <w:keepNext w:val="false"/>
        <w:keepLines/>
        <w:spacing w:after="120" w:line="264"/>
      </w:pPr>
      <w:r>
        <w:rPr>
          <w:b/>
          <w:bCs/>
        </w:rPr>
        <w:t xml:space="preserve">Inference:</w:t>
      </w:r>
      <w:r>
        <w:t xml:space="preserve"> A trial effect measured under spare capacity cannot be multiplied into a sustained full-scale effect without accounting for the new congestion it would generate.</w:t>
      </w:r>
    </w:p>
    <w:p>
      <w:pPr>
        <w:keepNext w:val="false"/>
        <w:keepLines/>
        <w:spacing w:after="120" w:line="264"/>
      </w:pPr>
      <w:r>
        <w:rPr>
          <w:b/>
          <w:bCs/>
        </w:rPr>
        <w:t xml:space="preserve">Why D follows:</w:t>
      </w:r>
      <w:r>
        <w:t xml:space="preserve"> Full rollout is projected to exceed capacity. In the model, resulting delays discourage repeat purchases. Even if the initial response is unchanged, the feedback can reduce sustained growth relative to a linear projection.</w:t>
      </w:r>
    </w:p>
    <w:p>
      <w:pPr>
        <w:pStyle w:val="ListParagraph"/>
        <w:keepNext w:val="false"/>
        <w:keepLines/>
        <w:numPr>
          <w:ilvl w:val="0"/>
          <w:numId w:val="2"/>
        </w:numPr>
        <w:spacing w:after="120" w:line="264"/>
      </w:pPr>
      <w:r>
        <w:rPr>
          <w:b/>
          <w:bCs/>
        </w:rPr>
        <w:t xml:space="preserve">A — Internal validity becomes scale invariance:</w:t>
      </w:r>
      <w:r>
        <w:t xml:space="preserve"> Random assignment addresses pre-existing group differences, not the capacity conditions created by universal treatment.</w:t>
      </w:r>
    </w:p>
    <w:p>
      <w:pPr>
        <w:pStyle w:val="ListParagraph"/>
        <w:keepNext w:val="false"/>
        <w:keepLines/>
        <w:numPr>
          <w:ilvl w:val="0"/>
          <w:numId w:val="2"/>
        </w:numPr>
        <w:spacing w:after="120" w:line="264"/>
      </w:pPr>
      <w:r>
        <w:rPr>
          <w:b/>
          <w:bCs/>
        </w:rPr>
        <w:t xml:space="preserve">B — Population size becomes stronger individual effect:</w:t>
      </w:r>
      <w:r>
        <w:t xml:space="preserve"> Including more customers increases the number exposed but does not establish a larger sustained response per customer; the supplied mechanism points toward attenuation.</w:t>
      </w:r>
    </w:p>
    <w:p>
      <w:pPr>
        <w:pStyle w:val="ListParagraph"/>
        <w:keepNext w:val="false"/>
        <w:keepLines/>
        <w:numPr>
          <w:ilvl w:val="0"/>
          <w:numId w:val="2"/>
        </w:numPr>
        <w:spacing w:after="120" w:line="264"/>
      </w:pPr>
      <w:r>
        <w:rPr>
          <w:b/>
          <w:bCs/>
        </w:rPr>
        <w:t xml:space="preserve">C — Exact cancellation invented:</w:t>
      </w:r>
      <w:r>
        <w:t xml:space="preserve"> A negative feedback does not establish that its magnitude precisely offsets the initial demand gain.</w:t>
      </w:r>
    </w:p>
    <w:p>
      <w:pPr>
        <w:keepNext w:val="false"/>
        <w:keepLines/>
        <w:spacing w:after="120" w:line="264"/>
      </w:pPr>
      <w:r>
        <w:rPr>
          <w:b/>
          <w:bCs/>
        </w:rPr>
        <w:t xml:space="preserve">Text disruptor:</w:t>
      </w:r>
      <w:r>
        <w:t xml:space="preserve"> The trial was randomized and delivery times did not worsen, but those facts apply while capacity was spare. </w:t>
      </w:r>
      <w:r>
        <w:rPr>
          <w:b/>
          <w:bCs/>
        </w:rPr>
        <w:t xml:space="preserve">Diction hinge:</w:t>
      </w:r>
      <w:r>
        <w:t xml:space="preserve"> initial versus sustained response; small-scale treatment versus system-wide conditions.</w:t>
      </w:r>
    </w:p>
    <w:p>
      <w:pPr>
        <w:pStyle w:val="Heading1"/>
        <w:keepNext/>
        <w:keepLines/>
        <w:spacing w:after="120" w:line="264"/>
      </w:pPr>
      <w:r>
        <w:t xml:space="preserve">Coverage and construction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trPr>
        <w:tc>
          <w:tcPr>
            <w:tcW w:type="dxa" w:w="1800"/>
            <w:shd w:fill="E8EEF4" w:val="clear"/>
            <w:tcMar>
              <w:top w:type="dxa" w:w="80"/>
              <w:left w:type="dxa" w:w="100"/>
              <w:bottom w:type="dxa" w:w="80"/>
              <w:right w:type="dxa" w:w="100"/>
            </w:tcMar>
          </w:tcPr>
          <w:p>
            <w:pPr>
              <w:keepNext w:val="false"/>
              <w:keepLines/>
              <w:spacing w:after="120" w:line="264"/>
            </w:pPr>
            <w:r>
              <w:rPr>
                <w:b/>
                <w:bCs/>
              </w:rPr>
              <w:t xml:space="preserve">Questions</w:t>
            </w:r>
          </w:p>
        </w:tc>
        <w:tc>
          <w:tcPr>
            <w:tcW w:type="dxa" w:w="8280"/>
            <w:shd w:fill="E8EEF4" w:val="clear"/>
            <w:tcMar>
              <w:top w:type="dxa" w:w="80"/>
              <w:left w:type="dxa" w:w="100"/>
              <w:bottom w:type="dxa" w:w="80"/>
              <w:right w:type="dxa" w:w="100"/>
            </w:tcMar>
          </w:tcPr>
          <w:p>
            <w:pPr>
              <w:keepNext w:val="false"/>
              <w:keepLines/>
              <w:spacing w:after="120" w:line="264"/>
            </w:pPr>
            <w:r>
              <w:rPr>
                <w:b/>
                <w:bCs/>
              </w:rPr>
              <w:t xml:space="preserve">Main inference demand</w:t>
            </w:r>
          </w:p>
        </w:tc>
      </w:tr>
      <w:tr>
        <w:trPr>
          <w:cantSplit/>
          <w:tblHeader w:val="false"/>
        </w:trPr>
        <w:tc>
          <w:tcPr>
            <w:tcW w:type="dxa" w:w="1800"/>
            <w:tcMar>
              <w:top w:type="dxa" w:w="80"/>
              <w:left w:type="dxa" w:w="100"/>
              <w:bottom w:type="dxa" w:w="80"/>
              <w:right w:type="dxa" w:w="100"/>
            </w:tcMar>
          </w:tcPr>
          <w:p>
            <w:pPr>
              <w:keepNext w:val="false"/>
              <w:keepLines/>
              <w:spacing w:after="120" w:line="264"/>
            </w:pPr>
            <w:r>
              <w:t xml:space="preserve">1, 8, 11</w:t>
            </w:r>
          </w:p>
        </w:tc>
        <w:tc>
          <w:tcPr>
            <w:tcW w:type="dxa" w:w="8280"/>
            <w:tcMar>
              <w:top w:type="dxa" w:w="80"/>
              <w:left w:type="dxa" w:w="100"/>
              <w:bottom w:type="dxa" w:w="80"/>
              <w:right w:type="dxa" w:w="100"/>
            </w:tcMar>
          </w:tcPr>
          <w:p>
            <w:pPr>
              <w:keepNext w:val="false"/>
              <w:keepLines/>
              <w:spacing w:after="120" w:line="264"/>
            </w:pPr>
            <w:r>
              <w:t xml:space="preserve">Information lost through processing, signal resetting, or selective retention</w:t>
            </w:r>
          </w:p>
        </w:tc>
      </w:tr>
      <w:tr>
        <w:trPr>
          <w:cantSplit/>
          <w:tblHeader w:val="false"/>
        </w:trPr>
        <w:tc>
          <w:tcPr>
            <w:tcW w:type="dxa" w:w="1800"/>
            <w:tcMar>
              <w:top w:type="dxa" w:w="80"/>
              <w:left w:type="dxa" w:w="100"/>
              <w:bottom w:type="dxa" w:w="80"/>
              <w:right w:type="dxa" w:w="100"/>
            </w:tcMar>
          </w:tcPr>
          <w:p>
            <w:pPr>
              <w:keepNext w:val="false"/>
              <w:keepLines/>
              <w:spacing w:after="120" w:line="264"/>
            </w:pPr>
            <w:r>
              <w:t xml:space="preserve">2, 6, 10</w:t>
            </w:r>
          </w:p>
        </w:tc>
        <w:tc>
          <w:tcPr>
            <w:tcW w:type="dxa" w:w="8280"/>
            <w:tcMar>
              <w:top w:type="dxa" w:w="80"/>
              <w:left w:type="dxa" w:w="100"/>
              <w:bottom w:type="dxa" w:w="80"/>
              <w:right w:type="dxa" w:w="100"/>
            </w:tcMar>
          </w:tcPr>
          <w:p>
            <w:pPr>
              <w:keepNext w:val="false"/>
              <w:keepLines/>
              <w:spacing w:after="120" w:line="264"/>
            </w:pPr>
            <w:r>
              <w:t xml:space="preserve">Mechanism location, experimental bypass, and dependence on the relevant life stage</w:t>
            </w:r>
          </w:p>
        </w:tc>
      </w:tr>
      <w:tr>
        <w:trPr>
          <w:cantSplit/>
          <w:tblHeader w:val="false"/>
        </w:trPr>
        <w:tc>
          <w:tcPr>
            <w:tcW w:type="dxa" w:w="1800"/>
            <w:tcMar>
              <w:top w:type="dxa" w:w="80"/>
              <w:left w:type="dxa" w:w="100"/>
              <w:bottom w:type="dxa" w:w="80"/>
              <w:right w:type="dxa" w:w="100"/>
            </w:tcMar>
          </w:tcPr>
          <w:p>
            <w:pPr>
              <w:keepNext w:val="false"/>
              <w:keepLines/>
              <w:spacing w:after="120" w:line="264"/>
            </w:pPr>
            <w:r>
              <w:t xml:space="preserve">3, 9</w:t>
            </w:r>
          </w:p>
        </w:tc>
        <w:tc>
          <w:tcPr>
            <w:tcW w:type="dxa" w:w="8280"/>
            <w:tcMar>
              <w:top w:type="dxa" w:w="80"/>
              <w:left w:type="dxa" w:w="100"/>
              <w:bottom w:type="dxa" w:w="80"/>
              <w:right w:type="dxa" w:w="100"/>
            </w:tcMar>
          </w:tcPr>
          <w:p>
            <w:pPr>
              <w:keepNext w:val="false"/>
              <w:keepLines/>
              <w:spacing w:after="120" w:line="264"/>
            </w:pPr>
            <w:r>
              <w:t xml:space="preserve">Distinguishing observed stocks from the rates that maintain or replenish them</w:t>
            </w:r>
          </w:p>
        </w:tc>
      </w:tr>
      <w:tr>
        <w:trPr>
          <w:cantSplit/>
          <w:tblHeader w:val="false"/>
        </w:trPr>
        <w:tc>
          <w:tcPr>
            <w:tcW w:type="dxa" w:w="1800"/>
            <w:tcMar>
              <w:top w:type="dxa" w:w="80"/>
              <w:left w:type="dxa" w:w="100"/>
              <w:bottom w:type="dxa" w:w="80"/>
              <w:right w:type="dxa" w:w="100"/>
            </w:tcMar>
          </w:tcPr>
          <w:p>
            <w:pPr>
              <w:keepNext w:val="false"/>
              <w:keepLines/>
              <w:spacing w:after="120" w:line="264"/>
            </w:pPr>
            <w:r>
              <w:t xml:space="preserve">4, 7</w:t>
            </w:r>
          </w:p>
        </w:tc>
        <w:tc>
          <w:tcPr>
            <w:tcW w:type="dxa" w:w="8280"/>
            <w:tcMar>
              <w:top w:type="dxa" w:w="80"/>
              <w:left w:type="dxa" w:w="100"/>
              <w:bottom w:type="dxa" w:w="80"/>
              <w:right w:type="dxa" w:w="100"/>
            </w:tcMar>
          </w:tcPr>
          <w:p>
            <w:pPr>
              <w:keepNext w:val="false"/>
              <w:keepLines/>
              <w:spacing w:after="120" w:line="264"/>
            </w:pPr>
            <w:r>
              <w:t xml:space="preserve">Applying a mechanism under the correct environmental or temporal conditions</w:t>
            </w:r>
          </w:p>
        </w:tc>
      </w:tr>
      <w:tr>
        <w:trPr>
          <w:cantSplit/>
          <w:tblHeader w:val="false"/>
        </w:trPr>
        <w:tc>
          <w:tcPr>
            <w:tcW w:type="dxa" w:w="1800"/>
            <w:tcMar>
              <w:top w:type="dxa" w:w="80"/>
              <w:left w:type="dxa" w:w="100"/>
              <w:bottom w:type="dxa" w:w="80"/>
              <w:right w:type="dxa" w:w="100"/>
            </w:tcMar>
          </w:tcPr>
          <w:p>
            <w:pPr>
              <w:keepNext w:val="false"/>
              <w:keepLines/>
              <w:spacing w:after="120" w:line="264"/>
            </w:pPr>
            <w:r>
              <w:t xml:space="preserve">5, 12</w:t>
            </w:r>
          </w:p>
        </w:tc>
        <w:tc>
          <w:tcPr>
            <w:tcW w:type="dxa" w:w="8280"/>
            <w:tcMar>
              <w:top w:type="dxa" w:w="80"/>
              <w:left w:type="dxa" w:w="100"/>
              <w:bottom w:type="dxa" w:w="80"/>
              <w:right w:type="dxa" w:w="100"/>
            </w:tcMar>
          </w:tcPr>
          <w:p>
            <w:pPr>
              <w:keepNext w:val="false"/>
              <w:keepLines/>
              <w:spacing w:after="120" w:line="264"/>
            </w:pPr>
            <w:r>
              <w:t xml:space="preserve">Weighing alternative explanations without turning compatibility into proof</w:t>
            </w:r>
          </w:p>
        </w:tc>
      </w:tr>
      <w:tr>
        <w:trPr>
          <w:cantSplit/>
          <w:tblHeader w:val="false"/>
        </w:trPr>
        <w:tc>
          <w:tcPr>
            <w:tcW w:type="dxa" w:w="1800"/>
            <w:tcMar>
              <w:top w:type="dxa" w:w="80"/>
              <w:left w:type="dxa" w:w="100"/>
              <w:bottom w:type="dxa" w:w="80"/>
              <w:right w:type="dxa" w:w="100"/>
            </w:tcMar>
          </w:tcPr>
          <w:p>
            <w:pPr>
              <w:keepNext w:val="false"/>
              <w:keepLines/>
              <w:spacing w:after="120" w:line="264"/>
            </w:pPr>
            <w:r>
              <w:t xml:space="preserve">13, 14, 17</w:t>
            </w:r>
          </w:p>
        </w:tc>
        <w:tc>
          <w:tcPr>
            <w:tcW w:type="dxa" w:w="8280"/>
            <w:tcMar>
              <w:top w:type="dxa" w:w="80"/>
              <w:left w:type="dxa" w:w="100"/>
              <w:bottom w:type="dxa" w:w="80"/>
              <w:right w:type="dxa" w:w="100"/>
            </w:tcMar>
          </w:tcPr>
          <w:p>
            <w:pPr>
              <w:keepNext w:val="false"/>
              <w:keepLines/>
              <w:spacing w:after="120" w:line="264"/>
            </w:pPr>
            <w:r>
              <w:t xml:space="preserve">Selection and composition, including selection remaining after an adjustment</w:t>
            </w:r>
          </w:p>
        </w:tc>
      </w:tr>
      <w:tr>
        <w:trPr>
          <w:cantSplit/>
          <w:tblHeader w:val="false"/>
        </w:trPr>
        <w:tc>
          <w:tcPr>
            <w:tcW w:type="dxa" w:w="1800"/>
            <w:tcMar>
              <w:top w:type="dxa" w:w="80"/>
              <w:left w:type="dxa" w:w="100"/>
              <w:bottom w:type="dxa" w:w="80"/>
              <w:right w:type="dxa" w:w="100"/>
            </w:tcMar>
          </w:tcPr>
          <w:p>
            <w:pPr>
              <w:keepNext w:val="false"/>
              <w:keepLines/>
              <w:spacing w:after="120" w:line="264"/>
            </w:pPr>
            <w:r>
              <w:t xml:space="preserve">15, 20</w:t>
            </w:r>
          </w:p>
        </w:tc>
        <w:tc>
          <w:tcPr>
            <w:tcW w:type="dxa" w:w="8280"/>
            <w:tcMar>
              <w:top w:type="dxa" w:w="80"/>
              <w:left w:type="dxa" w:w="100"/>
              <w:bottom w:type="dxa" w:w="80"/>
              <w:right w:type="dxa" w:w="100"/>
            </w:tcMar>
          </w:tcPr>
          <w:p>
            <w:pPr>
              <w:keepNext w:val="false"/>
              <w:keepLines/>
              <w:spacing w:after="120" w:line="264"/>
            </w:pPr>
            <w:r>
              <w:t xml:space="preserve">Spillovers and feedback that change the comparison or scale of an effect</w:t>
            </w:r>
          </w:p>
        </w:tc>
      </w:tr>
      <w:tr>
        <w:trPr>
          <w:cantSplit/>
          <w:tblHeader w:val="false"/>
        </w:trPr>
        <w:tc>
          <w:tcPr>
            <w:tcW w:type="dxa" w:w="1800"/>
            <w:tcMar>
              <w:top w:type="dxa" w:w="80"/>
              <w:left w:type="dxa" w:w="100"/>
              <w:bottom w:type="dxa" w:w="80"/>
              <w:right w:type="dxa" w:w="100"/>
            </w:tcMar>
          </w:tcPr>
          <w:p>
            <w:pPr>
              <w:keepNext w:val="false"/>
              <w:keepLines/>
              <w:spacing w:after="120" w:line="264"/>
            </w:pPr>
            <w:r>
              <w:t xml:space="preserve">16</w:t>
            </w:r>
          </w:p>
        </w:tc>
        <w:tc>
          <w:tcPr>
            <w:tcW w:type="dxa" w:w="8280"/>
            <w:tcMar>
              <w:top w:type="dxa" w:w="80"/>
              <w:left w:type="dxa" w:w="100"/>
              <w:bottom w:type="dxa" w:w="80"/>
              <w:right w:type="dxa" w:w="100"/>
            </w:tcMar>
          </w:tcPr>
          <w:p>
            <w:pPr>
              <w:keepNext w:val="false"/>
              <w:keepLines/>
              <w:spacing w:after="120" w:line="264"/>
            </w:pPr>
            <w:r>
              <w:t xml:space="preserve">Separating timing changes from lasting replacement</w:t>
            </w:r>
          </w:p>
        </w:tc>
      </w:tr>
      <w:tr>
        <w:trPr>
          <w:cantSplit/>
          <w:tblHeader w:val="false"/>
        </w:trPr>
        <w:tc>
          <w:tcPr>
            <w:tcW w:type="dxa" w:w="1800"/>
            <w:tcMar>
              <w:top w:type="dxa" w:w="80"/>
              <w:left w:type="dxa" w:w="100"/>
              <w:bottom w:type="dxa" w:w="80"/>
              <w:right w:type="dxa" w:w="100"/>
            </w:tcMar>
          </w:tcPr>
          <w:p>
            <w:pPr>
              <w:keepNext w:val="false"/>
              <w:keepLines/>
              <w:spacing w:after="120" w:line="264"/>
            </w:pPr>
            <w:r>
              <w:t xml:space="preserve">18, 19</w:t>
            </w:r>
          </w:p>
        </w:tc>
        <w:tc>
          <w:tcPr>
            <w:tcW w:type="dxa" w:w="8280"/>
            <w:tcMar>
              <w:top w:type="dxa" w:w="80"/>
              <w:left w:type="dxa" w:w="100"/>
              <w:bottom w:type="dxa" w:w="80"/>
              <w:right w:type="dxa" w:w="100"/>
            </w:tcMar>
          </w:tcPr>
          <w:p>
            <w:pPr>
              <w:keepNext w:val="false"/>
              <w:keepLines/>
              <w:spacing w:after="120" w:line="264"/>
            </w:pPr>
            <w:r>
              <w:t xml:space="preserve">Separating an observation/reporting process from the underlying outcome</w:t>
            </w:r>
          </w:p>
        </w:tc>
      </w:tr>
    </w:tbl>
    <w:p>
      <w:pPr>
        <w:keepNext w:val="false"/>
        <w:keepLines/>
        <w:spacing w:after="120" w:line="264"/>
      </w:pPr>
      <w:r>
        <w:t xml:space="preserve">The question file deliberately omits these labels, difficulty annotations, and trap names so they do not reveal the inference before a student attempts it. Technical terms are either defined or made interpretable through the passage. Correct-answer positions are balanced: five each of A, B, C, and D. Every wrong answer has a stated defeater above; this editorial check does not substitute for student performance data.</w:t>
      </w:r>
    </w:p>
    <w:sectPr>
      <w:footerReference w:type="default" r:id="rId7"/>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4c7i5qsssu9as6siqxvq" Type="http://schemas.openxmlformats.org/officeDocument/2006/relationships/hyperlink" Target="inference_20q_extreme_science_economics_business.docx"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2026-09-09T04:24:46.862Z</dcterms:created>
  <dcterms:modified xsi:type="dcterms:W3CDTF">2026-09-09T04:24:46.863Z</dcterms:modified>
</cp:coreProperties>
</file>

<file path=docProps/custom.xml><?xml version="1.0" encoding="utf-8"?>
<Properties xmlns="http://schemas.openxmlformats.org/officeDocument/2006/custom-properties" xmlns:vt="http://schemas.openxmlformats.org/officeDocument/2006/docPropsVTypes"/>
</file>