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2026-08-10</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3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9" w:name="classe-person"/>
    <w:p>
      <w:pPr>
        <w:pStyle w:val="berschrift2"/>
      </w:pPr>
      <w:r>
        <w:t xml:space="preserve">Classe: Person</w:t>
      </w:r>
      <w:r>
        <w:t xml:space="preserve"> </w:t>
      </w:r>
      <w:bookmarkStart w:id="29" w:name="Person"/>
      <w:bookmarkEnd w:id="29"/>
    </w:p>
    <w:p>
      <w:pPr>
        <w:pStyle w:val="FirstParagraph"/>
      </w:pPr>
      <w:r>
        <w:rPr>
          <w:i/>
          <w:iCs/>
        </w:rPr>
        <w:t xml:space="preserve">Une personne avec des identifiants, des noms, des adresses, des nationalités et des professions.</w:t>
      </w:r>
    </w:p>
    <w:bookmarkStart w:id="30"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et facultatif comprenant les titres académiques et le nom officiel complet (p. ex. « Dr. Maria Muster-Beispiel »).</w:t>
            </w:r>
          </w:p>
        </w:tc>
      </w:tr>
      <w:tr>
        <w:tc>
          <w:tcPr/>
          <w:p>
            <w:pPr>
              <w:pStyle w:val="Compact"/>
            </w:pPr>
            <w:r>
              <w:t xml:space="preserve">birth_year</w:t>
            </w:r>
          </w:p>
        </w:tc>
        <w:tc>
          <w:tcPr/>
          <w:p>
            <w:pPr>
              <w:pStyle w:val="Compact"/>
            </w:pPr>
            <w:r>
              <w:t xml:space="preserve">0..1</w:t>
            </w:r>
            <w:r>
              <w:t xml:space="preserve"> </w:t>
            </w:r>
            <w:r>
              <w:t xml:space="preserve"> </w:t>
            </w:r>
            <w:r>
              <w:t xml:space="preserve">Integer</w:t>
            </w:r>
          </w:p>
        </w:tc>
        <w:tc>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r>
              <w:t xml:space="preserve">Date</w:t>
            </w:r>
          </w:p>
        </w:tc>
        <w:tc>
          <w:tcPr/>
          <w:p>
            <w:pPr>
              <w:pStyle w:val="Compact"/>
            </w:pPr>
            <w:r>
              <w:t xml:space="preserve">Date de décès exacte.</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r>
              <w:t xml:space="preserve">Uri</w:t>
            </w:r>
          </w:p>
        </w:tc>
        <w:tc>
          <w:tcPr>
            <w:shd w:val="clear" w:color="auto" w:fill="F2F2F2"/>
          </w:tcPr>
          <w:p>
            <w:pPr>
              <w:pStyle w:val="Compact"/>
            </w:pPr>
            <w:r>
              <w:t xml:space="preserve">Lien vers une image (de préférence : PNG, puis JPG, puis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Noms de la personne avec type et valeur.</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Compétences linguistiques de la personne.</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Nationalités de la personne.</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Sexe de la personne.</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Métiers ou professions de la personne.</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Formations ou éducations de la personne. Directive : n’indiquer en principe que la qualification la plus élevée obtenue.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de liens d’intérêts.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30"/>
    <w:bookmarkStart w:id="31" w:name="utilisations"/>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persons</w:t>
            </w:r>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1"/>
    <w:bookmarkStart w:id="38" w:name="exemples"/>
    <w:p>
      <w:pPr>
        <w:pStyle w:val="berschrift3"/>
      </w:pPr>
      <w:r>
        <w:t xml:space="preserve">Exemples</w:t>
      </w:r>
    </w:p>
    <w:bookmarkStart w:id="32" w:name="Xf87f9d062c087d91c881963730395ad9b010f92"/>
    <w:p>
      <w:pPr>
        <w:pStyle w:val="berschrift4"/>
      </w:pPr>
      <w:r>
        <w:t xml:space="preserve">Exemple Person : Personne saisie de manière complète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2"/>
    <w:bookmarkStart w:id="33" w:name="X31c797f6b873eca5acc5d0093bbd1b980d13671"/>
    <w:p>
      <w:pPr>
        <w:pStyle w:val="berschrift4"/>
      </w:pPr>
      <w:r>
        <w:t xml:space="preserve">Exemple Person : Indication de sexe non binaire avec profession et formation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9ff856bad67e01f92e697d80659d553e8da368c"/>
    <w:p>
      <w:pPr>
        <w:pStyle w:val="berschrift4"/>
      </w:pPr>
      <w:r>
        <w:t xml:space="preserve">Exemple Person : Prénom usuel différent du prénom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4"/>
    <w:bookmarkStart w:id="35" w:name="X162a2deea2e6df8548fc8288ae1079ffb0932d5"/>
    <w:p>
      <w:pPr>
        <w:pStyle w:val="berschrift4"/>
      </w:pPr>
      <w:r>
        <w:t xml:space="preserve">Exemple Person : Distinguer des personnes homonymes par le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fc34685f917d1ae1cbd350bc37b4e57ca842e4b"/>
    <w:p>
      <w:pPr>
        <w:pStyle w:val="berschrift4"/>
      </w:pPr>
      <w:r>
        <w:t xml:space="preserve">Exemple Person : Distinguer des personnes homonymes par le label (deuxième personne)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Start w:id="37" w:name="X85af3b4e3f133946b9ad2704b95a8386bf0e70b"/>
    <w:p>
      <w:pPr>
        <w:pStyle w:val="berschrift4"/>
      </w:pPr>
      <w:r>
        <w:t xml:space="preserve">Exemple Person : Variante de nom à côté du double nom officiel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7"/>
    <w:bookmarkEnd w:id="38"/>
    <w:bookmarkEnd w:id="39"/>
    <w:bookmarkStart w:id="43" w:name="classe-name"/>
    <w:p>
      <w:pPr>
        <w:pStyle w:val="berschrift2"/>
      </w:pPr>
      <w:r>
        <w:t xml:space="preserve">Classe: Name</w:t>
      </w:r>
      <w:r>
        <w:t xml:space="preserve"> </w:t>
      </w:r>
      <w:bookmarkStart w:id="40" w:name="Name"/>
      <w:bookmarkEnd w:id="40"/>
    </w:p>
    <w:p>
      <w:pPr>
        <w:pStyle w:val="FirstParagraph"/>
      </w:pPr>
      <w:r>
        <w:rPr>
          <w:i/>
          <w:iCs/>
        </w:rPr>
        <w:t xml:space="preserve">Un nom avec un type (p. ex. nom d’usage, nom officiel), une valeur et une validité temporelle.</w:t>
      </w:r>
    </w:p>
    <w:bookmarkStart w:id="41"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41"/>
    <w:bookmarkStart w:id="42"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names</w:t>
            </w:r>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2"/>
    <w:bookmarkEnd w:id="43"/>
    <w:bookmarkStart w:id="58" w:name="enum-nametypeenum"/>
    <w:p>
      <w:pPr>
        <w:pStyle w:val="berschrift2"/>
      </w:pPr>
      <w:r>
        <w:t xml:space="preserve">Enum: NameTypeEnum</w:t>
      </w:r>
      <w:r>
        <w:t xml:space="preserve"> </w:t>
      </w:r>
      <w:bookmarkStart w:id="44" w:name="NameTypeEnum"/>
      <w:bookmarkEnd w:id="44"/>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5">
        <w:r>
          <w:rPr>
            <w:rStyle w:val="Hyperlink"/>
          </w:rPr>
          <w:t xml:space="preserve">act:NameTypeEnum</w:t>
        </w:r>
      </w:hyperlink>
    </w:p>
    <w:bookmarkStart w:id="57"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6">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7">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8">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9">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50">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51">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52">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3">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4">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5">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6">
              <w:r>
                <w:rPr>
                  <w:rStyle w:val="Hyperlink"/>
                </w:rPr>
                <w:t xml:space="preserve">https://register.ld.admin.ch/i14y/concept/personDeclaredForeignerFirstName</w:t>
              </w:r>
            </w:hyperlink>
          </w:p>
        </w:tc>
      </w:tr>
    </w:tbl>
    <w:bookmarkEnd w:id="57"/>
    <w:bookmarkEnd w:id="58"/>
    <w:bookmarkStart w:id="62" w:name="classe-languageproficiency"/>
    <w:p>
      <w:pPr>
        <w:pStyle w:val="berschrift2"/>
      </w:pPr>
      <w:r>
        <w:t xml:space="preserve">Classe: LanguageProficiency</w:t>
      </w:r>
      <w:r>
        <w:t xml:space="preserve"> </w:t>
      </w:r>
      <w:bookmarkStart w:id="59" w:name="LanguageProficiency"/>
      <w:bookmarkEnd w:id="59"/>
    </w:p>
    <w:p>
      <w:pPr>
        <w:pStyle w:val="FirstParagraph"/>
      </w:pPr>
      <w:r>
        <w:rPr>
          <w:i/>
          <w:iCs/>
        </w:rPr>
        <w:t xml:space="preserve">Compétences linguistiques d’une personne indiquant la langue et le fait qu’il s’agisse ou non de la langue préférée ou de la langue maternelle.</w:t>
      </w:r>
    </w:p>
    <w:bookmarkStart w:id="60"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r>
              <w:t xml:space="preserve">Boolean</w:t>
            </w:r>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s’il s’agit de la langue maternelle.</w:t>
            </w:r>
          </w:p>
        </w:tc>
      </w:tr>
    </w:tbl>
    <w:bookmarkEnd w:id="60"/>
    <w:bookmarkStart w:id="61"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language_proficiencies</w:t>
            </w:r>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61"/>
    <w:bookmarkEnd w:id="62"/>
    <w:bookmarkStart w:id="66" w:name="classe-citizenship"/>
    <w:p>
      <w:pPr>
        <w:pStyle w:val="berschrift2"/>
      </w:pPr>
      <w:r>
        <w:t xml:space="preserve">Classe: Citizenship</w:t>
      </w:r>
      <w:r>
        <w:t xml:space="preserve"> </w:t>
      </w:r>
      <w:bookmarkStart w:id="63" w:name="Citizenship"/>
      <w:bookmarkEnd w:id="63"/>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64"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4"/>
    <w:bookmarkStart w:id="65"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citizenships</w:t>
            </w:r>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5"/>
    <w:bookmarkEnd w:id="66"/>
    <w:bookmarkStart w:id="70" w:name="classe-gender"/>
    <w:p>
      <w:pPr>
        <w:pStyle w:val="berschrift2"/>
      </w:pPr>
      <w:r>
        <w:t xml:space="preserve">Classe: Gender</w:t>
      </w:r>
      <w:r>
        <w:t xml:space="preserve"> </w:t>
      </w:r>
      <w:bookmarkStart w:id="67" w:name="Gender"/>
      <w:bookmarkEnd w:id="67"/>
    </w:p>
    <w:p>
      <w:pPr>
        <w:pStyle w:val="FirstParagraph"/>
      </w:pPr>
      <w:r>
        <w:rPr>
          <w:i/>
          <w:iCs/>
        </w:rPr>
        <w:t xml:space="preserve">Sexe d’une personne indiquant un code de sexe et la validité temporelle.</w:t>
      </w:r>
    </w:p>
    <w:bookmarkStart w:id="68"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8"/>
    <w:bookmarkStart w:id="69"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genders</w:t>
            </w:r>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9"/>
    <w:bookmarkEnd w:id="70"/>
    <w:bookmarkStart w:id="76" w:name="enum-gendercodeenum"/>
    <w:p>
      <w:pPr>
        <w:pStyle w:val="berschrift2"/>
      </w:pPr>
      <w:r>
        <w:t xml:space="preserve">Enum: GenderCodeEnum</w:t>
      </w:r>
      <w:r>
        <w:t xml:space="preserve"> </w:t>
      </w:r>
      <w:bookmarkStart w:id="71" w:name="GenderCodeEnum"/>
      <w:bookmarkEnd w:id="71"/>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72">
        <w:r>
          <w:rPr>
            <w:rStyle w:val="Hyperlink"/>
          </w:rPr>
          <w:t xml:space="preserve">act:GenderCodeEnum</w:t>
        </w:r>
      </w:hyperlink>
    </w:p>
    <w:bookmarkStart w:id="75"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73">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74">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75"/>
    <w:bookmarkEnd w:id="76"/>
    <w:bookmarkStart w:id="84" w:name="classe-occupation"/>
    <w:p>
      <w:pPr>
        <w:pStyle w:val="berschrift2"/>
      </w:pPr>
      <w:r>
        <w:t xml:space="preserve">Classe: Occupation</w:t>
      </w:r>
      <w:r>
        <w:t xml:space="preserve"> </w:t>
      </w:r>
      <w:bookmarkStart w:id="77" w:name="Occupation"/>
      <w:bookmarkEnd w:id="77"/>
    </w:p>
    <w:p>
      <w:pPr>
        <w:pStyle w:val="FirstParagraph"/>
      </w:pPr>
      <w:r>
        <w:rPr>
          <w:i/>
          <w:iCs/>
        </w:rPr>
        <w:t xml:space="preserve">Métier ou profession d’une personne indiquant un libellé, un code ISCO-19, si l’activité est rémunérée, ainsi que la validité temporelle.</w:t>
      </w:r>
    </w:p>
    <w:bookmarkStart w:id="79"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r>
              <w:t xml:space="preserve">String</w:t>
            </w:r>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Nom de l’organisation ou de l’entreprise, avec la langue dans laquelle il est publié. Les registres bilingues indiquent le nom dans les deux langues ; une entrée est saisie par langue.</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8"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r>
        <w:t xml:space="preserve">occupation_code</w:t>
      </w:r>
    </w:p>
    <w:p>
      <w:pPr>
        <w:pStyle w:val="Compact"/>
        <w:numPr>
          <w:ilvl w:val="0"/>
          <w:numId w:val="1006"/>
        </w:numPr>
      </w:pPr>
      <w:r>
        <w:t xml:space="preserve">label</w:t>
      </w:r>
    </w:p>
    <w:bookmarkEnd w:id="78"/>
    <w:bookmarkEnd w:id="79"/>
    <w:bookmarkStart w:id="80" w:name="utilisations-5"/>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occupations</w:t>
            </w:r>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80"/>
    <w:bookmarkStart w:id="83" w:name="exemples-1"/>
    <w:p>
      <w:pPr>
        <w:pStyle w:val="berschrift3"/>
      </w:pPr>
      <w:r>
        <w:t xml:space="preserve">Exemples</w:t>
      </w:r>
    </w:p>
    <w:bookmarkStart w:id="81" w:name="X5e54cb11b65b9c57c6441cdedd45adf552828a9"/>
    <w:p>
      <w:pPr>
        <w:pStyle w:val="berschrift4"/>
      </w:pPr>
      <w:r>
        <w:t xml:space="preserve">Exemple Occupation :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1"/>
    <w:bookmarkStart w:id="82" w:name="X51eeb2c1d01c1f8948943fa28cf1fc83883ad5c"/>
    <w:p>
      <w:pPr>
        <w:pStyle w:val="berschrift4"/>
      </w:pPr>
      <w:r>
        <w:t xml:space="preserve">Exemple Occupation :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82"/>
    <w:bookmarkEnd w:id="83"/>
    <w:bookmarkEnd w:id="84"/>
    <w:bookmarkStart w:id="89" w:name="classe-training"/>
    <w:p>
      <w:pPr>
        <w:pStyle w:val="berschrift2"/>
      </w:pPr>
      <w:r>
        <w:t xml:space="preserve">Classe: Training</w:t>
      </w:r>
      <w:r>
        <w:t xml:space="preserve"> </w:t>
      </w:r>
      <w:bookmarkStart w:id="85" w:name="Training"/>
      <w:bookmarkEnd w:id="85"/>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87"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r>
              <w:t xml:space="preserve">String</w:t>
            </w:r>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86"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r>
        <w:t xml:space="preserve">training_type</w:t>
      </w:r>
    </w:p>
    <w:p>
      <w:pPr>
        <w:pStyle w:val="Compact"/>
        <w:numPr>
          <w:ilvl w:val="0"/>
          <w:numId w:val="1007"/>
        </w:numPr>
      </w:pPr>
      <w:r>
        <w:t xml:space="preserve">training_code</w:t>
      </w:r>
    </w:p>
    <w:p>
      <w:pPr>
        <w:pStyle w:val="Compact"/>
        <w:numPr>
          <w:ilvl w:val="0"/>
          <w:numId w:val="1007"/>
        </w:numPr>
      </w:pPr>
      <w:r>
        <w:t xml:space="preserve">value</w:t>
      </w:r>
    </w:p>
    <w:bookmarkEnd w:id="86"/>
    <w:bookmarkEnd w:id="87"/>
    <w:bookmarkStart w:id="88" w:name="utilisations-6"/>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trainings</w:t>
            </w:r>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88"/>
    <w:bookmarkEnd w:id="89"/>
    <w:bookmarkStart w:id="135" w:name="enum-trainingtypeenum"/>
    <w:p>
      <w:pPr>
        <w:pStyle w:val="berschrift2"/>
      </w:pPr>
      <w:r>
        <w:t xml:space="preserve">Enum: TrainingTypeEnum</w:t>
      </w:r>
      <w:r>
        <w:t xml:space="preserve"> </w:t>
      </w:r>
      <w:bookmarkStart w:id="90" w:name="TrainingTypeEnum"/>
      <w:bookmarkEnd w:id="90"/>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91">
        <w:r>
          <w:rPr>
            <w:rStyle w:val="Hyperlink"/>
          </w:rPr>
          <w:t xml:space="preserve">act:TrainingTypeEnum</w:t>
        </w:r>
      </w:hyperlink>
    </w:p>
    <w:bookmarkStart w:id="13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9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9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9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9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9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9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9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9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10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10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10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10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10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10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10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10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10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10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1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1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1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1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1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1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1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1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1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1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2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2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2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2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2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2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2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2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2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2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3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3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3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3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34"/>
    <w:p>
      <w:r>
        <w:br w:type="page"/>
      </w:r>
    </w:p>
    <w:bookmarkEnd w:id="135"/>
    <w:bookmarkEnd w:id="136"/>
    <w:bookmarkStart w:id="183"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51" w:name="classe-group"/>
    <w:p>
      <w:pPr>
        <w:pStyle w:val="berschrift2"/>
      </w:pPr>
      <w:r>
        <w:t xml:space="preserve">Classe: Group</w:t>
      </w:r>
      <w:r>
        <w:t xml:space="preserve"> </w:t>
      </w:r>
      <w:bookmarkStart w:id="137" w:name="Group"/>
      <w:bookmarkEnd w:id="137"/>
    </w:p>
    <w:p>
      <w:pPr>
        <w:pStyle w:val="FirstParagraph"/>
      </w:pPr>
      <w:r>
        <w:rPr>
          <w:i/>
          <w:iCs/>
        </w:rPr>
        <w:t xml:space="preserve">Un groupe, une organisation ou une collectivité politique (p. ex. parti, commission, parlement, département).</w:t>
      </w:r>
    </w:p>
    <w:bookmarkStart w:id="138"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r>
              <w:t xml:space="preserve">MultilingualValue</w:t>
            </w:r>
          </w:p>
        </w:tc>
        <w:tc>
          <w:tcPr>
            <w:shd w:val="clear" w:color="auto" w:fill="F2F2F2"/>
          </w:tcPr>
          <w:p>
            <w:pPr>
              <w:pStyle w:val="Compact"/>
            </w:pPr>
            <w:r>
              <w:t xml:space="preserve">Désignation du groupe avec la langue dans laquelle elle est publiée. Lorsqu’un groupe porte officiellement un nom dans plusieurs langues, une entrée est saisie par langue.</w:t>
            </w:r>
          </w:p>
        </w:tc>
      </w:tr>
      <w:tr>
        <w:tc>
          <w:tcPr/>
          <w:p>
            <w:pPr>
              <w:pStyle w:val="Compact"/>
            </w:pPr>
            <w:r>
              <w:t xml:space="preserve">abbreviation</w:t>
            </w:r>
          </w:p>
        </w:tc>
        <w:tc>
          <w:tcPr/>
          <w:p>
            <w:pPr>
              <w:pStyle w:val="Compact"/>
            </w:pPr>
            <w:r>
              <w:t xml:space="preserve">*</w:t>
            </w:r>
            <w:r>
              <w:t xml:space="preserve"> </w:t>
            </w:r>
            <w:r>
              <w:t xml:space="preserve"> </w:t>
            </w:r>
            <w:r>
              <w:t xml:space="preserve">MultilingualValue</w:t>
            </w:r>
          </w:p>
        </w:tc>
        <w:tc>
          <w:tcPr/>
          <w:p>
            <w:pPr>
              <w:pStyle w:val="Compact"/>
            </w:pPr>
            <w:r>
              <w:t xml:space="preserve">Abréviation (peut être multilingue).</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Description de l’entité.</w:t>
            </w:r>
          </w:p>
        </w:tc>
      </w:tr>
      <w:tr>
        <w:tc>
          <w:tcPr/>
          <w:p>
            <w:pPr>
              <w:pStyle w:val="Compact"/>
            </w:pPr>
            <w:r>
              <w:t xml:space="preserve">organization_uid</w:t>
            </w:r>
          </w:p>
        </w:tc>
        <w:tc>
          <w:tcPr/>
          <w:p>
            <w:pPr>
              <w:pStyle w:val="Compact"/>
            </w:pPr>
            <w:r>
              <w:t xml:space="preserve">0..1</w:t>
            </w:r>
            <w:r>
              <w:t xml:space="preserve"> </w:t>
            </w:r>
            <w:r>
              <w:t xml:space="preserve"> </w:t>
            </w:r>
            <w:r>
              <w:t xml:space="preserve">String</w:t>
            </w:r>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r>
              <w:t xml:space="preserve">MultilingualUri</w:t>
            </w:r>
          </w:p>
        </w:tc>
        <w:tc>
          <w:tcPr/>
          <w:p>
            <w:pPr>
              <w:pStyle w:val="Compact"/>
            </w:pPr>
            <w:r>
              <w:t xml:space="preserve">Site web fournissant de plus amples informations. Lorsque le site est publié à une adresse propre par langue, une entrée est saisie par langue.</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Informations de contact (e-mail, site web, réseaux sociaux). Directive : l’e-mail est quasi obligatoire et devrait toujours être fourni lorsqu’il est disponible.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vers les statuts du parti (PDF ou page web ; facultatif pour les partis).</w:t>
            </w:r>
          </w:p>
        </w:tc>
      </w:tr>
      <w:tr>
        <w:tc>
          <w:tcPr/>
          <w:p>
            <w:pPr>
              <w:pStyle w:val="Compact"/>
            </w:pPr>
            <w:r>
              <w:t xml:space="preserve">party_color</w:t>
            </w:r>
          </w:p>
        </w:tc>
        <w:tc>
          <w:tcPr/>
          <w:p>
            <w:pPr>
              <w:pStyle w:val="Compact"/>
            </w:pPr>
            <w:r>
              <w:t xml:space="preserve">0..1</w:t>
            </w:r>
            <w:r>
              <w:t xml:space="preserve"> </w:t>
            </w:r>
            <w:r>
              <w:t xml:space="preserve"> </w:t>
            </w:r>
            <w:r>
              <w:t xml:space="preserve">String</w:t>
            </w:r>
          </w:p>
        </w:tc>
        <w:tc>
          <w:tcPr/>
          <w:p>
            <w:pPr>
              <w:pStyle w:val="Compact"/>
            </w:pPr>
            <w:r>
              <w:t xml:space="preserve">Couleur du parti sous forme de valeur hexadécimale (facultatif pour les partis, p. ex. « #FF0000 »).</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38"/>
    <w:bookmarkStart w:id="139" w:name="utilisations-7"/>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groups</w:t>
            </w:r>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39"/>
    <w:bookmarkStart w:id="150" w:name="exemples-2"/>
    <w:p>
      <w:pPr>
        <w:pStyle w:val="berschrift3"/>
      </w:pPr>
      <w:r>
        <w:t xml:space="preserve">Exemples</w:t>
      </w:r>
    </w:p>
    <w:bookmarkStart w:id="140" w:name="Xd0ec23ff6a83521765a8d7fc47e68db61616dca"/>
    <w:p>
      <w:pPr>
        <w:pStyle w:val="berschrift4"/>
      </w:pPr>
      <w:r>
        <w:t xml:space="preserve">Exemple Group : Parti cantonal renvoyant au parti national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40"/>
    <w:bookmarkStart w:id="141" w:name="X18cd64658ee3a2058132627816d9514f18a721a"/>
    <w:p>
      <w:pPr>
        <w:pStyle w:val="berschrift4"/>
      </w:pPr>
      <w:r>
        <w:t xml:space="preserve">Exemple Group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1"/>
    <w:bookmarkStart w:id="142" w:name="X6c2a08232834c98788d813714d7061c37ecb860"/>
    <w:p>
      <w:pPr>
        <w:pStyle w:val="berschrift4"/>
      </w:pPr>
      <w:r>
        <w:t xml:space="preserve">Exemple Group : Parlement communal avec référence spatiale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42"/>
    <w:bookmarkStart w:id="143" w:name="X25ee464d661be05b5008b35b8474c45db61afb3"/>
    <w:p>
      <w:pPr>
        <w:pStyle w:val="berschrift4"/>
      </w:pPr>
      <w:r>
        <w:t xml:space="preserve">Exemple Group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43"/>
    <w:bookmarkStart w:id="144" w:name="X401ad1e6f27e4436c8a7ce471ff688432e7da62"/>
    <w:p>
      <w:pPr>
        <w:pStyle w:val="berschrift4"/>
      </w:pPr>
      <w:r>
        <w:t xml:space="preserve">Exemple Group : Groupe parlementaire renvoyant au parlement dont il relève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44"/>
    <w:bookmarkStart w:id="145" w:name="X3b9ba0f5594e4a81608c1da0cc4cd1d9a510eed"/>
    <w:p>
      <w:pPr>
        <w:pStyle w:val="berschrift4"/>
      </w:pPr>
      <w:r>
        <w:t xml:space="preserve">Exemple Group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45"/>
    <w:bookmarkStart w:id="146" w:name="Xf6be1816f54b813d87031e59b0799615b73e818"/>
    <w:p>
      <w:pPr>
        <w:pStyle w:val="berschrift4"/>
      </w:pPr>
      <w:r>
        <w:t xml:space="preserve">Exemple Group : Groupe d’intérêt avec nom trilingue et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46"/>
    <w:bookmarkStart w:id="147" w:name="Xf8fc91e5ed55034f2c01896797ebe5213dbd7a7"/>
    <w:p>
      <w:pPr>
        <w:pStyle w:val="berschrift4"/>
      </w:pPr>
      <w:r>
        <w:t xml:space="preserve">Exemple Group : Commission extraparlementaire dotée du pouvoir de décision</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47"/>
    <w:bookmarkStart w:id="148" w:name="X50762a5a2252783e9c0449c228947c2c4469446"/>
    <w:p>
      <w:pPr>
        <w:pStyle w:val="berschrift4"/>
      </w:pPr>
      <w:r>
        <w:t xml:space="preserve">Exemple Group : Délégation bilingue auprès d’un organe intercantonal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48"/>
    <w:bookmarkStart w:id="149" w:name="Xc907952ba57b0baeff7538c269658513a29a32c"/>
    <w:p>
      <w:pPr>
        <w:pStyle w:val="berschrift4"/>
      </w:pPr>
      <w:r>
        <w:t xml:space="preserve">Exemple Group : Association avec IDE et forme juridique du registre du commerce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49"/>
    <w:bookmarkEnd w:id="150"/>
    <w:bookmarkEnd w:id="151"/>
    <w:bookmarkStart w:id="155" w:name="classe-grouptype"/>
    <w:p>
      <w:pPr>
        <w:pStyle w:val="berschrift2"/>
      </w:pPr>
      <w:r>
        <w:t xml:space="preserve">Classe: GroupType</w:t>
      </w:r>
      <w:r>
        <w:t xml:space="preserve"> </w:t>
      </w:r>
      <w:bookmarkStart w:id="152" w:name="GroupType"/>
      <w:bookmarkEnd w:id="152"/>
    </w:p>
    <w:p>
      <w:pPr>
        <w:pStyle w:val="FirstParagraph"/>
      </w:pPr>
      <w:r>
        <w:rPr>
          <w:i/>
          <w:iCs/>
        </w:rPr>
        <w:t xml:space="preserve">Type de groupe (p. ex. parti, commission, parlement, département).</w:t>
      </w:r>
    </w:p>
    <w:bookmarkStart w:id="153"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53"/>
    <w:bookmarkStart w:id="154" w:name="utilisations-8"/>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group_type</w:t>
            </w:r>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54"/>
    <w:bookmarkEnd w:id="155"/>
    <w:bookmarkStart w:id="182" w:name="enum-grouptypeenum"/>
    <w:p>
      <w:pPr>
        <w:pStyle w:val="berschrift2"/>
      </w:pPr>
      <w:r>
        <w:t xml:space="preserve">Enum: GroupTypeEnum</w:t>
      </w:r>
      <w:r>
        <w:t xml:space="preserve"> </w:t>
      </w:r>
      <w:bookmarkStart w:id="156" w:name="GroupTypeEnum"/>
      <w:bookmarkEnd w:id="156"/>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Un</w:t>
      </w:r>
      <w:r>
        <w:rPr>
          <w:i/>
          <w:iCs/>
        </w:rPr>
        <w:t xml:space="preserve"> </w:t>
      </w:r>
      <w:r>
        <w:rPr>
          <w:rStyle w:val="VerbatimChar"/>
          <w:i/>
          <w:iCs/>
        </w:rPr>
        <w:t xml:space="preserve">group_type</w:t>
      </w:r>
      <w:r>
        <w:rPr>
          <w:i/>
          <w:iCs/>
        </w:rPr>
        <w:t xml:space="preserve"> </w:t>
      </w:r>
      <w:r>
        <w:rPr>
          <w:i/>
          <w:iCs/>
        </w:rPr>
        <w:t xml:space="preserve">doit toujours être renseigné.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57">
        <w:r>
          <w:rPr>
            <w:rStyle w:val="Hyperlink"/>
          </w:rPr>
          <w:t xml:space="preserve">act:GroupTypeEnum</w:t>
        </w:r>
      </w:hyperlink>
    </w:p>
    <w:bookmarkStart w:id="181"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5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5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60">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61">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62">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63">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64">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65">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66">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67">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68">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69">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70">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71">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72">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73">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74">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75">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76">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77">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78">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79">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80">
              <w:r>
                <w:rPr>
                  <w:rStyle w:val="Hyperlink"/>
                </w:rPr>
                <w:t xml:space="preserve">act:enum/group_type/other</w:t>
              </w:r>
            </w:hyperlink>
          </w:p>
        </w:tc>
      </w:tr>
    </w:tbl>
    <w:bookmarkEnd w:id="181"/>
    <w:p>
      <w:r>
        <w:br w:type="page"/>
      </w:r>
    </w:p>
    <w:bookmarkEnd w:id="182"/>
    <w:bookmarkEnd w:id="183"/>
    <w:bookmarkStart w:id="214"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 Qu’une circonscription soit identifiable de la sorte dépend de sa coïncidence avec une unité spatiale officielle : dans le canton de Bâle-Ville, les circonscriptions de Riehen et de Bettingen sont des communes et disposent d’une ressource LINDAS, tandis que Grossbasel-Ost, Grossbasel-West et Kleinbasel regroupent des quartiers de la commune de Bâle et n’en ont pas. Les circonscriptions sans équivalent officiel reçoivent un identifiant dans l’espace de noms de l’organe qui les publie.</w:t>
      </w:r>
    </w:p>
    <w:bookmarkStart w:id="196" w:name="classe-membership"/>
    <w:p>
      <w:pPr>
        <w:pStyle w:val="berschrift2"/>
      </w:pPr>
      <w:r>
        <w:t xml:space="preserve">Classe: Membership</w:t>
      </w:r>
      <w:r>
        <w:t xml:space="preserve"> </w:t>
      </w:r>
      <w:bookmarkStart w:id="184" w:name="Membership"/>
      <w:bookmarkEnd w:id="184"/>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85"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Référence abrégée à un groupe, retenant ses caractéristiques au moment de la mise en relation.</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Circonscription électorale de l’affiliation. Indiquée lorsque le mandat a été obtenu dans une circonscription ; elle est donc rattachée à l’affiliation et non à la personne.</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Rôle de la personne dans l’affiliation ou la fonction.</w:t>
            </w:r>
          </w:p>
        </w:tc>
      </w:tr>
      <w:tr>
        <w:tc>
          <w:tcPr/>
          <w:p>
            <w:pPr>
              <w:pStyle w:val="Compact"/>
            </w:pPr>
            <w:r>
              <w:t xml:space="preserve">authorized_to_vote</w:t>
            </w:r>
          </w:p>
        </w:tc>
        <w:tc>
          <w:tcPr/>
          <w:p>
            <w:pPr>
              <w:pStyle w:val="Compact"/>
            </w:pPr>
            <w:r>
              <w:t xml:space="preserve">0..1</w:t>
            </w:r>
            <w:r>
              <w:t xml:space="preserve"> </w:t>
            </w:r>
            <w:r>
              <w:t xml:space="preserve"> </w:t>
            </w:r>
            <w:r>
              <w:t xml:space="preserve">Boolean</w:t>
            </w:r>
          </w:p>
        </w:tc>
        <w:tc>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85"/>
    <w:bookmarkStart w:id="186" w:name="utilisations-9"/>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memberships</w:t>
            </w:r>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86"/>
    <w:bookmarkStart w:id="195" w:name="exemples-3"/>
    <w:p>
      <w:pPr>
        <w:pStyle w:val="berschrift3"/>
      </w:pPr>
      <w:r>
        <w:t xml:space="preserve">Exemples</w:t>
      </w:r>
    </w:p>
    <w:bookmarkStart w:id="187" w:name="X4aa3806fccbf31d4198e8b1f0b377422bdc8b5d"/>
    <w:p>
      <w:pPr>
        <w:pStyle w:val="berschrift4"/>
      </w:pPr>
      <w:r>
        <w:t xml:space="preserve">Exemple Membership : Personne et groupe de la même livraison, avec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7"/>
    <w:bookmarkStart w:id="188" w:name="X461e3f6919f9b1c0edad6ee70c89071048ad28c"/>
    <w:p>
      <w:pPr>
        <w:pStyle w:val="berschrift4"/>
      </w:pPr>
      <w:r>
        <w:t xml:space="preserve">Exemple Membership : Appartenance à un groupe parlementaire parallèle au 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88"/>
    <w:bookmarkStart w:id="189" w:name="X2c1ac3b5b432eedc4d8eac37aee3521aad6df35"/>
    <w:p>
      <w:pPr>
        <w:pStyle w:val="berschrift4"/>
      </w:pPr>
      <w:r>
        <w:t xml:space="preserve">Exemple Membership : Rôle hors du vocabulaire, désigné dans le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9"/>
    <w:bookmarkStart w:id="190" w:name="X75b9ce56a462c65ede1d068de5dbbf215a2ae59"/>
    <w:p>
      <w:pPr>
        <w:pStyle w:val="berschrift4"/>
      </w:pPr>
      <w:r>
        <w:t xml:space="preserve">Exemple Membership : Mandat en cours sans date de fin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0"/>
    <w:bookmarkStart w:id="191" w:name="Xa0aba1735180765aa5894c3fbe1f531fa0b3768"/>
    <w:p>
      <w:pPr>
        <w:pStyle w:val="berschrift4"/>
      </w:pPr>
      <w:r>
        <w:t xml:space="preserve">Exemple Membership : Affiliation à un parti sans indications temporelles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91"/>
    <w:bookmarkStart w:id="192" w:name="X203890475176b7c002540dc412bdb3c1de4387d"/>
    <w:p>
      <w:pPr>
        <w:pStyle w:val="berschrift4"/>
      </w:pPr>
      <w:r>
        <w:t xml:space="preserve">Exemple Membership : La même personne à un autre niveau, avec une autre circonscription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2"/>
    <w:bookmarkStart w:id="193" w:name="X0f91acac3737af06e2069b9e8e67a6bebc99c7e"/>
    <w:p>
      <w:pPr>
        <w:pStyle w:val="berschrift4"/>
      </w:pPr>
      <w:r>
        <w:t xml:space="preserve">Exemple Membership : Mandat exécutif avec fonction présidentielle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3"/>
    <w:bookmarkStart w:id="194" w:name="X78cf0a1b45398a16cf9055842226733fe3c2f5c"/>
    <w:p>
      <w:pPr>
        <w:pStyle w:val="berschrift4"/>
      </w:pPr>
      <w:r>
        <w:t xml:space="preserve">Exemple Membership : Appartenance à une commission avec sa propre durée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94"/>
    <w:bookmarkEnd w:id="195"/>
    <w:bookmarkEnd w:id="196"/>
    <w:bookmarkStart w:id="202" w:name="classe-roletype"/>
    <w:p>
      <w:pPr>
        <w:pStyle w:val="berschrift2"/>
      </w:pPr>
      <w:r>
        <w:t xml:space="preserve">Classe: RoleType</w:t>
      </w:r>
      <w:r>
        <w:t xml:space="preserve"> </w:t>
      </w:r>
      <w:bookmarkStart w:id="197" w:name="RoleType"/>
      <w:bookmarkEnd w:id="197"/>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99"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r>
              <w:t xml:space="preserve">MultilingualValue</w:t>
            </w:r>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98"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r>
        <w:t xml:space="preserve">role_type_enum</w:t>
      </w:r>
    </w:p>
    <w:p>
      <w:pPr>
        <w:pStyle w:val="Compact"/>
        <w:numPr>
          <w:ilvl w:val="0"/>
          <w:numId w:val="1010"/>
        </w:numPr>
      </w:pPr>
      <w:r>
        <w:t xml:space="preserve">role_label</w:t>
      </w:r>
    </w:p>
    <w:bookmarkEnd w:id="198"/>
    <w:bookmarkEnd w:id="199"/>
    <w:bookmarkStart w:id="201"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role_type</w:t>
            </w:r>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200"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200"/>
    <w:bookmarkEnd w:id="201"/>
    <w:bookmarkEnd w:id="202"/>
    <w:bookmarkStart w:id="206" w:name="enum-roleenum"/>
    <w:p>
      <w:pPr>
        <w:pStyle w:val="berschrift2"/>
      </w:pPr>
      <w:r>
        <w:t xml:space="preserve">Enum: RoleEnum</w:t>
      </w:r>
      <w:r>
        <w:t xml:space="preserve"> </w:t>
      </w:r>
      <w:bookmarkStart w:id="203" w:name="RoleEnum"/>
      <w:bookmarkEnd w:id="203"/>
    </w:p>
    <w:p>
      <w:pPr>
        <w:pStyle w:val="FirstParagraph"/>
      </w:pPr>
      <w:r>
        <w:rPr>
          <w:i/>
          <w:iCs/>
        </w:rPr>
        <w:t xml:space="preserve">Rôles qu’une personne peut occuper dans le cadre d’une affiliation.</w:t>
      </w:r>
    </w:p>
    <w:p>
      <w:pPr>
        <w:pStyle w:val="Textkrper"/>
      </w:pPr>
      <w:r>
        <w:t xml:space="preserve">URI:</w:t>
      </w:r>
      <w:r>
        <w:t xml:space="preserve"> </w:t>
      </w:r>
      <w:hyperlink ns1:id="rId204">
        <w:r>
          <w:rPr>
            <w:rStyle w:val="Hyperlink"/>
          </w:rPr>
          <w:t xml:space="preserve">act:RoleEnum</w:t>
        </w:r>
      </w:hyperlink>
    </w:p>
    <w:bookmarkStart w:id="205"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205"/>
    <w:bookmarkEnd w:id="206"/>
    <w:bookmarkStart w:id="213" w:name="classe-electoraldistrict"/>
    <w:p>
      <w:pPr>
        <w:pStyle w:val="berschrift2"/>
      </w:pPr>
      <w:r>
        <w:t xml:space="preserve">Classe: ElectoralDistrict</w:t>
      </w:r>
      <w:r>
        <w:t xml:space="preserve"> </w:t>
      </w:r>
      <w:bookmarkStart w:id="207" w:name="ElectoralDistrict"/>
      <w:bookmarkEnd w:id="207"/>
    </w:p>
    <w:p>
      <w:pPr>
        <w:pStyle w:val="FirstParagraph"/>
      </w:pPr>
      <w:r>
        <w:rPr>
          <w:i/>
          <w:iCs/>
        </w:rPr>
        <w:t xml:space="preserve">Circonscription ou région électorale associée à une affiliation. La validité temporelle est héritée de l’affiliation englobante.</w:t>
      </w:r>
    </w:p>
    <w:bookmarkStart w:id="208"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 Les circonscriptions qui ne correspondent à aucune unité spatiale officielle, par exemple celles qui regroupent des quartiers d’une commune, reçoivent à la place un identifiant dans l’espace de noms de l’organe qui les publie.</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r>
              <w:t xml:space="preserve">MultilingualValue</w:t>
            </w:r>
          </w:p>
        </w:tc>
        <w:tc>
          <w:tcPr/>
          <w:p>
            <w:pPr>
              <w:pStyle w:val="Compact"/>
            </w:pPr>
            <w:r>
              <w:t xml:space="preserve">Désignation de la circonscription électorale telle qu’elle est publiée par l’organe compétent pour l’élection, avec la langue dans laquelle elle est publiée. Lorsqu’une circonscription porte officiellement un nom dans plusieurs langues, une entrée est saisie par langue.</w:t>
            </w:r>
          </w:p>
        </w:tc>
      </w:tr>
    </w:tbl>
    <w:bookmarkEnd w:id="208"/>
    <w:bookmarkStart w:id="209"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electoral_district</w:t>
            </w:r>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209"/>
    <w:bookmarkStart w:id="212" w:name="exemples-4"/>
    <w:p>
      <w:pPr>
        <w:pStyle w:val="berschrift3"/>
      </w:pPr>
      <w:r>
        <w:t xml:space="preserve">Exemples</w:t>
      </w:r>
    </w:p>
    <w:bookmarkStart w:id="210" w:name="X84ad540d4404906b5822b5e5e638c28b89087c5"/>
    <w:p>
      <w:pPr>
        <w:pStyle w:val="berschrift4"/>
      </w:pPr>
      <w:r>
        <w:t xml:space="preserve">Exemple ElectoralDistrict : Canton comme circonscription, identifié par la ressource LINDAS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0"/>
    <w:bookmarkStart w:id="211" w:name="X692775eef9e55c59afa5e48eb0873852f01d046"/>
    <w:p>
      <w:pPr>
        <w:pStyle w:val="berschrift4"/>
      </w:pPr>
      <w:r>
        <w:t xml:space="preserve">Exemple ElectoralDistrict : Circonscription sans unité spatiale officielle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11"/>
    <w:bookmarkEnd w:id="212"/>
    <w:p>
      <w:r>
        <w:br w:type="page"/>
      </w:r>
    </w:p>
    <w:bookmarkEnd w:id="213"/>
    <w:bookmarkEnd w:id="214"/>
    <w:bookmarkStart w:id="283"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215">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Le vocabulaire reprend les catégories que les registres tiennent déjà aujourd’hui : « Tätigkeiten in Führungs- und Aufsichtsorganen sowie Beiräten und ähnlichen Gremien » (Lucerne) devient</w:t>
      </w:r>
      <w:r>
        <w:t xml:space="preserve"> </w:t>
      </w:r>
      <w:r>
        <w:rPr>
          <w:rStyle w:val="VerbatimChar"/>
        </w:rPr>
        <w:t xml:space="preserve">governing_body</w:t>
      </w:r>
      <w:r>
        <w:t xml:space="preserve">, « Leitungsfunktionen und dauernde Beratungs- oder Expertentätigkeiten für Interessengruppen und Verbände » (Lucerne)</w:t>
      </w:r>
      <w:r>
        <w:t xml:space="preserve"> </w:t>
      </w:r>
      <w:r>
        <w:rPr>
          <w:rStyle w:val="VerbatimChar"/>
        </w:rPr>
        <w:t xml:space="preserve">interest_group_mandate</w:t>
      </w:r>
      <w:r>
        <w:t xml:space="preserve">, « Mitwirkung in Kommissionen und anderen Organen des Bundes, eines Kantons, einer Gemeinde oder einer interkantonalen Zusammenarbeit » (Fribourg) et « Ausübung politischer Ämter in Bund, Kanton und Gemeinden (ausgenommen Landratsmandat) » (Bâle-Campagne) toutes deux</w:t>
      </w:r>
      <w:r>
        <w:t xml:space="preserve"> </w:t>
      </w:r>
      <w:r>
        <w:rPr>
          <w:rStyle w:val="VerbatimChar"/>
        </w:rPr>
        <w:t xml:space="preserve">public_mandate</w:t>
      </w:r>
      <w:r>
        <w:t xml:space="preserve">, « berufliche Tätigkeiten und allfällige Arbeitgeber » (Schwytz)</w:t>
      </w:r>
      <w:r>
        <w:t xml:space="preserve"> </w:t>
      </w:r>
      <w:r>
        <w:rPr>
          <w:rStyle w:val="VerbatimChar"/>
        </w:rPr>
        <w:t xml:space="preserve">professional_activity</w:t>
      </w:r>
      <w:r>
        <w:t xml:space="preserve">. Bâle-Ville se contente de deux catégories (« Führung und Aufsicht », « staatliche Kommission »), la ville de Zoug en compte six — la même trame, découpée plus ou moins finement.</w:t>
      </w:r>
    </w:p>
    <w:p>
      <w:pPr>
        <w:pStyle w:val="Compact"/>
        <w:numPr>
          <w:ilvl w:val="0"/>
          <w:numId w:val="1012"/>
        </w:numPr>
      </w:pPr>
      <w:r>
        <w:rPr>
          <w:b/>
          <w:bCs/>
        </w:rPr>
        <w:t xml:space="preserve">Une seule valeur pour la sphère publique (</w:t>
      </w:r>
      <w:r>
        <w:rPr>
          <w:rStyle w:val="VerbatimChar"/>
          <w:b/>
          <w:bCs/>
        </w:rPr>
        <w:t xml:space="preserve">public_mandate</w:t>
      </w:r>
      <w:r>
        <w:rPr>
          <w:b/>
          <w:bCs/>
        </w:rPr>
        <w:t xml:space="preserve">) :</w:t>
      </w:r>
      <w:r>
        <w:t xml:space="preserve"> </w:t>
      </w:r>
      <w:r>
        <w:t xml:space="preserve">une fonction dans une autorité et un siège dans une commission étatique restent délibérément réunis dans une seule valeur. Sur 24 registres exploitables, quatre seulement tiennent les deux catégories séparément (Fribourg, Neuchâtel, la ville de Berne et une commune vaudoise) ; sept ne connaissent que les « politische Ämter », treize uniquement les « Kommissionen und andere Organe » — laquelle des deux relève du hasard du modèle cantonal. Une bipartition devrait donc être devinée lors de la reprise des données, et chaque canton devinerait autrement.</w:t>
      </w:r>
    </w:p>
    <w:p>
      <w:pPr>
        <w:pStyle w:val="Compact"/>
        <w:numPr>
          <w:ilvl w:val="0"/>
          <w:numId w:val="1012"/>
        </w:numPr>
      </w:pPr>
      <w:r>
        <w:rPr>
          <w:b/>
          <w:bCs/>
        </w:rPr>
        <w:t xml:space="preserve">C’est l’interlocuteur qui décide, non la fonction :</w:t>
      </w:r>
      <w:r>
        <w:t xml:space="preserve"> </w:t>
      </w:r>
      <w:r>
        <w:rPr>
          <w:rStyle w:val="VerbatimChar"/>
        </w:rPr>
        <w:t xml:space="preserve">governing_body</w:t>
      </w:r>
      <w:r>
        <w:t xml:space="preserve"> </w:t>
      </w:r>
      <w:r>
        <w:t xml:space="preserve">et</w:t>
      </w:r>
      <w:r>
        <w:t xml:space="preserve"> </w:t>
      </w:r>
      <w:r>
        <w:rPr>
          <w:rStyle w:val="VerbatimChar"/>
        </w:rPr>
        <w:t xml:space="preserve">interest_group_mandate</w:t>
      </w:r>
      <w:r>
        <w:t xml:space="preserve"> </w:t>
      </w:r>
      <w:r>
        <w:t xml:space="preserve">ne se distinguent pas par la fonction, car une présidence de fédération est formellement les deux. Ce qui compte, c’est le type d’organisation en face : si elle poursuit un but propre (entreprise, établissement, fondation),</w:t>
      </w:r>
      <w:r>
        <w:t xml:space="preserve"> </w:t>
      </w:r>
      <w:r>
        <w:rPr>
          <w:rStyle w:val="VerbatimChar"/>
        </w:rPr>
        <w:t xml:space="preserve">governing_body</w:t>
      </w:r>
      <w:r>
        <w:t xml:space="preserve"> </w:t>
      </w:r>
      <w:r>
        <w:t xml:space="preserve">s’applique ; si son but est la représentation d’intérêts elle-même (fédération de branche, association professionnelle, association de locataires), c’est</w:t>
      </w:r>
      <w:r>
        <w:t xml:space="preserve"> </w:t>
      </w:r>
      <w:r>
        <w:rPr>
          <w:rStyle w:val="VerbatimChar"/>
        </w:rPr>
        <w:t xml:space="preserve">interest_group_mandate</w:t>
      </w:r>
      <w:r>
        <w:t xml:space="preserve"> </w:t>
      </w:r>
      <w:r>
        <w:t xml:space="preserve">— même lorsque la fonction consiste en un siège au comité. Fribourg classe précisément ainsi la présidence de l’ASLOCA, bien que l’entrée porte la mention « Comité ». Cette bipartition n’est pas une invention des cantons : elle figure déjà à l’article 11 de la loi sur l’Assemblée fédérale.</w:t>
      </w:r>
    </w:p>
    <w:p>
      <w:pPr>
        <w:pStyle w:val="Compact"/>
        <w:numPr>
          <w:ilvl w:val="0"/>
          <w:numId w:val="1012"/>
        </w:numPr>
      </w:pPr>
      <w:r>
        <w:rPr>
          <w:b/>
          <w:bCs/>
        </w:rPr>
        <w:t xml:space="preserve">Représentation de sa propre collectivité (</w:t>
      </w:r>
      <w:r>
        <w:rPr>
          <w:rStyle w:val="VerbatimChar"/>
          <w:b/>
          <w:bCs/>
        </w:rPr>
        <w:t xml:space="preserve">is_ex_officio</w:t>
      </w:r>
      <w:r>
        <w:rPr>
          <w:b/>
          <w:bCs/>
        </w:rPr>
        <w:t xml:space="preserve">) :</w:t>
      </w:r>
      <w:r>
        <w:t xml:space="preserve"> </w:t>
      </w:r>
      <w:r>
        <w:t xml:space="preserve">savoir si une personne détient un mandat à titre privé ou l’exerce comme représentante de sa propre autorité est consigné indépendamment du type de lien — l’Argovie distingue pour cette raison « Private Ämter » et « Öffentliche Ämter », la ville de Schaffhouse « Privates Engagement » et « Vertretung Stadt Schaffhausen ». Un même siège au conseil d’administration n’a pas la même portée selon le cas. Sont concernées avant tout les fonctions exécutives, car la représentation dans les organes des organisations concernées y va de pair avec le dicastère. Comme champ propre plutôt que comme catégorie, l’indication se combine avec n’importe quel</w:t>
      </w:r>
      <w:r>
        <w:t xml:space="preserve"> </w:t>
      </w:r>
      <w:r>
        <w:rPr>
          <w:rStyle w:val="VerbatimChar"/>
        </w:rPr>
        <w:t xml:space="preserve">interest_type</w:t>
      </w:r>
      <w:r>
        <w:t xml:space="preserve">.</w:t>
      </w:r>
    </w:p>
    <w:p>
      <w:pPr>
        <w:pStyle w:val="Compact"/>
        <w:numPr>
          <w:ilvl w:val="0"/>
          <w:numId w:val="1012"/>
        </w:numPr>
      </w:pPr>
      <w:r>
        <w:rPr>
          <w:b/>
          <w:bCs/>
        </w:rPr>
        <w:t xml:space="preserve">Ce que la Confédération inscrit à cet endroit :</w:t>
      </w:r>
      <w:r>
        <w:t xml:space="preserve"> </w:t>
      </w:r>
      <w:r>
        <w:t xml:space="preserve">dans le registre fédéral, le champ de type ne contient pas la catégorie mais la forme juridique de l’organisation (association, société anonyme, fondation). Celle-ci relève de</w:t>
      </w:r>
      <w:r>
        <w:t xml:space="preserve"> </w:t>
      </w:r>
      <w:r>
        <w:rPr>
          <w:rStyle w:val="VerbatimChar"/>
        </w:rPr>
        <w:t xml:space="preserve">legal_form</w:t>
      </w:r>
      <w:r>
        <w:t xml:space="preserve"> </w:t>
      </w:r>
      <w:r>
        <w:t xml:space="preserve">dans le standard ; la catégorie doit être déduite de l’organe et de la fonction lors de la reprise des données.</w:t>
      </w:r>
    </w:p>
    <w:p>
      <w:pPr>
        <w:pStyle w:val="Compact"/>
        <w:numPr>
          <w:ilvl w:val="0"/>
          <w:numId w:val="1012"/>
        </w:numPr>
      </w:pPr>
      <w:r>
        <w:rPr>
          <w:b/>
          <w:bCs/>
        </w:rPr>
        <w:t xml:space="preserve">Registres bilingues (</w:t>
      </w:r>
      <w:r>
        <w:rPr>
          <w:rStyle w:val="VerbatimChar"/>
          <w:b/>
          <w:bCs/>
        </w:rPr>
        <w:t xml:space="preserve">organization_name</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Fribourg, le Valais et Berne publient le nom de l’organisation, l’organe et la fonction en deux langues — dans la collection d’openparldata.ch, cela concerne environ 5000 des quelque 30 000 entrées. Ces trois indications sont donc gérées, comme la désignation des groupes, de manière multilingue : une entrée par langue publiée, sans rien traduire.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30" w:name="classe-interestlink"/>
    <w:p>
      <w:pPr>
        <w:pStyle w:val="berschrift2"/>
      </w:pPr>
      <w:r>
        <w:t xml:space="preserve">Classe: InterestLink</w:t>
      </w:r>
      <w:r>
        <w:t xml:space="preserve"> </w:t>
      </w:r>
      <w:bookmarkStart w:id="216" w:name="InterestLink"/>
      <w:bookmarkEnd w:id="216"/>
    </w:p>
    <w:p>
      <w:pPr>
        <w:pStyle w:val="FirstParagraph"/>
      </w:pPr>
      <w:r>
        <w:rPr>
          <w:i/>
          <w:iCs/>
        </w:rPr>
        <w:t xml:space="preserve">Un lien d’intérêts (conflit d’intérêts, financement politique) d’une personne avec une organisation située en dehors du schéma des acteurs.</w:t>
      </w:r>
    </w:p>
    <w:bookmarkStart w:id="218"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Référence abrégée à une personne, retenant ses caractéristiques au moment de la mise en relation.</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de lien d’intérêts, suivant les catégories tenues par les registres de publicité (activité professionnelle, siège dans un organe de direction, mandat pour un groupe d’intérêts, fonction dans la sphère publique, appartenance).</w:t>
            </w:r>
          </w:p>
        </w:tc>
      </w:tr>
      <w:tr>
        <w:tc>
          <w:tcPr/>
          <w:p>
            <w:pPr>
              <w:pStyle w:val="Compact"/>
            </w:pPr>
            <w:r>
              <w:t xml:space="preserve">organization_name</w:t>
            </w:r>
          </w:p>
        </w:tc>
        <w:tc>
          <w:tcPr/>
          <w:p>
            <w:pPr>
              <w:pStyle w:val="Compact"/>
            </w:pPr>
            <w:r>
              <w:t xml:space="preserve">*</w:t>
            </w:r>
            <w:r>
              <w:t xml:space="preserve"> </w:t>
            </w:r>
            <w:r>
              <w:t xml:space="preserve"> </w:t>
            </w:r>
            <w:r>
              <w:t xml:space="preserve">MultilingualValue</w:t>
            </w:r>
          </w:p>
        </w:tc>
        <w:tc>
          <w:tcPr/>
          <w:p>
            <w:pPr>
              <w:pStyle w:val="Compact"/>
            </w:pPr>
            <w:r>
              <w:t xml:space="preserve">Nom de l’organisation ou de l’entreprise, avec la langue dans laquelle il est publié. Les registres bilingues indiquent le nom dans les deux langues ; une entrée est saisie par langue.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organization_address</w:t>
            </w:r>
          </w:p>
        </w:tc>
        <w:tc>
          <w:tcPr/>
          <w:p>
            <w:pPr>
              <w:pStyle w:val="Compact"/>
            </w:pPr>
            <w:r>
              <w:t xml:space="preserve">0..1</w:t>
            </w:r>
            <w:r>
              <w:t xml:space="preserve"> </w:t>
            </w:r>
            <w:r>
              <w:t xml:space="preserve"> </w:t>
            </w:r>
            <w:r>
              <w:t xml:space="preserve">String</w:t>
            </w:r>
          </w:p>
        </w:tc>
        <w:tc>
          <w:tcPr/>
          <w:p>
            <w:pPr>
              <w:pStyle w:val="Compact"/>
            </w:pPr>
            <w:r>
              <w:t xml:space="preserve">Adresse de l’organisation.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Forme juridique de l’organisation. Voir le vocabulaire contrôlé :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r>
              <w:t xml:space="preserve">Boolean</w:t>
            </w:r>
          </w:p>
        </w:tc>
        <w:tc>
          <w:tcPr/>
          <w:p>
            <w:pPr>
              <w:pStyle w:val="Compact"/>
            </w:pPr>
            <w:r>
              <w:t xml:space="preserve">Indique si l’activité est rémunérée.</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la personne exerce le mandat pour le compte de la collectivité à laquelle elle appartient — donc en tant que représentante de celle-ci et non à titre privé. L’indication est indépendante du type de lien d’intérêts et se combine avec chacun d’eux : un même siège au conseil d’administration n’a pas la même portée selon que la commune y délègue une personne ou que celle-ci l’occupe à titre privé. Sont concernées avant tout les fonctions exécutives, car la représentation dans les organes des organisations concernées y va généralement de pair avec le dicastère.</w:t>
            </w:r>
          </w:p>
        </w:tc>
      </w:tr>
      <w:tr>
        <w:tc>
          <w:tcPr/>
          <w:p>
            <w:pPr>
              <w:pStyle w:val="Compact"/>
            </w:pPr>
            <w:r>
              <w:t xml:space="preserve">committee</w:t>
            </w:r>
          </w:p>
        </w:tc>
        <w:tc>
          <w:tcPr/>
          <w:p>
            <w:pPr>
              <w:pStyle w:val="Compact"/>
            </w:pPr>
            <w:r>
              <w:t xml:space="preserve">*</w:t>
            </w:r>
            <w:r>
              <w:t xml:space="preserve"> </w:t>
            </w:r>
            <w:r>
              <w:t xml:space="preserve"> </w:t>
            </w:r>
            <w:r>
              <w:t xml:space="preserve">MultilingualValue</w:t>
            </w:r>
          </w:p>
        </w:tc>
        <w:tc>
          <w:tcPr/>
          <w:p>
            <w:pPr>
              <w:pStyle w:val="Compact"/>
            </w:pPr>
            <w:r>
              <w:t xml:space="preserve">Comité ou organe au sein de l’organisation (p. ex. conseil d’administration, conseil de fondation, comité directeur, conseil de surveillance, comité consultatif, direction), avec la langue dans laquelle il est publié ; une entrée est saisie par langue.</w:t>
            </w:r>
          </w:p>
        </w:tc>
      </w:tr>
      <w:tr>
        <w:tc>
          <w:tcPr>
            <w:shd w:val="clear" w:color="auto" w:fill="F2F2F2"/>
          </w:tcPr>
          <w:p>
            <w:pPr>
              <w:pStyle w:val="Compact"/>
            </w:pPr>
            <w:r>
              <w:t xml:space="preserve">function_role</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Fonction ou rôle dans l’organisation (p. ex. président/e, vice-président/e, membre, délégué, directeur/directrice, conseiller/ère), avec la langue dans laquelle elle est publiée ; une entrée est saisie par langue.</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r>
              <w:t xml:space="preserve">Date</w:t>
            </w:r>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r>
              <w:t xml:space="preserve">Boolean</w:t>
            </w:r>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217"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r>
        <w:t xml:space="preserve">organization_uid</w:t>
      </w:r>
    </w:p>
    <w:p>
      <w:pPr>
        <w:pStyle w:val="Compact"/>
        <w:numPr>
          <w:ilvl w:val="0"/>
          <w:numId w:val="1013"/>
        </w:numPr>
      </w:pPr>
      <w:r>
        <w:t xml:space="preserve">organization_name</w:t>
      </w:r>
    </w:p>
    <w:bookmarkEnd w:id="217"/>
    <w:bookmarkEnd w:id="218"/>
    <w:bookmarkStart w:id="219"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r>
              <w:t xml:space="preserve">Container</w:t>
            </w:r>
          </w:p>
        </w:tc>
        <w:tc>
          <w:tcPr>
            <w:shd w:val="clear" w:color="auto" w:fill="F2F2F2"/>
          </w:tcPr>
          <w:p>
            <w:pPr>
              <w:pStyle w:val="Compact"/>
            </w:pPr>
            <w:r>
              <w:t xml:space="preserve">interest_links</w:t>
            </w:r>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r>
              <w:t xml:space="preserve">interest_links</w:t>
            </w:r>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19"/>
    <w:bookmarkStart w:id="229" w:name="exemples-5"/>
    <w:p>
      <w:pPr>
        <w:pStyle w:val="berschrift3"/>
      </w:pPr>
      <w:r>
        <w:t xml:space="preserve">Exemples</w:t>
      </w:r>
    </w:p>
    <w:bookmarkStart w:id="220" w:name="X155fca90d3df9b4de1734eae9c844fc32997025"/>
    <w:p>
      <w:pPr>
        <w:pStyle w:val="berschrift4"/>
      </w:pPr>
      <w:r>
        <w:t xml:space="preserve">Exemple InterestLink : Mandat au conseil de fondation avec IDE de l’organisation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Stiftungsrat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Vizepräsident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20"/>
    <w:bookmarkStart w:id="221" w:name="Xc9eb1468f5f86405f78d1a93ea32f52f6200e12"/>
    <w:p>
      <w:pPr>
        <w:pStyle w:val="berschrift4"/>
      </w:pPr>
      <w:r>
        <w:t xml:space="preserve">Exemple InterestLink : Mandat exercé comme représentation de sa propre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21"/>
    <w:bookmarkStart w:id="222" w:name="Xdd29280de4eccbf64e930f55ef4ef8e5cc3d667"/>
    <w:p>
      <w:pPr>
        <w:pStyle w:val="berschrift4"/>
      </w:pPr>
      <w:r>
        <w:t xml:space="preserve">Exemple InterestLink : Fonction publique à un autre niveau fédéral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Sindaco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2"/>
    <w:bookmarkStart w:id="223" w:name="X8a2967ec277e50b9a6cd43df1180e565f5a482c"/>
    <w:p>
      <w:pPr>
        <w:pStyle w:val="berschrift4"/>
      </w:pPr>
      <w:r>
        <w:t xml:space="preserve">Exemple InterestLink : Présidence de fédération — c’est l’interlocuteur qui décide, non la fonction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Zentralvorstand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3"/>
    <w:bookmarkStart w:id="224" w:name="X48dc45c7842f09f44e26985a8dd3c0b4d4c28fa"/>
    <w:p>
      <w:pPr>
        <w:pStyle w:val="berschrift4"/>
      </w:pPr>
      <w:r>
        <w:t xml:space="preserve">Exemple InterestLink : Lien cantonal, personne issue de la même livraison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Fondazione Gruppo Intervento Maltrattamento Infantile (GIMI), Lugano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 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4"/>
    <w:bookmarkStart w:id="225" w:name="X5fe80d516b595572b22daa1fe0e631c042a0bce"/>
    <w:p>
      <w:pPr>
        <w:pStyle w:val="berschrift4"/>
      </w:pPr>
      <w:r>
        <w:t xml:space="preserve">Exemple InterestLink : Fonction de direction pour un groupe d’intérêts</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Fribourg</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ASLOCA Freiburg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Comité</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Vorstand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Président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225"/>
    <w:bookmarkStart w:id="226" w:name="X5abd729f1e392997beab4190f23f57be9c6fed0"/>
    <w:p>
      <w:pPr>
        <w:pStyle w:val="berschrift4"/>
      </w:pPr>
      <w:r>
        <w:t xml:space="preserve">Exemple InterestLink : Société propre, dirigée à titre opérationnel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Geschäftsleitung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Geschäftsführer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26"/>
    <w:bookmarkStart w:id="227" w:name="X71b54381075bf532053591a146af583b9c659d8"/>
    <w:p>
      <w:pPr>
        <w:pStyle w:val="berschrift4"/>
      </w:pPr>
      <w:r>
        <w:t xml:space="preserve">Exemple InterestLink : La même valeur pour le siège dans un organe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public_mandate</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Vice-presidente</w:t>
      </w:r>
      <w:r>
        <w:br/>
      </w:r>
      <w:r>
        <w:rPr>
          <w:rStyle w:val="AttributeTok"/>
        </w:rPr>
        <w:t xml:space="preserve">    </w:t>
      </w:r>
      <w:r>
        <w:rPr>
          <w:rStyle w:val="FunctionTok"/>
        </w:rPr>
        <w:t xml:space="preserve">language</w:t>
      </w:r>
      <w:r>
        <w:rPr>
          <w:rStyle w:val="KeywordTok"/>
        </w:rPr>
        <w:t xml:space="preserve">:</w:t>
      </w:r>
      <w:r>
        <w:rPr>
          <w:rStyle w:val="AttributeTok"/>
        </w:rPr>
        <w:t xml:space="preserve"> it</w:t>
      </w:r>
    </w:p>
    <w:bookmarkEnd w:id="227"/>
    <w:bookmarkStart w:id="228" w:name="X1fdeb2b13b4178d038b716e3fec72b5c728656f"/>
    <w:p>
      <w:pPr>
        <w:pStyle w:val="berschrift4"/>
      </w:pPr>
      <w:r>
        <w:t xml:space="preserve">Exemple InterestLink : Mandat d’administrateur sans IDE ni indication de rémunération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X-net SA</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function_role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228"/>
    <w:bookmarkEnd w:id="229"/>
    <w:bookmarkEnd w:id="230"/>
    <w:bookmarkStart w:id="240" w:name="enum-interesttypeenum"/>
    <w:p>
      <w:pPr>
        <w:pStyle w:val="berschrift2"/>
      </w:pPr>
      <w:r>
        <w:t xml:space="preserve">Enum: InterestTypeEnum</w:t>
      </w:r>
      <w:r>
        <w:t xml:space="preserve"> </w:t>
      </w:r>
      <w:bookmarkStart w:id="231" w:name="InterestTypeEnum"/>
      <w:bookmarkEnd w:id="231"/>
    </w:p>
    <w:p>
      <w:pPr>
        <w:pStyle w:val="FirstParagraph"/>
      </w:pPr>
      <w:r>
        <w:rPr>
          <w:i/>
          <w:iCs/>
        </w:rPr>
        <w:t xml:space="preserve">Types de liens d’intérêts (conflits d’intérêts, financement politique).</w:t>
      </w:r>
    </w:p>
    <w:p>
      <w:pPr>
        <w:pStyle w:val="Textkrper"/>
      </w:pPr>
      <w:r>
        <w:t xml:space="preserve">URI:</w:t>
      </w:r>
      <w:r>
        <w:t xml:space="preserve"> </w:t>
      </w:r>
      <w:hyperlink ns1:id="rId232">
        <w:r>
          <w:rPr>
            <w:rStyle w:val="Hyperlink"/>
          </w:rPr>
          <w:t xml:space="preserve">act:InterestTypeEnum</w:t>
        </w:r>
      </w:hyperlink>
    </w:p>
    <w:bookmarkStart w:id="239"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lucrative en dehors du mandat politique : emploi salarié, activité indépendante, entreprise propre dirigée à titre opérationnel. Pour les salariés, l’employeur et la fonction sont indiqués. Question de contrôle : est-ce là que la personne gagne sa vie ?</w:t>
            </w:r>
          </w:p>
        </w:tc>
      </w:tr>
      <w:tr>
        <w:tc>
          <w:tcPr/>
          <w:p>
            <w:pPr>
              <w:pStyle w:val="Compact"/>
            </w:pPr>
          </w:p>
        </w:tc>
        <w:tc>
          <w:tcPr/>
          <w:p>
            <w:pPr>
              <w:pStyle w:val="Compact"/>
            </w:pPr>
            <w:hyperlink ns1:id="rId233">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Siège dans un organe de direction, de surveillance ou de conseil d’une organisation poursuivant un but propre — conseil d’administration, conseil de fondation, comité consultatif —, indépendamment de la forme juridique et de la rémunération. Question de contrôle : la personne co-dirige-t-elle une organisation sans y être employée ?</w:t>
            </w:r>
          </w:p>
        </w:tc>
      </w:tr>
      <w:tr>
        <w:tc>
          <w:tcPr/>
          <w:p>
            <w:pPr>
              <w:pStyle w:val="Compact"/>
            </w:pPr>
          </w:p>
        </w:tc>
        <w:tc>
          <w:tcPr/>
          <w:p>
            <w:pPr>
              <w:pStyle w:val="Compact"/>
            </w:pPr>
            <w:hyperlink ns1:id="rId234">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Fonction permanente de direction ou de conseil pour un groupe d’intérêts ou une fédération — une organisation dont le but même est la représentation d’intérêts. C’est l’interlocuteur qui est déterminant, non la fonction : lorsque le but de l’organisation est de représenter des intérêts, cette valeur s’applique même si la fonction consiste en un siège dans un organe de direction. À la différence de</w:t>
            </w:r>
            <w:r>
              <w:t xml:space="preserve"> </w:t>
            </w:r>
            <w:r>
              <w:rPr>
                <w:rStyle w:val="VerbatimChar"/>
              </w:rPr>
              <w:t xml:space="preserve">governing_body</w:t>
            </w:r>
            <w:r>
              <w:t xml:space="preserve">, elle couvre en outre les mandats de conseil permanents sans siège dans un organe.</w:t>
            </w:r>
          </w:p>
        </w:tc>
      </w:tr>
      <w:tr>
        <w:tc>
          <w:tcPr/>
          <w:p>
            <w:pPr>
              <w:pStyle w:val="Compact"/>
            </w:pPr>
          </w:p>
        </w:tc>
        <w:tc>
          <w:tcPr/>
          <w:p>
            <w:pPr>
              <w:pStyle w:val="Compact"/>
            </w:pPr>
            <w:hyperlink ns1:id="rId235">
              <w:r>
                <w:rPr>
                  <w:rStyle w:val="Hyperlink"/>
                </w:rPr>
                <w:t xml:space="preserve">act:enum/interest_type/interest_group_mandate</w:t>
              </w:r>
            </w:hyperlink>
          </w:p>
        </w:tc>
      </w:tr>
      <w:tr>
        <w:tc>
          <w:tcPr>
            <w:shd w:val="clear" w:color="auto" w:fill="F2F2F2"/>
          </w:tcPr>
          <w:p>
            <w:pPr>
              <w:pStyle w:val="Compact"/>
            </w:pPr>
            <w:r>
              <w:t xml:space="preserve">public_mandate</w:t>
            </w:r>
          </w:p>
        </w:tc>
        <w:tc>
          <w:tcPr>
            <w:shd w:val="clear" w:color="auto" w:fill="F2F2F2"/>
          </w:tcPr>
          <w:p>
            <w:pPr>
              <w:pStyle w:val="Compact"/>
            </w:pPr>
            <w:r>
              <w:t xml:space="preserve">Fonction ou siège dans la sphère publique à un autre niveau fédéral ou dans une autre collectivité : siège dans un exécutif ou un législatif communal, dans une commission scolaire ou une paroisse, de même que la participation à une commission ou à un autre organe de la Confédération, d’un canton, d’une commune ou de la coopération intercantonale et intercommunale. La plupart des registres ne distinguent pas les deux cas, raison pour laquelle le standard les réunit en une seule valeur. Le mandat pour lequel la déclaration est faite n’y figure jamais ; la question de savoir si la personne exerce le mandat comme représentante de sa propre collectivité relève de</w:t>
            </w:r>
            <w:r>
              <w:t xml:space="preserve"> </w:t>
            </w:r>
            <w:r>
              <w:rPr>
                <w:rStyle w:val="VerbatimChar"/>
              </w:rPr>
              <w:t xml:space="preserve">is_ex_officio</w:t>
            </w:r>
            <w:r>
              <w:t xml:space="preserve">.</w:t>
            </w:r>
          </w:p>
        </w:tc>
      </w:tr>
      <w:tr>
        <w:tc>
          <w:tcPr/>
          <w:p>
            <w:pPr>
              <w:pStyle w:val="Compact"/>
            </w:pPr>
          </w:p>
        </w:tc>
        <w:tc>
          <w:tcPr/>
          <w:p>
            <w:pPr>
              <w:pStyle w:val="Compact"/>
            </w:pPr>
            <w:hyperlink ns1:id="rId236">
              <w:r>
                <w:rPr>
                  <w:rStyle w:val="Hyperlink"/>
                </w:rPr>
                <w:t xml:space="preserve">act:enum/interest_type/public_mandate</w:t>
              </w:r>
            </w:hyperlink>
          </w:p>
        </w:tc>
      </w:tr>
      <w:tr>
        <w:tc>
          <w:tcPr>
            <w:shd w:val="clear" w:color="auto" w:fill="F2F2F2"/>
          </w:tcPr>
          <w:p>
            <w:pPr>
              <w:pStyle w:val="Compact"/>
            </w:pPr>
            <w:r>
              <w:t xml:space="preserve">association</w:t>
            </w:r>
          </w:p>
        </w:tc>
        <w:tc>
          <w:tcPr>
            <w:shd w:val="clear" w:color="auto" w:fill="F2F2F2"/>
          </w:tcPr>
          <w:p>
            <w:pPr>
              <w:pStyle w:val="Compact"/>
            </w:pPr>
            <w:r>
              <w:t xml:space="preserve">Simple appartenance à une association, une fédération ou une organisation d’intérêts, sans fonction dirigeante ni siège dans un organe. Lorsqu’une fonction est exercée,</w:t>
            </w:r>
            <w:r>
              <w:t xml:space="preserve"> </w:t>
            </w:r>
            <w:r>
              <w:rPr>
                <w:rStyle w:val="VerbatimChar"/>
              </w:rPr>
              <w:t xml:space="preserve">governing_body</w:t>
            </w:r>
            <w:r>
              <w:t xml:space="preserve"> </w:t>
            </w:r>
            <w:r>
              <w:t xml:space="preserve">ou</w:t>
            </w:r>
            <w:r>
              <w:t xml:space="preserve"> </w:t>
            </w:r>
            <w:r>
              <w:rPr>
                <w:rStyle w:val="VerbatimChar"/>
              </w:rPr>
              <w:t xml:space="preserve">interest_group_mandate</w:t>
            </w:r>
            <w:r>
              <w:t xml:space="preserve"> </w:t>
            </w:r>
            <w:r>
              <w:t xml:space="preserve">s’applique.</w:t>
            </w:r>
          </w:p>
        </w:tc>
      </w:tr>
      <w:tr>
        <w:tc>
          <w:tcPr/>
          <w:p>
            <w:pPr>
              <w:pStyle w:val="Compact"/>
            </w:pPr>
          </w:p>
        </w:tc>
        <w:tc>
          <w:tcPr/>
          <w:p>
            <w:pPr>
              <w:pStyle w:val="Compact"/>
            </w:pPr>
            <w:hyperlink ns1:id="rId237">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Lien d’intérêts que ne couvre aucune des autres valeurs. La désignation publiée figure dans</w:t>
            </w:r>
            <w:r>
              <w:t xml:space="preserve"> </w:t>
            </w:r>
            <w:r>
              <w:rPr>
                <w:rStyle w:val="VerbatimChar"/>
              </w:rPr>
              <w:t xml:space="preserve">function_role</w:t>
            </w:r>
            <w:r>
              <w:t xml:space="preserve"> </w:t>
            </w:r>
            <w:r>
              <w:t xml:space="preserve">ou</w:t>
            </w:r>
            <w:r>
              <w:t xml:space="preserve"> </w:t>
            </w:r>
            <w:r>
              <w:rPr>
                <w:rStyle w:val="VerbatimChar"/>
              </w:rPr>
              <w:t xml:space="preserve">organization_name</w:t>
            </w:r>
            <w:r>
              <w:t xml:space="preserve">, afin que l’entrée reste lisible.</w:t>
            </w:r>
          </w:p>
        </w:tc>
      </w:tr>
      <w:tr>
        <w:tc>
          <w:tcPr/>
          <w:p>
            <w:pPr>
              <w:pStyle w:val="Compact"/>
            </w:pPr>
          </w:p>
        </w:tc>
        <w:tc>
          <w:tcPr/>
          <w:p>
            <w:pPr>
              <w:pStyle w:val="Compact"/>
            </w:pPr>
            <w:hyperlink ns1:id="rId238">
              <w:r>
                <w:rPr>
                  <w:rStyle w:val="Hyperlink"/>
                </w:rPr>
                <w:t xml:space="preserve">act:enum/interest_type/other</w:t>
              </w:r>
            </w:hyperlink>
          </w:p>
        </w:tc>
      </w:tr>
    </w:tbl>
    <w:bookmarkEnd w:id="239"/>
    <w:bookmarkEnd w:id="240"/>
    <w:bookmarkStart w:id="282" w:name="enum-legalformenum"/>
    <w:p>
      <w:pPr>
        <w:pStyle w:val="berschrift2"/>
      </w:pPr>
      <w:r>
        <w:t xml:space="preserve">Enum: LegalFormEnum</w:t>
      </w:r>
      <w:r>
        <w:t xml:space="preserve"> </w:t>
      </w:r>
      <w:bookmarkStart w:id="241" w:name="LegalFormEnum"/>
      <w:bookmarkEnd w:id="241"/>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42">
        <w:r>
          <w:rPr>
            <w:rStyle w:val="Hyperlink"/>
          </w:rPr>
          <w:t xml:space="preserve">act:LegalFormEnum</w:t>
        </w:r>
      </w:hyperlink>
    </w:p>
    <w:bookmarkStart w:id="281"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4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4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4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4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4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4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4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5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5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5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5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5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5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5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5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5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5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6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6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6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6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6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6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6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6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6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6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7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7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7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7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7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7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7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7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7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7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80">
              <w:r>
                <w:rPr>
                  <w:rStyle w:val="Hyperlink"/>
                </w:rPr>
                <w:t xml:space="preserve">https://register.ld.admin.ch/i14y/concept/legalForm/0571</w:t>
              </w:r>
            </w:hyperlink>
          </w:p>
        </w:tc>
      </w:tr>
    </w:tbl>
    <w:bookmarkEnd w:id="281"/>
    <w:p>
      <w:r>
        <w:br w:type="page"/>
      </w:r>
    </w:p>
    <w:bookmarkEnd w:id="282"/>
    <w:bookmarkEnd w:id="283"/>
    <w:bookmarkStart w:id="331" w:name="éléments-partagés"/>
    <w:p>
      <w:pPr>
        <w:pStyle w:val="berschrift1"/>
      </w:pPr>
      <w:r>
        <w:t xml:space="preserve">Éléments partagés</w:t>
      </w:r>
    </w:p>
    <w:bookmarkStart w:id="284"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84"/>
    <w:bookmarkStart w:id="289" w:name="classe-personreference"/>
    <w:p>
      <w:pPr>
        <w:pStyle w:val="berschrift2"/>
      </w:pPr>
      <w:r>
        <w:t xml:space="preserve">Classe: PersonReference</w:t>
      </w:r>
      <w:r>
        <w:t xml:space="preserve"> </w:t>
      </w:r>
      <w:bookmarkStart w:id="285" w:name="PersonReference"/>
      <w:bookmarkEnd w:id="285"/>
    </w:p>
    <w:p>
      <w:pPr>
        <w:pStyle w:val="FirstParagraph"/>
      </w:pPr>
      <w:r>
        <w:rPr>
          <w:i/>
          <w:iCs/>
        </w:rPr>
        <w:t xml:space="preserve">Référence abrégée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87"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Nom d’affichage long facultatif comprenant les titres académiques et le nom officiel complet (par ex. « Dr. Maria Muster-Beispiel »).</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Nom de l’organe/du groupe au moment de la liaison.</w:t>
            </w:r>
          </w:p>
        </w:tc>
      </w:tr>
    </w:tbl>
    <w:bookmarkStart w:id="286"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r>
        <w:t xml:space="preserve">local_id</w:t>
      </w:r>
    </w:p>
    <w:p>
      <w:pPr>
        <w:pStyle w:val="Compact"/>
        <w:numPr>
          <w:ilvl w:val="0"/>
          <w:numId w:val="1015"/>
        </w:numPr>
      </w:pPr>
      <w:r>
        <w:t xml:space="preserve">global_uri</w:t>
      </w:r>
    </w:p>
    <w:bookmarkEnd w:id="286"/>
    <w:bookmarkEnd w:id="287"/>
    <w:bookmarkStart w:id="288"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r>
              <w:t xml:space="preserve">person_reference</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r>
              <w:t xml:space="preserve">person_reference</w:t>
            </w:r>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88"/>
    <w:bookmarkEnd w:id="289"/>
    <w:bookmarkStart w:id="294" w:name="classe-groupreference"/>
    <w:p>
      <w:pPr>
        <w:pStyle w:val="berschrift2"/>
      </w:pPr>
      <w:r>
        <w:t xml:space="preserve">Classe: GroupReference</w:t>
      </w:r>
      <w:r>
        <w:t xml:space="preserve"> </w:t>
      </w:r>
      <w:bookmarkStart w:id="290" w:name="GroupReference"/>
      <w:bookmarkEnd w:id="290"/>
    </w:p>
    <w:p>
      <w:pPr>
        <w:pStyle w:val="FirstParagraph"/>
      </w:pPr>
      <w:r>
        <w:rPr>
          <w:i/>
          <w:iCs/>
        </w:rPr>
        <w:t xml:space="preserve">Référence abrégée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92"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Abréviation (peut être multilingue).</w:t>
            </w:r>
          </w:p>
        </w:tc>
      </w:tr>
    </w:tbl>
    <w:bookmarkStart w:id="291"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r>
        <w:t xml:space="preserve">local_id</w:t>
      </w:r>
    </w:p>
    <w:p>
      <w:pPr>
        <w:pStyle w:val="Compact"/>
        <w:numPr>
          <w:ilvl w:val="0"/>
          <w:numId w:val="1016"/>
        </w:numPr>
      </w:pPr>
      <w:r>
        <w:t xml:space="preserve">global_uri</w:t>
      </w:r>
    </w:p>
    <w:bookmarkEnd w:id="291"/>
    <w:bookmarkEnd w:id="292"/>
    <w:bookmarkStart w:id="293"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r>
              <w:t xml:space="preserve">parent_groups</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r>
              <w:t xml:space="preserve">group_reference</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93"/>
    <w:bookmarkEnd w:id="294"/>
    <w:bookmarkStart w:id="297"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95">
        <w:r>
          <w:rPr>
            <w:rStyle w:val="Hyperlink"/>
          </w:rPr>
          <w:t xml:space="preserve">API de recherche de geo.admin.ch</w:t>
        </w:r>
      </w:hyperlink>
      <w:r>
        <w:t xml:space="preserve"> </w:t>
      </w:r>
      <w:r>
        <w:t xml:space="preserve">ou procéder à un rapprochement avec le</w:t>
      </w:r>
      <w:r>
        <w:t xml:space="preserve"> </w:t>
      </w:r>
      <w:hyperlink ns1:id="rId296">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97"/>
    <w:bookmarkStart w:id="305" w:name="classe-address"/>
    <w:p>
      <w:pPr>
        <w:pStyle w:val="berschrift2"/>
      </w:pPr>
      <w:r>
        <w:t xml:space="preserve">Classe: Address</w:t>
      </w:r>
      <w:r>
        <w:t xml:space="preserve"> </w:t>
      </w:r>
      <w:bookmarkStart w:id="298" w:name="Address"/>
      <w:bookmarkEnd w:id="298"/>
    </w:p>
    <w:p>
      <w:pPr>
        <w:pStyle w:val="FirstParagraph"/>
      </w:pPr>
      <w:r>
        <w:rPr>
          <w:i/>
          <w:iCs/>
        </w:rPr>
        <w:t xml:space="preserve">Une adresse avec un type (p. ex. adresse privée, adresse professionnelle) et une valeur.</w:t>
      </w:r>
    </w:p>
    <w:bookmarkStart w:id="300"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r>
              <w:t xml:space="preserve">Uriorcurie</w:t>
            </w:r>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r>
              <w:t xml:space="preserve">Integer</w:t>
            </w:r>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r>
              <w:t xml:space="preserve">String</w:t>
            </w:r>
          </w:p>
        </w:tc>
        <w:tc>
          <w:tcPr/>
          <w:p>
            <w:pPr>
              <w:pStyle w:val="Compact"/>
            </w:pPr>
            <w:r>
              <w:t xml:space="preserve">Code de pays ISO 3166-1 alpha-2.</w:t>
            </w:r>
          </w:p>
        </w:tc>
      </w:tr>
    </w:tbl>
    <w:bookmarkStart w:id="299"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r>
        <w:t xml:space="preserve">postal_locality</w:t>
      </w:r>
    </w:p>
    <w:p>
      <w:pPr>
        <w:pStyle w:val="Compact"/>
        <w:numPr>
          <w:ilvl w:val="0"/>
          <w:numId w:val="1017"/>
        </w:numPr>
      </w:pPr>
      <w:r>
        <w:t xml:space="preserve">address_uri</w:t>
      </w:r>
    </w:p>
    <w:bookmarkEnd w:id="299"/>
    <w:bookmarkEnd w:id="300"/>
    <w:bookmarkStart w:id="301" w:name="utilisations-15"/>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addresses</w:t>
            </w:r>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r>
              <w:t xml:space="preserve">addresses</w:t>
            </w:r>
          </w:p>
        </w:tc>
        <w:tc>
          <w:tcPr/>
          <w:p>
            <w:pPr>
              <w:pStyle w:val="Compact"/>
            </w:pPr>
            <w:r>
              <w:t xml:space="preserve">range</w:t>
            </w:r>
          </w:p>
        </w:tc>
        <w:tc>
          <w:tcPr/>
          <w:p>
            <w:pPr>
              <w:pStyle w:val="Compact"/>
            </w:pPr>
            <w:hyperlink w:anchor="Address">
              <w:r>
                <w:rPr>
                  <w:rStyle w:val="Hyperlink"/>
                </w:rPr>
                <w:t xml:space="preserve">Address</w:t>
              </w:r>
            </w:hyperlink>
          </w:p>
        </w:tc>
      </w:tr>
    </w:tbl>
    <w:bookmarkEnd w:id="301"/>
    <w:bookmarkStart w:id="304" w:name="exemples-6"/>
    <w:p>
      <w:pPr>
        <w:pStyle w:val="berschrift3"/>
      </w:pPr>
      <w:r>
        <w:t xml:space="preserve">Exemples</w:t>
      </w:r>
    </w:p>
    <w:bookmarkStart w:id="302" w:name="X406da19ad1b6f8d51add12db1683725b35ea51d"/>
    <w:p>
      <w:pPr>
        <w:pStyle w:val="berschrift4"/>
      </w:pPr>
      <w:r>
        <w:t xml:space="preserve">Exemple Address :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302"/>
    <w:bookmarkStart w:id="303" w:name="X0bf7cec1eb97924cb6f7dfb1e9c64f7d8e19da0"/>
    <w:p>
      <w:pPr>
        <w:pStyle w:val="berschrift4"/>
      </w:pPr>
      <w:r>
        <w:t xml:space="preserve">Exemple Address :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303"/>
    <w:bookmarkEnd w:id="304"/>
    <w:bookmarkEnd w:id="305"/>
    <w:bookmarkStart w:id="309" w:name="enum-addresstypeenum"/>
    <w:p>
      <w:pPr>
        <w:pStyle w:val="berschrift2"/>
      </w:pPr>
      <w:r>
        <w:t xml:space="preserve">Enum: AddressTypeEnum</w:t>
      </w:r>
      <w:r>
        <w:t xml:space="preserve"> </w:t>
      </w:r>
      <w:bookmarkStart w:id="306" w:name="AddressTypeEnum"/>
      <w:bookmarkEnd w:id="306"/>
    </w:p>
    <w:p>
      <w:pPr>
        <w:pStyle w:val="FirstParagraph"/>
      </w:pPr>
      <w:r>
        <w:rPr>
          <w:i/>
          <w:iCs/>
        </w:rPr>
        <w:t xml:space="preserve">Types d’adresses.</w:t>
      </w:r>
    </w:p>
    <w:p>
      <w:pPr>
        <w:pStyle w:val="Textkrper"/>
      </w:pPr>
      <w:r>
        <w:t xml:space="preserve">URI:</w:t>
      </w:r>
      <w:r>
        <w:t xml:space="preserve"> </w:t>
      </w:r>
      <w:hyperlink ns1:id="rId307">
        <w:r>
          <w:rPr>
            <w:rStyle w:val="Hyperlink"/>
          </w:rPr>
          <w:t xml:space="preserve">act:AddressTypeEnum</w:t>
        </w:r>
      </w:hyperlink>
    </w:p>
    <w:bookmarkStart w:id="308" w:name="valeurs-admissibles-7"/>
    <w:p>
      <w:pPr>
        <w:pStyle w:val="berschrift3"/>
      </w:pPr>
      <w:r>
        <w:t xml:space="preserve">Valeurs admissibles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308"/>
    <w:bookmarkEnd w:id="309"/>
    <w:bookmarkStart w:id="313" w:name="classe-contact"/>
    <w:p>
      <w:pPr>
        <w:pStyle w:val="berschrift2"/>
      </w:pPr>
      <w:r>
        <w:t xml:space="preserve">Classe: Contact</w:t>
      </w:r>
      <w:r>
        <w:t xml:space="preserve"> </w:t>
      </w:r>
      <w:bookmarkStart w:id="310" w:name="Contact"/>
      <w:bookmarkEnd w:id="310"/>
    </w:p>
    <w:p>
      <w:pPr>
        <w:pStyle w:val="FirstParagraph"/>
      </w:pPr>
      <w:r>
        <w:rPr>
          <w:i/>
          <w:iCs/>
        </w:rPr>
        <w:t xml:space="preserve">Informations de contact d’une personne indiquant un type (p. ex. e-mail, LinkedIn) et une valeur.</w:t>
      </w:r>
    </w:p>
    <w:bookmarkStart w:id="311"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r>
              <w:t xml:space="preserve">ContactTypeEnum</w:t>
            </w:r>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r>
              <w:t xml:space="preserve">String</w:t>
            </w:r>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Attribuer un label à une information structurée (par ex. nom d’affichage, poste, etc.).</w:t>
            </w:r>
          </w:p>
        </w:tc>
      </w:tr>
    </w:tbl>
    <w:bookmarkEnd w:id="311"/>
    <w:bookmarkStart w:id="312" w:name="utilisations-16"/>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Utilisé par</w:t>
            </w:r>
          </w:p>
        </w:tc>
        <w:tc>
          <w:tcPr/>
          <w:p>
            <w:pPr>
              <w:pStyle w:val="Compact"/>
            </w:pPr>
            <w:r>
              <w:t xml:space="preserve">Dans le slot</w:t>
            </w:r>
          </w:p>
        </w:tc>
        <w:tc>
          <w:tcPr/>
          <w:p>
            <w:pPr>
              <w:pStyle w:val="Compact"/>
            </w:pPr>
            <w:r>
              <w:t xml:space="preserve">Rôle</w:t>
            </w:r>
          </w:p>
        </w:tc>
        <w:tc>
          <w:tcPr/>
          <w:p>
            <w:pPr>
              <w:pStyle w:val="Compact"/>
            </w:pPr>
            <w:r>
              <w:t xml:space="preserve">Élément</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r>
              <w:t xml:space="preserve">contacts</w:t>
            </w:r>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r>
              <w:t xml:space="preserve">contacts</w:t>
            </w:r>
          </w:p>
        </w:tc>
        <w:tc>
          <w:tcPr/>
          <w:p>
            <w:pPr>
              <w:pStyle w:val="Compact"/>
            </w:pPr>
            <w:r>
              <w:t xml:space="preserve">range</w:t>
            </w:r>
          </w:p>
        </w:tc>
        <w:tc>
          <w:tcPr/>
          <w:p>
            <w:pPr>
              <w:pStyle w:val="Compact"/>
            </w:pPr>
            <w:hyperlink w:anchor="Contact">
              <w:r>
                <w:rPr>
                  <w:rStyle w:val="Hyperlink"/>
                </w:rPr>
                <w:t xml:space="preserve">Contact</w:t>
              </w:r>
            </w:hyperlink>
          </w:p>
        </w:tc>
      </w:tr>
    </w:tbl>
    <w:bookmarkEnd w:id="312"/>
    <w:bookmarkEnd w:id="313"/>
    <w:bookmarkStart w:id="314" w:name="classes-mixin"/>
    <w:p>
      <w:pPr>
        <w:pStyle w:val="berschrift2"/>
      </w:pPr>
      <w:r>
        <w:t xml:space="preserve">Classes mixin</w:t>
      </w:r>
    </w:p>
    <w:p>
      <w:pPr>
        <w:pStyle w:val="FirstParagraph"/>
      </w:pPr>
      <w:r>
        <w:t xml:space="preserve">Quatre classes ne portent pas de données propres : elles regroupent des slots qui se présentent de la même manière dans de nombreuses classes — l’identification d’une entité, l’identification d’une référence, la validité temporelle ainsi que les dates de création et de modification. Elles proviennent du schéma commun du groupe spécialisé (eCH-0292) et sont intégrées par les standards du groupe, afin que les mêmes indications portent partout le même nom et fonctionnent de la même façon.</w:t>
      </w:r>
    </w:p>
    <w:p>
      <w:pPr>
        <w:pStyle w:val="Textkrper"/>
      </w:pPr>
      <w:r>
        <w:t xml:space="preserve">Un mixin n’est pas une superclasse : aucune instance d’une classe mixin n’est créée et rien n’en apparaît dans les données. Les tableaux d’attributs des classes énumèrent donc individuellement les slots hérités et en signalent la provenance par la mention « Héritage » — les quatre sections suivantes expliquent ce qui se cache derrière cette indication.</w:t>
      </w:r>
    </w:p>
    <w:bookmarkEnd w:id="314"/>
    <w:bookmarkStart w:id="318" w:name="classe-hasidentification"/>
    <w:p>
      <w:pPr>
        <w:pStyle w:val="berschrift2"/>
      </w:pPr>
      <w:r>
        <w:t xml:space="preserve">Classe: HasIdentification</w:t>
      </w:r>
      <w:r>
        <w:t xml:space="preserve"> </w:t>
      </w:r>
      <w:bookmarkStart w:id="315" w:name="HasIdentification"/>
      <w:bookmarkEnd w:id="315"/>
    </w:p>
    <w:p>
      <w:pPr>
        <w:pStyle w:val="FirstParagraph"/>
      </w:pPr>
      <w:r>
        <w:rPr>
          <w:i/>
          <w:iCs/>
        </w:rPr>
        <w:t xml:space="preserve">Une classe mixin qui fournit des slots pour l’identification d’une entité. Elle est utilisée pour les entités identifiées en propre ; leur</w:t>
      </w:r>
      <w:r>
        <w:rPr>
          <w:i/>
          <w:iCs/>
        </w:rPr>
        <w:t xml:space="preserve"> </w:t>
      </w:r>
      <w:r>
        <w:rPr>
          <w:rStyle w:val="VerbatimChar"/>
          <w:i/>
          <w:iCs/>
        </w:rPr>
        <w:t xml:space="preserve">global_uri</w:t>
      </w:r>
      <w:r>
        <w:rPr>
          <w:i/>
          <w:iCs/>
        </w:rPr>
        <w:t xml:space="preserve"> </w:t>
      </w:r>
      <w:r>
        <w:rPr>
          <w:i/>
          <w:iCs/>
        </w:rPr>
        <w:t xml:space="preserve">constitue l’identifiant et est donc obligatoire.</w:t>
      </w:r>
    </w:p>
    <w:bookmarkStart w:id="316" w:name="attributs-17"/>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Par exemple, un UUID issu du système d’information du conseil.</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Une URI unique et globalement valide pour l’entité.</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par ex. http://www.wikidata.org/entity/Q813067 pour Beat Jans.</w:t>
            </w:r>
          </w:p>
        </w:tc>
      </w:tr>
    </w:tbl>
    <w:bookmarkEnd w:id="316"/>
    <w:bookmarkStart w:id="317" w:name="utilisation-de-mixin"/>
    <w:p>
      <w:pPr>
        <w:pStyle w:val="berschrift3"/>
      </w:pPr>
      <w:r>
        <w:t xml:space="preserve">Utilisation de mixin</w:t>
      </w:r>
    </w:p>
    <w:p>
      <w:pPr>
        <w:pStyle w:val="FirstParagraph"/>
      </w:pPr>
      <w:r>
        <w:t xml:space="preserve">Container,</w:t>
      </w:r>
      <w:r>
        <w:t xml:space="preserve"> </w:t>
      </w: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ElectoralDistrict">
        <w:r>
          <w:rPr>
            <w:rStyle w:val="Hyperlink"/>
          </w:rPr>
          <w:t xml:space="preserve">ElectoralDistrict</w:t>
        </w:r>
      </w:hyperlink>
    </w:p>
    <w:bookmarkEnd w:id="317"/>
    <w:bookmarkEnd w:id="318"/>
    <w:bookmarkStart w:id="322" w:name="classe-hasreferenceidentification"/>
    <w:p>
      <w:pPr>
        <w:pStyle w:val="berschrift2"/>
      </w:pPr>
      <w:r>
        <w:t xml:space="preserve">Classe: HasReferenceIdentification</w:t>
      </w:r>
      <w:r>
        <w:t xml:space="preserve"> </w:t>
      </w:r>
      <w:bookmarkStart w:id="319" w:name="HasReferenceIdentification"/>
      <w:bookmarkEnd w:id="319"/>
    </w:p>
    <w:p>
      <w:pPr>
        <w:pStyle w:val="FirstParagraph"/>
      </w:pPr>
      <w:r>
        <w:rPr>
          <w:i/>
          <w:iCs/>
        </w:rPr>
        <w:t xml:space="preserve">Une classe mixin qui fournit les slots par lesquels une référence désigne l’entité vers laquelle elle pointe. Contrairement à</w:t>
      </w:r>
      <w:r>
        <w:rPr>
          <w:i/>
          <w:iCs/>
        </w:rPr>
        <w:t xml:space="preserve"> </w:t>
      </w:r>
      <w:r>
        <w:rPr>
          <w:rStyle w:val="VerbatimChar"/>
          <w:i/>
          <w:iCs/>
        </w:rPr>
        <w:t xml:space="preserve">HasIdentification</w:t>
      </w:r>
      <w:r>
        <w:rPr>
          <w:i/>
          <w:iCs/>
        </w:rPr>
        <w:t xml:space="preserve">, elle n’identifie pas l’objet référençant lui-même ; c’est pourquoi</w:t>
      </w:r>
      <w:r>
        <w:rPr>
          <w:i/>
          <w:iCs/>
        </w:rPr>
        <w:t xml:space="preserve"> </w:t>
      </w:r>
      <w:r>
        <w:rPr>
          <w:rStyle w:val="VerbatimChar"/>
          <w:i/>
          <w:iCs/>
        </w:rPr>
        <w:t xml:space="preserve">global_uri</w:t>
      </w:r>
      <w:r>
        <w:rPr>
          <w:i/>
          <w:iCs/>
        </w:rPr>
        <w:t xml:space="preserve"> </w:t>
      </w:r>
      <w:r>
        <w:rPr>
          <w:i/>
          <w:iCs/>
        </w:rPr>
        <w:t xml:space="preserve">n’y est ni identifiant ni obligatoire : un système qui ne dispose que de l’identifiant local de l’entité référencée indique celui-ci. Une classe de référence utilisant ce mixin doit exiger au moins l’un des deux.</w:t>
      </w:r>
    </w:p>
    <w:bookmarkStart w:id="320" w:name="attributs-18"/>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Identifiant local de l’entité référencée. Il est résolu au sein de la même livraison.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L’URI unique et globalement valide de l’entité référencée. Contrairement à un local_id, elle est également résoluble au-delà de la livraison.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Une URI qui renvoie à une entité Wikidata, p. ex. http://www.wikidata.org/entity/Q813067 pour Beat Jans.</w:t>
            </w:r>
          </w:p>
        </w:tc>
      </w:tr>
    </w:tbl>
    <w:bookmarkEnd w:id="320"/>
    <w:bookmarkStart w:id="321" w:name="utilisation-de-mixin-1"/>
    <w:p>
      <w:pPr>
        <w:pStyle w:val="berschrift3"/>
      </w:pPr>
      <w:r>
        <w:t xml:space="preserve">Utilisation de mixin</w:t>
      </w:r>
    </w:p>
    <w:p>
      <w:pPr>
        <w:pStyle w:val="FirstParagraph"/>
      </w:pPr>
      <w:hyperlink w:anchor="PersonReference">
        <w:r>
          <w:rPr>
            <w:rStyle w:val="Hyperlink"/>
          </w:rPr>
          <w:t xml:space="preserve">PersonReference</w:t>
        </w:r>
      </w:hyperlink>
      <w:r>
        <w:t xml:space="preserve">,</w:t>
      </w:r>
      <w:r>
        <w:t xml:space="preserve"> </w:t>
      </w:r>
      <w:hyperlink w:anchor="GroupReference">
        <w:r>
          <w:rPr>
            <w:rStyle w:val="Hyperlink"/>
          </w:rPr>
          <w:t xml:space="preserve">GroupReference</w:t>
        </w:r>
      </w:hyperlink>
    </w:p>
    <w:bookmarkEnd w:id="321"/>
    <w:bookmarkEnd w:id="322"/>
    <w:bookmarkStart w:id="326" w:name="classe-hastemporalvalidity"/>
    <w:p>
      <w:pPr>
        <w:pStyle w:val="berschrift2"/>
      </w:pPr>
      <w:r>
        <w:t xml:space="preserve">Classe: HasTemporalValidity</w:t>
      </w:r>
      <w:r>
        <w:t xml:space="preserve"> </w:t>
      </w:r>
      <w:bookmarkStart w:id="323" w:name="HasTemporalValidity"/>
      <w:bookmarkEnd w:id="323"/>
    </w:p>
    <w:p>
      <w:pPr>
        <w:pStyle w:val="FirstParagraph"/>
      </w:pPr>
      <w:r>
        <w:rPr>
          <w:i/>
          <w:iCs/>
        </w:rPr>
        <w:t xml:space="preserve">Une classe mixin qui fournit des slots pour modéliser la validité temporelle d’une information (et non d’un événement).</w:t>
      </w:r>
    </w:p>
    <w:bookmarkStart w:id="324" w:name="attributs-19"/>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partir de laquelle l’information est valable.</w:t>
            </w:r>
          </w:p>
        </w:tc>
      </w:tr>
      <w:tr>
        <w:tc>
          <w:tcPr/>
          <w:p>
            <w:pPr>
              <w:pStyle w:val="Compact"/>
            </w:pPr>
            <w:r>
              <w:t xml:space="preserve">valid_through</w:t>
            </w:r>
          </w:p>
        </w:tc>
        <w:tc>
          <w:tcPr/>
          <w:p>
            <w:pPr>
              <w:pStyle w:val="Compact"/>
            </w:pPr>
            <w:r>
              <w:t xml:space="preserve">0..1</w:t>
            </w:r>
            <w:r>
              <w:t xml:space="preserve"> </w:t>
            </w:r>
            <w:r>
              <w:t xml:space="preserve"> </w:t>
            </w:r>
            <w:r>
              <w:t xml:space="preserve">Date</w:t>
            </w:r>
          </w:p>
        </w:tc>
        <w:tc>
          <w:tcPr/>
          <w:p>
            <w:pPr>
              <w:pStyle w:val="Compact"/>
            </w:pPr>
            <w:r>
              <w:t xml:space="preserve">La date jusqu’à laquelle l’information est valable, incluse.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Indique si l’information est actuellement valable. Peut être utile lorsque cette information est explicitement disponible.</w:t>
            </w:r>
          </w:p>
        </w:tc>
      </w:tr>
    </w:tbl>
    <w:bookmarkEnd w:id="324"/>
    <w:bookmarkStart w:id="325" w:name="utilisation-de-mixin-2"/>
    <w:p>
      <w:pPr>
        <w:pStyle w:val="berschrift3"/>
      </w:pPr>
      <w:r>
        <w:t xml:space="preserve">Utilisation de mixin</w:t>
      </w:r>
    </w:p>
    <w:p>
      <w:pPr>
        <w:pStyle w:val="FirstParagraph"/>
      </w:pP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r>
        <w:t xml:space="preserve">,</w:t>
      </w:r>
      <w:r>
        <w:t xml:space="preserve"> </w:t>
      </w:r>
      <w:hyperlink w:anchor="Name">
        <w:r>
          <w:rPr>
            <w:rStyle w:val="Hyperlink"/>
          </w:rPr>
          <w:t xml:space="preserve">Name</w:t>
        </w:r>
      </w:hyperlink>
      <w:r>
        <w:t xml:space="preserve">,</w:t>
      </w:r>
      <w:r>
        <w:t xml:space="preserve"> </w:t>
      </w:r>
      <w:hyperlink w:anchor="Citizenship">
        <w:r>
          <w:rPr>
            <w:rStyle w:val="Hyperlink"/>
          </w:rPr>
          <w:t xml:space="preserve">Citizenship</w:t>
        </w:r>
      </w:hyperlink>
      <w:r>
        <w:t xml:space="preserve">,</w:t>
      </w:r>
      <w:r>
        <w:t xml:space="preserve"> </w:t>
      </w:r>
      <w:hyperlink w:anchor="Gender">
        <w:r>
          <w:rPr>
            <w:rStyle w:val="Hyperlink"/>
          </w:rPr>
          <w:t xml:space="preserve">Gender</w:t>
        </w:r>
      </w:hyperlink>
      <w:r>
        <w:t xml:space="preserve">,</w:t>
      </w:r>
      <w:r>
        <w:t xml:space="preserve"> </w:t>
      </w:r>
      <w:hyperlink w:anchor="Occupation">
        <w:r>
          <w:rPr>
            <w:rStyle w:val="Hyperlink"/>
          </w:rPr>
          <w:t xml:space="preserve">Occupation</w:t>
        </w:r>
      </w:hyperlink>
      <w:r>
        <w:t xml:space="preserve">,</w:t>
      </w:r>
      <w:r>
        <w:t xml:space="preserve"> </w:t>
      </w:r>
      <w:hyperlink w:anchor="Training">
        <w:r>
          <w:rPr>
            <w:rStyle w:val="Hyperlink"/>
          </w:rPr>
          <w:t xml:space="preserve">Training</w:t>
        </w:r>
      </w:hyperlink>
    </w:p>
    <w:bookmarkEnd w:id="325"/>
    <w:bookmarkEnd w:id="326"/>
    <w:bookmarkStart w:id="330" w:name="classe-hascreationmodificationdates"/>
    <w:p>
      <w:pPr>
        <w:pStyle w:val="berschrift2"/>
      </w:pPr>
      <w:r>
        <w:t xml:space="preserve">Classe: HasCreationModificationDates</w:t>
      </w:r>
      <w:r>
        <w:t xml:space="preserve"> </w:t>
      </w:r>
      <w:bookmarkStart w:id="327" w:name="HasCreationModificationDates"/>
      <w:bookmarkEnd w:id="327"/>
    </w:p>
    <w:p>
      <w:pPr>
        <w:pStyle w:val="FirstParagraph"/>
      </w:pPr>
      <w:r>
        <w:rPr>
          <w:i/>
          <w:iCs/>
        </w:rPr>
        <w:t xml:space="preserve">Une classe mixin qui fournit des slots pour modéliser les dates de création et de modification d’une entité.</w:t>
      </w:r>
    </w:p>
    <w:bookmarkStart w:id="328" w:name="attributs-20"/>
    <w:p>
      <w:pPr>
        <w:pStyle w:val="berschrift3"/>
      </w:pPr>
      <w:r>
        <w:t xml:space="preserve">Attributs</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créée.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créée.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La date à laquelle une entité a été modifiée pour la dernière fois.</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La date et l’heure auxquelles une entité a été modifiée pour la dernière fois.</w:t>
            </w:r>
          </w:p>
        </w:tc>
      </w:tr>
    </w:tbl>
    <w:bookmarkEnd w:id="328"/>
    <w:bookmarkStart w:id="329" w:name="utilisation-de-mixin-3"/>
    <w:p>
      <w:pPr>
        <w:pStyle w:val="berschrift3"/>
      </w:pPr>
      <w:r>
        <w:t xml:space="preserve">Utilisation de mixin</w:t>
      </w:r>
    </w:p>
    <w:p>
      <w:pPr>
        <w:pStyle w:val="FirstParagraph"/>
      </w:pPr>
      <w:hyperlink w:anchor="Person">
        <w:r>
          <w:rPr>
            <w:rStyle w:val="Hyperlink"/>
          </w:rPr>
          <w:t xml:space="preserve">Person</w:t>
        </w:r>
      </w:hyperlink>
      <w:r>
        <w:t xml:space="preserve">,</w:t>
      </w:r>
      <w:r>
        <w:t xml:space="preserve"> </w:t>
      </w:r>
      <w:hyperlink w:anchor="Group">
        <w:r>
          <w:rPr>
            <w:rStyle w:val="Hyperlink"/>
          </w:rPr>
          <w:t xml:space="preserve">Group</w:t>
        </w:r>
      </w:hyperlink>
      <w:r>
        <w:t xml:space="preserve">,</w:t>
      </w:r>
      <w:r>
        <w:t xml:space="preserve"> </w:t>
      </w:r>
      <w:hyperlink w:anchor="Membership">
        <w:r>
          <w:rPr>
            <w:rStyle w:val="Hyperlink"/>
          </w:rPr>
          <w:t xml:space="preserve">Membership</w:t>
        </w:r>
      </w:hyperlink>
      <w:r>
        <w:t xml:space="preserve">,</w:t>
      </w:r>
      <w:r>
        <w:t xml:space="preserve"> </w:t>
      </w:r>
      <w:hyperlink w:anchor="InterestLink">
        <w:r>
          <w:rPr>
            <w:rStyle w:val="Hyperlink"/>
          </w:rPr>
          <w:t xml:space="preserve">InterestLink</w:t>
        </w:r>
      </w:hyperlink>
    </w:p>
    <w:bookmarkEnd w:id="329"/>
    <w:p>
      <w:r>
        <w:br w:type="page"/>
      </w:r>
    </w:p>
    <w:bookmarkEnd w:id="330"/>
    <w:bookmarkEnd w:id="331"/>
    <w:bookmarkStart w:id="347" w:name="annexe-a-références-et-bibliographie"/>
    <w:p>
      <w:pPr>
        <w:pStyle w:val="berschrift1"/>
      </w:pPr>
      <w:r>
        <w:t xml:space="preserve">Annexe A – Références et bibliographie</w:t>
      </w:r>
    </w:p>
    <w:p>
      <w:pPr>
        <w:pStyle w:val="FirstParagraph"/>
      </w:pPr>
      <w:r>
        <w:t xml:space="preserve">Lorsqu’une version est indiquée, il s’agit de celle sur la base de laquelle la présente norme a été élaborée.</w:t>
      </w:r>
    </w:p>
    <w:bookmarkStart w:id="337" w:name="X7396f4b7d2ae2a39c8f1ae22fee601846a8c38e"/>
    <w:p>
      <w:pPr>
        <w:pStyle w:val="berschrift2"/>
      </w:pPr>
      <w:r>
        <w:t xml:space="preserve">Normes du groupe spécialisé « Affaires politiques »</w:t>
      </w:r>
    </w:p>
    <w:p>
      <w:pPr>
        <w:pStyle w:val="FirstParagraph"/>
      </w:pPr>
      <w:r>
        <w:t xml:space="preserve">Les normes du groupe spécialisé sont élaborées conjointement et se renvoient les unes aux autres. Elles portent actuellement toutes le statut « In Arbeit » (en cours d’élaboration ; état au 10 août 2026) ; aucune version n’est donc indiquée.</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 Métaprocessus relatifs aux affaires politiques – éléments de données communs :</w:t>
            </w:r>
            <w:r>
              <w:t xml:space="preserve"> </w:t>
            </w:r>
            <w:hyperlink ns1:id="rId332">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w:t>
            </w:r>
            <w:r>
              <w:t xml:space="preserve"> </w:t>
            </w:r>
            <w:hyperlink ns1:id="rId333">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w:t>
            </w:r>
            <w:r>
              <w:t xml:space="preserve"> </w:t>
            </w:r>
            <w:hyperlink ns1:id="rId334">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w:t>
            </w:r>
            <w:r>
              <w:t xml:space="preserve"> </w:t>
            </w:r>
            <w:hyperlink ns1:id="rId335">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w:t>
            </w:r>
            <w:r>
              <w:t xml:space="preserve"> </w:t>
            </w:r>
            <w:hyperlink ns1:id="rId336">
              <w:r>
                <w:rPr>
                  <w:rStyle w:val="Hyperlink"/>
                </w:rPr>
                <w:t xml:space="preserve">https://www.ech.ch/de/ech/ech-0297</w:t>
              </w:r>
            </w:hyperlink>
          </w:p>
        </w:tc>
      </w:tr>
    </w:tbl>
    <w:bookmarkEnd w:id="337"/>
    <w:bookmarkStart w:id="340"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33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339">
              <w:r>
                <w:rPr>
                  <w:rStyle w:val="Hyperlink"/>
                </w:rPr>
                <w:t xml:space="preserve">https://www.ech.ch/de/ech/ech-0108/6.0.0</w:t>
              </w:r>
            </w:hyperlink>
          </w:p>
        </w:tc>
      </w:tr>
    </w:tbl>
    <w:bookmarkEnd w:id="340"/>
    <w:bookmarkStart w:id="346"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341">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342">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343">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344">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345">
              <w:r>
                <w:rPr>
                  <w:rStyle w:val="Hyperlink"/>
                </w:rPr>
                <w:t xml:space="preserve">https://linkml.io</w:t>
              </w:r>
            </w:hyperlink>
          </w:p>
        </w:tc>
      </w:tr>
    </w:tbl>
    <w:bookmarkEnd w:id="346"/>
    <w:bookmarkEnd w:id="347"/>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2026-08-10</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2"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5"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4"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338" Target="https://www.ech.ch/de/ech/ech-0011/9.0.0" TargetMode="External" /><Relationship Type="http://schemas.openxmlformats.org/officeDocument/2006/relationships/hyperlink" Id="rId339"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341"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fr/repertoire-officiel-des-adresses-de-batiments" TargetMode="External" /><Relationship Type="http://schemas.openxmlformats.org/officeDocument/2006/relationships/hyperlink" Id="rId343"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1" Target="act:enum/group_type/assembly" TargetMode="External" /><Relationship Type="http://schemas.openxmlformats.org/officeDocument/2006/relationships/hyperlink" Id="rId177" Target="act:enum/group_type/association" TargetMode="External" /><Relationship Type="http://schemas.openxmlformats.org/officeDocument/2006/relationships/hyperlink" Id="rId164" Target="act:enum/group_type/committee" TargetMode="External" /><Relationship Type="http://schemas.openxmlformats.org/officeDocument/2006/relationships/hyperlink" Id="rId165" Target="act:enum/group_type/committee_ad_hoc" TargetMode="External" /><Relationship Type="http://schemas.openxmlformats.org/officeDocument/2006/relationships/hyperlink" Id="rId172" Target="act:enum/group_type/committee_extraparliamentary" TargetMode="External" /><Relationship Type="http://schemas.openxmlformats.org/officeDocument/2006/relationships/hyperlink" Id="rId167" Target="act:enum/group_type/council_bureau" TargetMode="External" /><Relationship Type="http://schemas.openxmlformats.org/officeDocument/2006/relationships/hyperlink" Id="rId169" Target="act:enum/group_type/council_executive" TargetMode="External" /><Relationship Type="http://schemas.openxmlformats.org/officeDocument/2006/relationships/hyperlink" Id="rId162" Target="act:enum/group_type/council_legislative" TargetMode="External" /><Relationship Type="http://schemas.openxmlformats.org/officeDocument/2006/relationships/hyperlink" Id="rId168" Target="act:enum/group_type/council_presidency" TargetMode="External" /><Relationship Type="http://schemas.openxmlformats.org/officeDocument/2006/relationships/hyperlink" Id="rId175" Target="act:enum/group_type/council_secretariat" TargetMode="External" /><Relationship Type="http://schemas.openxmlformats.org/officeDocument/2006/relationships/hyperlink" Id="rId176" Target="act:enum/group_type/court" TargetMode="External" /><Relationship Type="http://schemas.openxmlformats.org/officeDocument/2006/relationships/hyperlink" Id="rId163" Target="act:enum/group_type/delegation" TargetMode="External" /><Relationship Type="http://schemas.openxmlformats.org/officeDocument/2006/relationships/hyperlink" Id="rId170" Target="act:enum/group_type/department" TargetMode="External" /><Relationship Type="http://schemas.openxmlformats.org/officeDocument/2006/relationships/hyperlink" Id="rId173" Target="act:enum/group_type/interest_group" TargetMode="External" /><Relationship Type="http://schemas.openxmlformats.org/officeDocument/2006/relationships/hyperlink" Id="rId159" Target="act:enum/group_type/list" TargetMode="External" /><Relationship Type="http://schemas.openxmlformats.org/officeDocument/2006/relationships/hyperlink" Id="rId171" Target="act:enum/group_type/office" TargetMode="External" /><Relationship Type="http://schemas.openxmlformats.org/officeDocument/2006/relationships/hyperlink" Id="rId180" Target="act:enum/group_type/other" TargetMode="External" /><Relationship Type="http://schemas.openxmlformats.org/officeDocument/2006/relationships/hyperlink" Id="rId174" Target="act:enum/group_type/oversight_body" TargetMode="External" /><Relationship Type="http://schemas.openxmlformats.org/officeDocument/2006/relationships/hyperlink" Id="rId166" Target="act:enum/group_type/parliamentary_group" TargetMode="External" /><Relationship Type="http://schemas.openxmlformats.org/officeDocument/2006/relationships/hyperlink" Id="rId158" Target="act:enum/group_type/party" TargetMode="External" /><Relationship Type="http://schemas.openxmlformats.org/officeDocument/2006/relationships/hyperlink" Id="rId178" Target="act:enum/group_type/petition_carrier" TargetMode="External" /><Relationship Type="http://schemas.openxmlformats.org/officeDocument/2006/relationships/hyperlink" Id="rId179" Target="act:enum/group_type/university" TargetMode="External" /><Relationship Type="http://schemas.openxmlformats.org/officeDocument/2006/relationships/hyperlink" Id="rId160" Target="act:enum/group_type/workgroup" TargetMode="External" /><Relationship Type="http://schemas.openxmlformats.org/officeDocument/2006/relationships/hyperlink" Id="rId237" Target="act:enum/interest_type/association" TargetMode="External" /><Relationship Type="http://schemas.openxmlformats.org/officeDocument/2006/relationships/hyperlink" Id="rId234" Target="act:enum/interest_type/governing_body" TargetMode="External" /><Relationship Type="http://schemas.openxmlformats.org/officeDocument/2006/relationships/hyperlink" Id="rId235" Target="act:enum/interest_type/interest_group_mandate" TargetMode="External" /><Relationship Type="http://schemas.openxmlformats.org/officeDocument/2006/relationships/hyperlink" Id="rId238" Target="act:enum/interest_type/other" TargetMode="External" /><Relationship Type="http://schemas.openxmlformats.org/officeDocument/2006/relationships/hyperlink" Id="rId233" Target="act:enum/interest_type/professional_activity" TargetMode="External" /><Relationship Type="http://schemas.openxmlformats.org/officeDocument/2006/relationships/hyperlink" Id="rId236" Target="act:enum/interest_type/public_mandate" TargetMode="External" /><Relationship Type="http://schemas.openxmlformats.org/officeDocument/2006/relationships/hyperlink" Id="rId295"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42" Target="https://ld.admin.ch" TargetMode="External" /><Relationship Type="http://schemas.openxmlformats.org/officeDocument/2006/relationships/hyperlink" Id="rId307" Target="https://ld.ech.ch/schema/0294/actors/AddressTypeEnum" TargetMode="External" /><Relationship Type="http://schemas.openxmlformats.org/officeDocument/2006/relationships/hyperlink" Id="rId72" Target="https://ld.ech.ch/schema/0294/actors/GenderCodeEnum" TargetMode="External" /><Relationship Type="http://schemas.openxmlformats.org/officeDocument/2006/relationships/hyperlink" Id="rId157" Target="https://ld.ech.ch/schema/0294/actors/GroupTypeEnum" TargetMode="External" /><Relationship Type="http://schemas.openxmlformats.org/officeDocument/2006/relationships/hyperlink" Id="rId232" Target="https://ld.ech.ch/schema/0294/actors/InterestTypeEnum" TargetMode="External" /><Relationship Type="http://schemas.openxmlformats.org/officeDocument/2006/relationships/hyperlink" Id="rId242" Target="https://ld.ech.ch/schema/0294/actors/LegalFormEnum" TargetMode="External" /><Relationship Type="http://schemas.openxmlformats.org/officeDocument/2006/relationships/hyperlink" Id="rId45" Target="https://ld.ech.ch/schema/0294/actors/NameTypeEnum" TargetMode="External" /><Relationship Type="http://schemas.openxmlformats.org/officeDocument/2006/relationships/hyperlink" Id="rId204" Target="https://ld.ech.ch/schema/0294/actors/RoleEnum" TargetMode="External" /><Relationship Type="http://schemas.openxmlformats.org/officeDocument/2006/relationships/hyperlink" Id="rId91" Target="https://ld.ech.ch/schema/0294/actors/TrainingTypeEnum" TargetMode="External" /><Relationship Type="http://schemas.openxmlformats.org/officeDocument/2006/relationships/hyperlink" Id="rId345" Target="https://linkml.io" TargetMode="External" /><Relationship Type="http://schemas.openxmlformats.org/officeDocument/2006/relationships/hyperlink" Id="rId92" Target="https://register.ld.admin.ch/i14y/concept/LEVEL_EDUC/10" TargetMode="External" /><Relationship Type="http://schemas.openxmlformats.org/officeDocument/2006/relationships/hyperlink" Id="rId93" Target="https://register.ld.admin.ch/i14y/concept/LEVEL_EDUC/110" TargetMode="External" /><Relationship Type="http://schemas.openxmlformats.org/officeDocument/2006/relationships/hyperlink" Id="rId94" Target="https://register.ld.admin.ch/i14y/concept/LEVEL_EDUC/120" TargetMode="External" /><Relationship Type="http://schemas.openxmlformats.org/officeDocument/2006/relationships/hyperlink" Id="rId95" Target="https://register.ld.admin.ch/i14y/concept/LEVEL_EDUC/130" TargetMode="External" /><Relationship Type="http://schemas.openxmlformats.org/officeDocument/2006/relationships/hyperlink" Id="rId96" Target="https://register.ld.admin.ch/i14y/concept/LEVEL_EDUC/140" TargetMode="External" /><Relationship Type="http://schemas.openxmlformats.org/officeDocument/2006/relationships/hyperlink" Id="rId97" Target="https://register.ld.admin.ch/i14y/concept/LEVEL_EDUC/20" TargetMode="External" /><Relationship Type="http://schemas.openxmlformats.org/officeDocument/2006/relationships/hyperlink" Id="rId98" Target="https://register.ld.admin.ch/i14y/concept/LEVEL_EDUC/22" TargetMode="External" /><Relationship Type="http://schemas.openxmlformats.org/officeDocument/2006/relationships/hyperlink" Id="rId99" Target="https://register.ld.admin.ch/i14y/concept/LEVEL_EDUC/220" TargetMode="External" /><Relationship Type="http://schemas.openxmlformats.org/officeDocument/2006/relationships/hyperlink" Id="rId100" Target="https://register.ld.admin.ch/i14y/concept/LEVEL_EDUC/2210" TargetMode="External" /><Relationship Type="http://schemas.openxmlformats.org/officeDocument/2006/relationships/hyperlink" Id="rId101" Target="https://register.ld.admin.ch/i14y/concept/LEVEL_EDUC/2211" TargetMode="External" /><Relationship Type="http://schemas.openxmlformats.org/officeDocument/2006/relationships/hyperlink" Id="rId102" Target="https://register.ld.admin.ch/i14y/concept/LEVEL_EDUC/2212" TargetMode="External" /><Relationship Type="http://schemas.openxmlformats.org/officeDocument/2006/relationships/hyperlink" Id="rId103" Target="https://register.ld.admin.ch/i14y/concept/LEVEL_EDUC/2220" TargetMode="External" /><Relationship Type="http://schemas.openxmlformats.org/officeDocument/2006/relationships/hyperlink" Id="rId104" Target="https://register.ld.admin.ch/i14y/concept/LEVEL_EDUC/2221" TargetMode="External" /><Relationship Type="http://schemas.openxmlformats.org/officeDocument/2006/relationships/hyperlink" Id="rId105" Target="https://register.ld.admin.ch/i14y/concept/LEVEL_EDUC/2222" TargetMode="External" /><Relationship Type="http://schemas.openxmlformats.org/officeDocument/2006/relationships/hyperlink" Id="rId106" Target="https://register.ld.admin.ch/i14y/concept/LEVEL_EDUC/24" TargetMode="External" /><Relationship Type="http://schemas.openxmlformats.org/officeDocument/2006/relationships/hyperlink" Id="rId107" Target="https://register.ld.admin.ch/i14y/concept/LEVEL_EDUC/241" TargetMode="External" /><Relationship Type="http://schemas.openxmlformats.org/officeDocument/2006/relationships/hyperlink" Id="rId108" Target="https://register.ld.admin.ch/i14y/concept/LEVEL_EDUC/2411" TargetMode="External" /><Relationship Type="http://schemas.openxmlformats.org/officeDocument/2006/relationships/hyperlink" Id="rId109" Target="https://register.ld.admin.ch/i14y/concept/LEVEL_EDUC/2412" TargetMode="External" /><Relationship Type="http://schemas.openxmlformats.org/officeDocument/2006/relationships/hyperlink" Id="rId110" Target="https://register.ld.admin.ch/i14y/concept/LEVEL_EDUC/242" TargetMode="External" /><Relationship Type="http://schemas.openxmlformats.org/officeDocument/2006/relationships/hyperlink" Id="rId111" Target="https://register.ld.admin.ch/i14y/concept/LEVEL_EDUC/2421" TargetMode="External" /><Relationship Type="http://schemas.openxmlformats.org/officeDocument/2006/relationships/hyperlink" Id="rId112" Target="https://register.ld.admin.ch/i14y/concept/LEVEL_EDUC/2422" TargetMode="External" /><Relationship Type="http://schemas.openxmlformats.org/officeDocument/2006/relationships/hyperlink" Id="rId113" Target="https://register.ld.admin.ch/i14y/concept/LEVEL_EDUC/243" TargetMode="External" /><Relationship Type="http://schemas.openxmlformats.org/officeDocument/2006/relationships/hyperlink" Id="rId114" Target="https://register.ld.admin.ch/i14y/concept/LEVEL_EDUC/2431" TargetMode="External" /><Relationship Type="http://schemas.openxmlformats.org/officeDocument/2006/relationships/hyperlink" Id="rId115" Target="https://register.ld.admin.ch/i14y/concept/LEVEL_EDUC/2432" TargetMode="External" /><Relationship Type="http://schemas.openxmlformats.org/officeDocument/2006/relationships/hyperlink" Id="rId116" Target="https://register.ld.admin.ch/i14y/concept/LEVEL_EDUC/30" TargetMode="External" /><Relationship Type="http://schemas.openxmlformats.org/officeDocument/2006/relationships/hyperlink" Id="rId117" Target="https://register.ld.admin.ch/i14y/concept/LEVEL_EDUC/31" TargetMode="External" /><Relationship Type="http://schemas.openxmlformats.org/officeDocument/2006/relationships/hyperlink" Id="rId118" Target="https://register.ld.admin.ch/i14y/concept/LEVEL_EDUC/310" TargetMode="External" /><Relationship Type="http://schemas.openxmlformats.org/officeDocument/2006/relationships/hyperlink" Id="rId119" Target="https://register.ld.admin.ch/i14y/concept/LEVEL_EDUC/311" TargetMode="External" /><Relationship Type="http://schemas.openxmlformats.org/officeDocument/2006/relationships/hyperlink" Id="rId120" Target="https://register.ld.admin.ch/i14y/concept/LEVEL_EDUC/312" TargetMode="External" /><Relationship Type="http://schemas.openxmlformats.org/officeDocument/2006/relationships/hyperlink" Id="rId121" Target="https://register.ld.admin.ch/i14y/concept/LEVEL_EDUC/313" TargetMode="External" /><Relationship Type="http://schemas.openxmlformats.org/officeDocument/2006/relationships/hyperlink" Id="rId122" Target="https://register.ld.admin.ch/i14y/concept/LEVEL_EDUC/3131" TargetMode="External" /><Relationship Type="http://schemas.openxmlformats.org/officeDocument/2006/relationships/hyperlink" Id="rId123" Target="https://register.ld.admin.ch/i14y/concept/LEVEL_EDUC/3132" TargetMode="External" /><Relationship Type="http://schemas.openxmlformats.org/officeDocument/2006/relationships/hyperlink" Id="rId124" Target="https://register.ld.admin.ch/i14y/concept/LEVEL_EDUC/32" TargetMode="External" /><Relationship Type="http://schemas.openxmlformats.org/officeDocument/2006/relationships/hyperlink" Id="rId125" Target="https://register.ld.admin.ch/i14y/concept/LEVEL_EDUC/321" TargetMode="External" /><Relationship Type="http://schemas.openxmlformats.org/officeDocument/2006/relationships/hyperlink" Id="rId126" Target="https://register.ld.admin.ch/i14y/concept/LEVEL_EDUC/3211" TargetMode="External" /><Relationship Type="http://schemas.openxmlformats.org/officeDocument/2006/relationships/hyperlink" Id="rId127" Target="https://register.ld.admin.ch/i14y/concept/LEVEL_EDUC/3212" TargetMode="External" /><Relationship Type="http://schemas.openxmlformats.org/officeDocument/2006/relationships/hyperlink" Id="rId128" Target="https://register.ld.admin.ch/i14y/concept/LEVEL_EDUC/3213" TargetMode="External" /><Relationship Type="http://schemas.openxmlformats.org/officeDocument/2006/relationships/hyperlink" Id="rId129" Target="https://register.ld.admin.ch/i14y/concept/LEVEL_EDUC/322" TargetMode="External" /><Relationship Type="http://schemas.openxmlformats.org/officeDocument/2006/relationships/hyperlink" Id="rId130" Target="https://register.ld.admin.ch/i14y/concept/LEVEL_EDUC/3221" TargetMode="External" /><Relationship Type="http://schemas.openxmlformats.org/officeDocument/2006/relationships/hyperlink" Id="rId131" Target="https://register.ld.admin.ch/i14y/concept/LEVEL_EDUC/3222" TargetMode="External" /><Relationship Type="http://schemas.openxmlformats.org/officeDocument/2006/relationships/hyperlink" Id="rId132" Target="https://register.ld.admin.ch/i14y/concept/LEVEL_EDUC/3223" TargetMode="External" /><Relationship Type="http://schemas.openxmlformats.org/officeDocument/2006/relationships/hyperlink" Id="rId133" Target="https://register.ld.admin.ch/i14y/concept/LEVEL_EDUC/323" TargetMode="External" /><Relationship Type="http://schemas.openxmlformats.org/officeDocument/2006/relationships/hyperlink" Id="rId243" Target="https://register.ld.admin.ch/i14y/concept/legalForm/0101" TargetMode="External" /><Relationship Type="http://schemas.openxmlformats.org/officeDocument/2006/relationships/hyperlink" Id="rId244" Target="https://register.ld.admin.ch/i14y/concept/legalForm/0103" TargetMode="External" /><Relationship Type="http://schemas.openxmlformats.org/officeDocument/2006/relationships/hyperlink" Id="rId245" Target="https://register.ld.admin.ch/i14y/concept/legalForm/0104" TargetMode="External" /><Relationship Type="http://schemas.openxmlformats.org/officeDocument/2006/relationships/hyperlink" Id="rId246" Target="https://register.ld.admin.ch/i14y/concept/legalForm/0105" TargetMode="External" /><Relationship Type="http://schemas.openxmlformats.org/officeDocument/2006/relationships/hyperlink" Id="rId247" Target="https://register.ld.admin.ch/i14y/concept/legalForm/0106" TargetMode="External" /><Relationship Type="http://schemas.openxmlformats.org/officeDocument/2006/relationships/hyperlink" Id="rId248" Target="https://register.ld.admin.ch/i14y/concept/legalForm/0107" TargetMode="External" /><Relationship Type="http://schemas.openxmlformats.org/officeDocument/2006/relationships/hyperlink" Id="rId249" Target="https://register.ld.admin.ch/i14y/concept/legalForm/0108" TargetMode="External" /><Relationship Type="http://schemas.openxmlformats.org/officeDocument/2006/relationships/hyperlink" Id="rId250" Target="https://register.ld.admin.ch/i14y/concept/legalForm/0109" TargetMode="External" /><Relationship Type="http://schemas.openxmlformats.org/officeDocument/2006/relationships/hyperlink" Id="rId251" Target="https://register.ld.admin.ch/i14y/concept/legalForm/0110" TargetMode="External" /><Relationship Type="http://schemas.openxmlformats.org/officeDocument/2006/relationships/hyperlink" Id="rId252" Target="https://register.ld.admin.ch/i14y/concept/legalForm/0111" TargetMode="External" /><Relationship Type="http://schemas.openxmlformats.org/officeDocument/2006/relationships/hyperlink" Id="rId253" Target="https://register.ld.admin.ch/i14y/concept/legalForm/0113" TargetMode="External" /><Relationship Type="http://schemas.openxmlformats.org/officeDocument/2006/relationships/hyperlink" Id="rId254" Target="https://register.ld.admin.ch/i14y/concept/legalForm/0114" TargetMode="External" /><Relationship Type="http://schemas.openxmlformats.org/officeDocument/2006/relationships/hyperlink" Id="rId255" Target="https://register.ld.admin.ch/i14y/concept/legalForm/0115" TargetMode="External" /><Relationship Type="http://schemas.openxmlformats.org/officeDocument/2006/relationships/hyperlink" Id="rId256" Target="https://register.ld.admin.ch/i14y/concept/legalForm/0116" TargetMode="External" /><Relationship Type="http://schemas.openxmlformats.org/officeDocument/2006/relationships/hyperlink" Id="rId257" Target="https://register.ld.admin.ch/i14y/concept/legalForm/0117" TargetMode="External" /><Relationship Type="http://schemas.openxmlformats.org/officeDocument/2006/relationships/hyperlink" Id="rId258" Target="https://register.ld.admin.ch/i14y/concept/legalForm/0118" TargetMode="External" /><Relationship Type="http://schemas.openxmlformats.org/officeDocument/2006/relationships/hyperlink" Id="rId259" Target="https://register.ld.admin.ch/i14y/concept/legalForm/0119" TargetMode="External" /><Relationship Type="http://schemas.openxmlformats.org/officeDocument/2006/relationships/hyperlink" Id="rId260" Target="https://register.ld.admin.ch/i14y/concept/legalForm/0151" TargetMode="External" /><Relationship Type="http://schemas.openxmlformats.org/officeDocument/2006/relationships/hyperlink" Id="rId261" Target="https://register.ld.admin.ch/i14y/concept/legalForm/0220" TargetMode="External" /><Relationship Type="http://schemas.openxmlformats.org/officeDocument/2006/relationships/hyperlink" Id="rId262" Target="https://register.ld.admin.ch/i14y/concept/legalForm/0221" TargetMode="External" /><Relationship Type="http://schemas.openxmlformats.org/officeDocument/2006/relationships/hyperlink" Id="rId263" Target="https://register.ld.admin.ch/i14y/concept/legalForm/0222" TargetMode="External" /><Relationship Type="http://schemas.openxmlformats.org/officeDocument/2006/relationships/hyperlink" Id="rId264" Target="https://register.ld.admin.ch/i14y/concept/legalForm/0223" TargetMode="External" /><Relationship Type="http://schemas.openxmlformats.org/officeDocument/2006/relationships/hyperlink" Id="rId265" Target="https://register.ld.admin.ch/i14y/concept/legalForm/0224" TargetMode="External" /><Relationship Type="http://schemas.openxmlformats.org/officeDocument/2006/relationships/hyperlink" Id="rId266" Target="https://register.ld.admin.ch/i14y/concept/legalForm/0230" TargetMode="External" /><Relationship Type="http://schemas.openxmlformats.org/officeDocument/2006/relationships/hyperlink" Id="rId267" Target="https://register.ld.admin.ch/i14y/concept/legalForm/0231" TargetMode="External" /><Relationship Type="http://schemas.openxmlformats.org/officeDocument/2006/relationships/hyperlink" Id="rId268" Target="https://register.ld.admin.ch/i14y/concept/legalForm/0232" TargetMode="External" /><Relationship Type="http://schemas.openxmlformats.org/officeDocument/2006/relationships/hyperlink" Id="rId269" Target="https://register.ld.admin.ch/i14y/concept/legalForm/0233" TargetMode="External" /><Relationship Type="http://schemas.openxmlformats.org/officeDocument/2006/relationships/hyperlink" Id="rId270" Target="https://register.ld.admin.ch/i14y/concept/legalForm/0234" TargetMode="External" /><Relationship Type="http://schemas.openxmlformats.org/officeDocument/2006/relationships/hyperlink" Id="rId271" Target="https://register.ld.admin.ch/i14y/concept/legalForm/0302" TargetMode="External" /><Relationship Type="http://schemas.openxmlformats.org/officeDocument/2006/relationships/hyperlink" Id="rId272" Target="https://register.ld.admin.ch/i14y/concept/legalForm/0312" TargetMode="External" /><Relationship Type="http://schemas.openxmlformats.org/officeDocument/2006/relationships/hyperlink" Id="rId273" Target="https://register.ld.admin.ch/i14y/concept/legalForm/0327" TargetMode="External" /><Relationship Type="http://schemas.openxmlformats.org/officeDocument/2006/relationships/hyperlink" Id="rId274" Target="https://register.ld.admin.ch/i14y/concept/legalForm/0328" TargetMode="External" /><Relationship Type="http://schemas.openxmlformats.org/officeDocument/2006/relationships/hyperlink" Id="rId275" Target="https://register.ld.admin.ch/i14y/concept/legalForm/0329" TargetMode="External" /><Relationship Type="http://schemas.openxmlformats.org/officeDocument/2006/relationships/hyperlink" Id="rId276" Target="https://register.ld.admin.ch/i14y/concept/legalForm/0355" TargetMode="External" /><Relationship Type="http://schemas.openxmlformats.org/officeDocument/2006/relationships/hyperlink" Id="rId277" Target="https://register.ld.admin.ch/i14y/concept/legalForm/0361" TargetMode="External" /><Relationship Type="http://schemas.openxmlformats.org/officeDocument/2006/relationships/hyperlink" Id="rId278" Target="https://register.ld.admin.ch/i14y/concept/legalForm/0362" TargetMode="External" /><Relationship Type="http://schemas.openxmlformats.org/officeDocument/2006/relationships/hyperlink" Id="rId279" Target="https://register.ld.admin.ch/i14y/concept/legalForm/0441" TargetMode="External" /><Relationship Type="http://schemas.openxmlformats.org/officeDocument/2006/relationships/hyperlink" Id="rId280" Target="https://register.ld.admin.ch/i14y/concept/legalForm/0571" TargetMode="External" /><Relationship Type="http://schemas.openxmlformats.org/officeDocument/2006/relationships/hyperlink" Id="rId50" Target="https://register.ld.admin.ch/i14y/concept/personAliasName" TargetMode="External" /><Relationship Type="http://schemas.openxmlformats.org/officeDocument/2006/relationships/hyperlink" Id="rId48" Target="https://register.ld.admin.ch/i14y/concept/personAllianceName" TargetMode="External" /><Relationship Type="http://schemas.openxmlformats.org/officeDocument/2006/relationships/hyperlink" Id="rId54" Target="https://register.ld.admin.ch/i14y/concept/personCallFirstName" TargetMode="External" /><Relationship Type="http://schemas.openxmlformats.org/officeDocument/2006/relationships/hyperlink" Id="rId56" Target="https://register.ld.admin.ch/i14y/concept/personDeclaredForeignerFirstName" TargetMode="External" /><Relationship Type="http://schemas.openxmlformats.org/officeDocument/2006/relationships/hyperlink" Id="rId52" Target="https://register.ld.admin.ch/i14y/concept/personDeclaredForeignerName" TargetMode="External" /><Relationship Type="http://schemas.openxmlformats.org/officeDocument/2006/relationships/hyperlink" Id="rId53" Target="https://register.ld.admin.ch/i14y/concept/personFirstName" TargetMode="External" /><Relationship Type="http://schemas.openxmlformats.org/officeDocument/2006/relationships/hyperlink" Id="rId55" Target="https://register.ld.admin.ch/i14y/concept/personFirstNameOnForeignPassport" TargetMode="External" /><Relationship Type="http://schemas.openxmlformats.org/officeDocument/2006/relationships/hyperlink" Id="rId49" Target="https://register.ld.admin.ch/i14y/concept/personNameOnForeignPassport" TargetMode="External" /><Relationship Type="http://schemas.openxmlformats.org/officeDocument/2006/relationships/hyperlink" Id="rId46" Target="https://register.ld.admin.ch/i14y/concept/personOfficialName" TargetMode="External" /><Relationship Type="http://schemas.openxmlformats.org/officeDocument/2006/relationships/hyperlink" Id="rId47" Target="https://register.ld.admin.ch/i14y/concept/personOriginalName" TargetMode="External" /><Relationship Type="http://schemas.openxmlformats.org/officeDocument/2006/relationships/hyperlink" Id="rId51" Target="https://register.ld.admin.ch/i14y/concept/personOtherName" TargetMode="External" /><Relationship Type="http://schemas.openxmlformats.org/officeDocument/2006/relationships/hyperlink" Id="rId73" Target="https://register.ld.admin.ch/i14y/concept/sex/1" TargetMode="External" /><Relationship Type="http://schemas.openxmlformats.org/officeDocument/2006/relationships/hyperlink" Id="rId74" Target="https://register.ld.admin.ch/i14y/concept/sex/2" TargetMode="External" /><Relationship Type="http://schemas.openxmlformats.org/officeDocument/2006/relationships/hyperlink" Id="rId344"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338" Target="https://www.ech.ch/de/ech/ech-0011/9.0.0" TargetMode="External" /><Relationship Type="http://schemas.openxmlformats.org/officeDocument/2006/relationships/hyperlink" Id="rId339" Target="https://www.ech.ch/de/ech/ech-0108/6.0.0" TargetMode="External" /><Relationship Type="http://schemas.openxmlformats.org/officeDocument/2006/relationships/hyperlink" Id="rId332" Target="https://www.ech.ch/de/ech/ech-0292" TargetMode="External" /><Relationship Type="http://schemas.openxmlformats.org/officeDocument/2006/relationships/hyperlink" Id="rId333" Target="https://www.ech.ch/de/ech/ech-0293" TargetMode="External" /><Relationship Type="http://schemas.openxmlformats.org/officeDocument/2006/relationships/hyperlink" Id="rId334" Target="https://www.ech.ch/de/ech/ech-0295" TargetMode="External" /><Relationship Type="http://schemas.openxmlformats.org/officeDocument/2006/relationships/hyperlink" Id="rId335" Target="https://www.ech.ch/de/ech/ech-0296" TargetMode="External" /><Relationship Type="http://schemas.openxmlformats.org/officeDocument/2006/relationships/hyperlink" Id="rId336"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341" Target="https://www.i14y.admin.ch" TargetMode="External" /><Relationship Type="http://schemas.openxmlformats.org/officeDocument/2006/relationships/hyperlink" Id="rId215" Target="https://www.parlament.ch/centers/documents/de/interessen-nr.pdf" TargetMode="External" /><Relationship Type="http://schemas.openxmlformats.org/officeDocument/2006/relationships/hyperlink" Id="rId296" Target="https://www.swisstopo.admin.ch/fr/repertoire-officiel-des-adresses-de-batiments" TargetMode="External" /><Relationship Type="http://schemas.openxmlformats.org/officeDocument/2006/relationships/hyperlink" Id="rId343"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2026-09-01T08:35:39Z</dcterms:created>
  <dcterms:modified xsi:type="dcterms:W3CDTF">2026-09-01T08:35:39Z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