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8"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7" w:name="Xf9ab29a51f49ac6ee44d3794652541e82b17112"/>
    <w:p>
      <w:pPr>
        <w:pStyle w:val="Heading2"/>
      </w:pPr>
      <w:r>
        <w:t xml:space="preserve">Allgemeine übergreifende Technische Informationen</w:t>
      </w:r>
    </w:p>
    <w:bookmarkStart w:id="25"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3"/>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3"/>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3"/>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5"/>
    <w:bookmarkStart w:id="26"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6"/>
    <w:bookmarkEnd w:id="27"/>
    <w:bookmarkEnd w:id="28"/>
    <w:bookmarkStart w:id="90" w:name="person"/>
    <w:p>
      <w:pPr>
        <w:pStyle w:val="Heading1"/>
      </w:pPr>
      <w:r>
        <w:t xml:space="preserve">Person</w:t>
      </w:r>
    </w:p>
    <w:bookmarkStart w:id="29"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4"/>
        </w:numPr>
        <w:pStyle w:val="Compact"/>
      </w:pPr>
      <w:r>
        <w:rPr>
          <w:bCs/>
          <w:b/>
        </w:rPr>
        <w:t xml:space="preserve">Präzision</w:t>
      </w:r>
      <w:r>
        <w:t xml:space="preserve">: Unterstützung von zeitlich gültigen Attributen (z.B. Namen, Adressen, Geschlecht).</w:t>
      </w:r>
    </w:p>
    <w:p>
      <w:pPr>
        <w:numPr>
          <w:ilvl w:val="0"/>
          <w:numId w:val="1004"/>
        </w:numPr>
        <w:pStyle w:val="Compact"/>
      </w:pPr>
      <w:r>
        <w:rPr>
          <w:bCs/>
          <w:b/>
        </w:rPr>
        <w:t xml:space="preserve">Flexibilität</w:t>
      </w:r>
      <w:r>
        <w:t xml:space="preserve">: Optionale Felder erlauben schrittweise Datenanreicherung.</w:t>
      </w:r>
    </w:p>
    <w:p>
      <w:pPr>
        <w:numPr>
          <w:ilvl w:val="0"/>
          <w:numId w:val="1004"/>
        </w:numPr>
        <w:pStyle w:val="Compact"/>
      </w:pPr>
      <w:r>
        <w:rPr>
          <w:bCs/>
          <w:b/>
        </w:rPr>
        <w:t xml:space="preserve">Interoperabilität</w:t>
      </w:r>
      <w:r>
        <w:t xml:space="preserve">: URIs als globale Identifikatoren wo vorhanden, inklusive der Möglichkeit auf Wikidata Einträge zu verweisen.</w:t>
      </w:r>
    </w:p>
    <w:p>
      <w:pPr>
        <w:numPr>
          <w:ilvl w:val="0"/>
          <w:numId w:val="1004"/>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29"/>
    <w:bookmarkStart w:id="35" w:name="class-person"/>
    <w:p>
      <w:pPr>
        <w:pStyle w:val="Heading2"/>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zu vergeben (bspw. Anzeigename mit Titel, Anstellung, etc.). [en] Option to assign an extended label to a structured piece of information (e.g., display name with title, position, etc.).</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 [en] 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 [en] 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 [en] 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 [en] 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 [de] 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 [en] 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 [en] 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 [en] 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 [en] 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 [en] Trainings or educations of the person.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 [en] 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 [en] Collection of interest links.range: InterestLink</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bl>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4" w:name="examples"/>
    <w:p>
      <w:pPr>
        <w:pStyle w:val="Heading3"/>
      </w:pPr>
      <w:r>
        <w:t xml:space="preserve">Examples</w:t>
      </w:r>
    </w:p>
    <w:bookmarkStart w:id="32"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2"/>
    <w:bookmarkStart w:id="33"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3"/>
    <w:bookmarkEnd w:id="34"/>
    <w:bookmarkEnd w:id="35"/>
    <w:bookmarkStart w:id="38" w:name="class-name"/>
    <w:p>
      <w:pPr>
        <w:pStyle w:val="Heading2"/>
      </w:pPr>
      <w:r>
        <w:t xml:space="preserve">Class: Name</w:t>
      </w:r>
    </w:p>
    <w:p>
      <w:pPr>
        <w:pStyle w:val="FirstParagraph"/>
      </w:pPr>
      <w:r>
        <w:rPr>
          <w:iCs/>
          <w:i/>
        </w:rPr>
        <w:t xml:space="preserve">[de] Ein Name mit einem Typ (z.B. Rufname, amtlicher Name) und einem Wert und einer zeitlichen Gültigkeit.</w:t>
      </w:r>
    </w:p>
    <w:p>
      <w:pPr>
        <w:pStyle w:val="BodyText"/>
      </w:pPr>
      <w:r>
        <w:rPr>
          <w:iCs/>
          <w:i/>
        </w:rPr>
        <w:t xml:space="preserve">[en] A name with a type (e.g., call name, official name) and a value.</w:t>
      </w:r>
    </w:p>
    <w:p>
      <w:pPr>
        <w:pStyle w:val="BodyText"/>
      </w:pPr>
      <w:r>
        <w:t xml:space="preserve">__</w:t>
      </w:r>
    </w:p>
    <w:bookmarkStart w:id="36"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[de] Typ des Namens. [en] Type of name.</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36"/>
    <w:bookmarkStart w:id="37"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7"/>
    <w:bookmarkEnd w:id="38"/>
    <w:bookmarkStart w:id="44" w:name="class-address"/>
    <w:p>
      <w:pPr>
        <w:pStyle w:val="Heading2"/>
      </w:pPr>
      <w:r>
        <w:t xml:space="preserve">Class: Address</w:t>
      </w:r>
    </w:p>
    <w:p>
      <w:pPr>
        <w:pStyle w:val="FirstParagraph"/>
      </w:pPr>
      <w:r>
        <w:rPr>
          <w:iCs/>
          <w:i/>
        </w:rPr>
        <w:t xml:space="preserve">[de] Eine Adresse mit einem Typ (z.B. Privatadresse, Geschäftsadresse) und einem Wert.</w:t>
      </w:r>
    </w:p>
    <w:p>
      <w:pPr>
        <w:pStyle w:val="BodyText"/>
      </w:pPr>
      <w:r>
        <w:rPr>
          <w:iCs/>
          <w:i/>
        </w:rPr>
        <w:t xml:space="preserve">[en] An address with a type (e.g., private address, business address) and a value.</w:t>
      </w:r>
    </w:p>
    <w:p>
      <w:pPr>
        <w:pStyle w:val="BodyText"/>
      </w:pPr>
      <w:r>
        <w:t xml:space="preserve">__</w:t>
      </w:r>
    </w:p>
    <w:bookmarkStart w:id="39"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[de] Typ der Adresse. [en] 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URI der Adresse. [en] URI of the address.</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Strassenadresse. [en] 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Postleitzahl. [en] 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Ort. [en] Locality.</w:t>
            </w:r>
          </w:p>
        </w:tc>
      </w:tr>
    </w:tbl>
    <w:bookmarkEnd w:id="39"/>
    <w:bookmarkStart w:id="40"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40"/>
    <w:bookmarkStart w:id="43" w:name="examples-1"/>
    <w:p>
      <w:pPr>
        <w:pStyle w:val="Heading3"/>
      </w:pPr>
      <w:r>
        <w:t xml:space="preserve">Examples</w:t>
      </w:r>
    </w:p>
    <w:bookmarkStart w:id="41"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41"/>
    <w:bookmarkStart w:id="42"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42"/>
    <w:bookmarkEnd w:id="43"/>
    <w:bookmarkEnd w:id="44"/>
    <w:bookmarkStart w:id="47" w:name="enum-addresstypeenum"/>
    <w:p>
      <w:pPr>
        <w:pStyle w:val="Heading2"/>
      </w:pPr>
      <w:r>
        <w:t xml:space="preserve">Enum: AddressTypeEnum</w:t>
      </w:r>
    </w:p>
    <w:p>
      <w:pPr>
        <w:pStyle w:val="FirstParagraph"/>
      </w:pPr>
      <w:r>
        <w:rPr>
          <w:iCs/>
          <w:i/>
        </w:rPr>
        <w:t xml:space="preserve">[en] Types of addresses.</w:t>
      </w:r>
    </w:p>
    <w:p>
      <w:pPr>
        <w:pStyle w:val="BodyText"/>
      </w:pPr>
      <w:r>
        <w:rPr>
          <w:iCs/>
          <w:i/>
        </w:rPr>
        <w:t xml:space="preserve">[de] Adresstypen.</w:t>
      </w:r>
    </w:p>
    <w:p>
      <w:pPr>
        <w:pStyle w:val="BodyText"/>
      </w:pPr>
      <w:r>
        <w:t xml:space="preserve">__</w:t>
      </w:r>
    </w:p>
    <w:p>
      <w:pPr>
        <w:pStyle w:val="BodyText"/>
      </w:pPr>
      <w:r>
        <w:t xml:space="preserve">URI:</w:t>
      </w:r>
      <w:r>
        <w:t xml:space="preserve"> </w:t>
      </w:r>
      <w:hyperlink r:id="rId45">
        <w:r>
          <w:rPr>
            <w:rStyle w:val="Hyperlink"/>
          </w:rPr>
          <w:t xml:space="preserve">act:AddressTypeEnum</w:t>
        </w:r>
      </w:hyperlink>
    </w:p>
    <w:bookmarkStart w:id="46"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[en] 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[en] 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[en] Local address</w:t>
            </w:r>
          </w:p>
        </w:tc>
      </w:tr>
    </w:tbl>
    <w:bookmarkEnd w:id="46"/>
    <w:bookmarkEnd w:id="47"/>
    <w:bookmarkStart w:id="50" w:name="class-languageproficiency"/>
    <w:p>
      <w:pPr>
        <w:pStyle w:val="Heading2"/>
      </w:pPr>
      <w:r>
        <w:t xml:space="preserve">Class: LanguageProficiency</w:t>
      </w:r>
    </w:p>
    <w:p>
      <w:pPr>
        <w:pStyle w:val="FirstParagraph"/>
      </w:pPr>
      <w:r>
        <w:rPr>
          <w:iCs/>
          <w:i/>
        </w:rPr>
        <w:t xml:space="preserve">[de] Sprachkenntnisse einer Person mit Angabe der Sprache und ob es sich um die bevorzugte Sprache oder die Muttersprache handelt.</w:t>
      </w:r>
    </w:p>
    <w:p>
      <w:pPr>
        <w:pStyle w:val="BodyText"/>
      </w:pPr>
      <w:r>
        <w:rPr>
          <w:iCs/>
          <w:i/>
        </w:rPr>
        <w:t xml:space="preserve">[en] Language proficiency of a person indicating the language and whether it is the preferred language or native language.</w:t>
      </w:r>
    </w:p>
    <w:p>
      <w:pPr>
        <w:pStyle w:val="BodyText"/>
      </w:pPr>
      <w:r>
        <w:t xml:space="preserve">__</w:t>
      </w:r>
    </w:p>
    <w:bookmarkStart w:id="48"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 [en] 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bevorzugte Sprache handelt. [en] 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Muttersprache handelt. [en] Indicates if this is the native language.</w:t>
            </w:r>
          </w:p>
        </w:tc>
      </w:tr>
    </w:tbl>
    <w:bookmarkEnd w:id="48"/>
    <w:bookmarkStart w:id="49"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9"/>
    <w:bookmarkEnd w:id="50"/>
    <w:bookmarkStart w:id="53" w:name="class-citizenship"/>
    <w:p>
      <w:pPr>
        <w:pStyle w:val="Heading2"/>
      </w:pPr>
      <w:r>
        <w:t xml:space="preserve">Class: Citizenship</w:t>
      </w:r>
    </w:p>
    <w:p>
      <w:pPr>
        <w:pStyle w:val="FirstParagraph"/>
      </w:pPr>
      <w:r>
        <w:rPr>
          <w:iCs/>
          <w:i/>
        </w:rPr>
        <w:t xml:space="preserve">[de] Staatsangehörigkeit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BodyText"/>
      </w:pPr>
      <w:r>
        <w:rPr>
          <w:iCs/>
          <w:i/>
        </w:rPr>
        <w:t xml:space="preserve">[en] 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1"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ISO 3166 Ländercode. [en] 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1"/>
    <w:bookmarkStart w:id="52"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2"/>
    <w:bookmarkEnd w:id="53"/>
    <w:bookmarkStart w:id="56" w:name="class-gender"/>
    <w:p>
      <w:pPr>
        <w:pStyle w:val="Heading2"/>
      </w:pPr>
      <w:r>
        <w:t xml:space="preserve">Class: Gender</w:t>
      </w:r>
    </w:p>
    <w:p>
      <w:pPr>
        <w:pStyle w:val="FirstParagraph"/>
      </w:pPr>
      <w:r>
        <w:rPr>
          <w:iCs/>
          <w:i/>
        </w:rPr>
        <w:t xml:space="preserve">[de] Geschlecht einer Person mit Angabe eines Geschlechtscodes und der zeitlichen Gültigkeit.</w:t>
      </w:r>
    </w:p>
    <w:p>
      <w:pPr>
        <w:pStyle w:val="BodyText"/>
      </w:pPr>
      <w:r>
        <w:rPr>
          <w:iCs/>
          <w:i/>
        </w:rPr>
        <w:t xml:space="preserve">[en] Gender of a person indicating a gender code and temporal validity.</w:t>
      </w:r>
    </w:p>
    <w:p>
      <w:pPr>
        <w:pStyle w:val="BodyText"/>
      </w:pPr>
      <w:r>
        <w:t xml:space="preserve">__</w:t>
      </w:r>
    </w:p>
    <w:bookmarkStart w:id="54"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Geschlechtscode (z.B. gemäß ISO 5218). [en] Gender code (e.g., according to ISO 5218).</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[de] Von der Person verwendete Pronomen. [en] 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4"/>
    <w:bookmarkStart w:id="55" w:name="usages-5"/>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5"/>
    <w:bookmarkEnd w:id="56"/>
    <w:bookmarkStart w:id="62" w:name="class-occupation"/>
    <w:p>
      <w:pPr>
        <w:pStyle w:val="Heading2"/>
      </w:pPr>
      <w:r>
        <w:t xml:space="preserve">Class: Occupation</w:t>
      </w:r>
    </w:p>
    <w:p>
      <w:pPr>
        <w:pStyle w:val="FirstParagraph"/>
      </w:pPr>
      <w:r>
        <w:rPr>
          <w:iCs/>
          <w:i/>
        </w:rPr>
        <w:t xml:space="preserve">[de] Beruf oder Tätigkeit einer Person mit Angabe eines Labels, eines ISCO-19 Codes, ob die Position bezahlt ist, und der zeitlichen Gültigkeit.</w:t>
      </w:r>
    </w:p>
    <w:p>
      <w:pPr>
        <w:pStyle w:val="BodyText"/>
      </w:pPr>
      <w:r>
        <w:rPr>
          <w:iCs/>
          <w:i/>
        </w:rPr>
        <w:t xml:space="preserve">[en] Occupation or profession of a person indicating a label, an ISCO-19 code, whether the position is paid, and temporal validity.</w:t>
      </w:r>
    </w:p>
    <w:p>
      <w:pPr>
        <w:pStyle w:val="BodyText"/>
      </w:pPr>
      <w:r>
        <w:t xml:space="preserve">__</w:t>
      </w:r>
    </w:p>
    <w:bookmarkStart w:id="57"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ISCO-19 Code der Tätigkeit. [en] 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enterprise_uid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UID des Unternehmens. [en] UID of the enterprise.</w:t>
            </w:r>
          </w:p>
        </w:tc>
      </w:tr>
      <w:tr>
        <w:tc>
          <w:tcPr/>
          <w:p>
            <w:pPr>
              <w:pStyle w:val="Compact"/>
              <w:jc w:val="left"/>
            </w:pPr>
            <w:r>
              <w:t xml:space="preserve">enterprise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Name des Unternehmens. [en] Name of the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7"/>
    <w:bookmarkStart w:id="58"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58"/>
    <w:bookmarkStart w:id="61" w:name="examples-2"/>
    <w:p>
      <w:pPr>
        <w:pStyle w:val="Heading3"/>
      </w:pPr>
      <w:r>
        <w:t xml:space="preserve">Examples</w:t>
      </w:r>
    </w:p>
    <w:bookmarkStart w:id="59"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9"/>
    <w:bookmarkStart w:id="60"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0"/>
    <w:bookmarkEnd w:id="61"/>
    <w:bookmarkEnd w:id="62"/>
    <w:bookmarkStart w:id="65" w:name="class-training"/>
    <w:p>
      <w:pPr>
        <w:pStyle w:val="Heading2"/>
      </w:pPr>
      <w:r>
        <w:t xml:space="preserve">Class: Training</w:t>
      </w:r>
    </w:p>
    <w:p>
      <w:pPr>
        <w:pStyle w:val="FirstParagraph"/>
      </w:pPr>
      <w:r>
        <w:rPr>
          <w:iCs/>
          <w:i/>
        </w:rPr>
        <w:t xml:space="preserve">[de] Ausbildung oder Bildung einer Person mit Angabe eines Typs (z.B. Schulabschluss, Universitätsabschluss, Militärdienst), eines Labels, eines ISCO-19 Codes und der zeitlichen Gültigkeit.</w:t>
      </w:r>
    </w:p>
    <w:p>
      <w:pPr>
        <w:pStyle w:val="BodyText"/>
      </w:pPr>
      <w:r>
        <w:rPr>
          <w:iCs/>
          <w:i/>
        </w:rPr>
        <w:t xml:space="preserve">[en] Training or education of a person indicating a type (e.g., school diploma, university degree, military service), a label, an ISCO-19 code, and temporal validity.</w:t>
      </w:r>
    </w:p>
    <w:p>
      <w:pPr>
        <w:pStyle w:val="BodyText"/>
      </w:pPr>
      <w:r>
        <w:t xml:space="preserve">__</w:t>
      </w:r>
    </w:p>
    <w:bookmarkStart w:id="63"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[de] Typ der Ausbildung oder Bildung. [en] 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ISCO-19 Code der Ausbildung oder Bildung. [en] 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63"/>
    <w:bookmarkStart w:id="64"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4"/>
    <w:bookmarkEnd w:id="65"/>
    <w:bookmarkStart w:id="68" w:name="class-contact"/>
    <w:p>
      <w:pPr>
        <w:pStyle w:val="Heading2"/>
      </w:pPr>
      <w:r>
        <w:t xml:space="preserve">Class: Contact</w:t>
      </w:r>
    </w:p>
    <w:p>
      <w:pPr>
        <w:pStyle w:val="FirstParagraph"/>
      </w:pPr>
      <w:r>
        <w:rPr>
          <w:iCs/>
          <w:i/>
        </w:rPr>
        <w:t xml:space="preserve">[de] Kontaktinformation einer Person mit Angabe eines Typs (z.B. E-Mail, LinkedIn) und eines Werts.</w:t>
      </w:r>
    </w:p>
    <w:p>
      <w:pPr>
        <w:pStyle w:val="BodyText"/>
      </w:pPr>
      <w:r>
        <w:rPr>
          <w:iCs/>
          <w:i/>
        </w:rPr>
        <w:t xml:space="preserve">[en] Contact information of a person indicating a type (e.g., email, LinkedIn) and a value.</w:t>
      </w:r>
    </w:p>
    <w:p>
      <w:pPr>
        <w:pStyle w:val="BodyText"/>
      </w:pPr>
      <w:r>
        <w:t xml:space="preserve">__</w:t>
      </w:r>
    </w:p>
    <w:bookmarkStart w:id="6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[de] Typ der Kontaktinformation. [en] 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bl>
    <w:bookmarkEnd w:id="66"/>
    <w:bookmarkStart w:id="6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67"/>
    <w:bookmarkEnd w:id="68"/>
    <w:bookmarkStart w:id="74" w:name="class-electoraldistrict"/>
    <w:p>
      <w:pPr>
        <w:pStyle w:val="Heading2"/>
      </w:pPr>
      <w:r>
        <w:t xml:space="preserve">Class: ElectoralDistrict</w:t>
      </w:r>
    </w:p>
    <w:p>
      <w:pPr>
        <w:pStyle w:val="FirstParagraph"/>
      </w:pPr>
      <w:r>
        <w:rPr>
          <w:iCs/>
          <w:i/>
        </w:rPr>
        <w:t xml:space="preserve">[de] Wahlkreis oder Wahlregion, in der eine Person politisch aktiv ist; mit zeitlicher Gültigkeit.</w:t>
      </w:r>
    </w:p>
    <w:p>
      <w:pPr>
        <w:pStyle w:val="BodyText"/>
      </w:pPr>
      <w:r>
        <w:rPr>
          <w:iCs/>
          <w:i/>
        </w:rPr>
        <w:t xml:space="preserve">[en] Electoral district or region where a person is politically active; with temporal validity.</w:t>
      </w:r>
    </w:p>
    <w:p>
      <w:pPr>
        <w:pStyle w:val="BodyText"/>
      </w:pPr>
      <w:r>
        <w:t xml:space="preserve">__</w:t>
      </w:r>
    </w:p>
    <w:bookmarkStart w:id="6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Wahlkreis oder Wahlregion. [en] 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69"/>
    <w:bookmarkStart w:id="7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70"/>
    <w:bookmarkStart w:id="73" w:name="examples-3"/>
    <w:p>
      <w:pPr>
        <w:pStyle w:val="Heading3"/>
      </w:pPr>
      <w:r>
        <w:t xml:space="preserve">Examples</w:t>
      </w:r>
    </w:p>
    <w:bookmarkStart w:id="71"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71"/>
    <w:bookmarkStart w:id="72"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72"/>
    <w:bookmarkEnd w:id="73"/>
    <w:bookmarkEnd w:id="74"/>
    <w:bookmarkStart w:id="89" w:name="class-interestlink"/>
    <w:p>
      <w:pPr>
        <w:pStyle w:val="Heading2"/>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75"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75"/>
    <w:bookmarkStart w:id="76"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76"/>
    <w:bookmarkStart w:id="88" w:name="examples-4"/>
    <w:p>
      <w:pPr>
        <w:pStyle w:val="Heading3"/>
      </w:pPr>
      <w:r>
        <w:t xml:space="preserve">Examples</w:t>
      </w:r>
    </w:p>
    <w:bookmarkStart w:id="7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7"/>
    <w:bookmarkStart w:id="7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78"/>
    <w:bookmarkStart w:id="7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79"/>
    <w:bookmarkStart w:id="8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0"/>
    <w:bookmarkStart w:id="8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1"/>
    <w:bookmarkStart w:id="8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2"/>
    <w:bookmarkStart w:id="8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3"/>
    <w:bookmarkStart w:id="8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4"/>
    <w:bookmarkStart w:id="8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5"/>
    <w:bookmarkStart w:id="8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6"/>
    <w:bookmarkStart w:id="8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7"/>
    <w:bookmarkEnd w:id="88"/>
    <w:bookmarkEnd w:id="89"/>
    <w:bookmarkEnd w:id="90"/>
    <w:bookmarkStart w:id="96" w:name="gruppen-und-organe-groups"/>
    <w:p>
      <w:pPr>
        <w:pStyle w:val="Heading1"/>
      </w:pPr>
      <w:r>
        <w:t xml:space="preserve">Gruppen und Organe (Groups)</w:t>
      </w:r>
    </w:p>
    <w:bookmarkStart w:id="9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91"/>
    <w:bookmarkStart w:id="92" w:name="anwendungszwecke"/>
    <w:p>
      <w:pPr>
        <w:pStyle w:val="Heading2"/>
      </w:pPr>
      <w:r>
        <w:t xml:space="preserve">Anwendungszwecke</w:t>
      </w:r>
    </w:p>
    <w:p>
      <w:pPr>
        <w:pStyle w:val="FirstParagraph"/>
      </w:pPr>
      <w:r>
        <w:t xml:space="preserve">Das Schema unterstützt verschiedene Einsatzszenarien:</w:t>
      </w:r>
    </w:p>
    <w:p>
      <w:pPr>
        <w:numPr>
          <w:ilvl w:val="0"/>
          <w:numId w:val="1005"/>
        </w:numPr>
        <w:pStyle w:val="Compact"/>
      </w:pPr>
      <w:r>
        <w:rPr>
          <w:bCs/>
          <w:b/>
        </w:rPr>
        <w:t xml:space="preserve">Organisation innerhalb eines Parlamentssystems</w:t>
      </w:r>
      <w:r>
        <w:t xml:space="preserve">: Parlamente, Kommissionen, Fraktionen</w:t>
      </w:r>
    </w:p>
    <w:p>
      <w:pPr>
        <w:numPr>
          <w:ilvl w:val="0"/>
          <w:numId w:val="1005"/>
        </w:numPr>
        <w:pStyle w:val="Compact"/>
      </w:pPr>
      <w:r>
        <w:rPr>
          <w:bCs/>
          <w:b/>
        </w:rPr>
        <w:t xml:space="preserve">Publikation an die Öffentlichkeit</w:t>
      </w:r>
      <w:r>
        <w:t xml:space="preserve">: Transparente Darstellung politischer Strukturen</w:t>
      </w:r>
    </w:p>
    <w:p>
      <w:pPr>
        <w:numPr>
          <w:ilvl w:val="0"/>
          <w:numId w:val="1005"/>
        </w:numPr>
        <w:pStyle w:val="Compact"/>
      </w:pPr>
      <w:r>
        <w:rPr>
          <w:bCs/>
          <w:b/>
        </w:rPr>
        <w:t xml:space="preserve">Systeme mit politischen Personen</w:t>
      </w:r>
      <w:r>
        <w:t xml:space="preserve">: Zuordnung von Personen zu Gruppen (Memberships)</w:t>
      </w:r>
    </w:p>
    <w:p>
      <w:pPr>
        <w:numPr>
          <w:ilvl w:val="0"/>
          <w:numId w:val="1005"/>
        </w:numPr>
        <w:pStyle w:val="Compact"/>
      </w:pPr>
      <w:r>
        <w:rPr>
          <w:bCs/>
          <w:b/>
        </w:rPr>
        <w:t xml:space="preserve">Analysen</w:t>
      </w:r>
      <w:r>
        <w:t xml:space="preserve">: Untersuchungen von Gruppenzusammensetzungen und Netzwerken</w:t>
      </w:r>
    </w:p>
    <w:p>
      <w:pPr>
        <w:numPr>
          <w:ilvl w:val="0"/>
          <w:numId w:val="1005"/>
        </w:numPr>
        <w:pStyle w:val="Compact"/>
      </w:pPr>
      <w:r>
        <w:rPr>
          <w:bCs/>
          <w:b/>
        </w:rPr>
        <w:t xml:space="preserve">Parteilisten</w:t>
      </w:r>
      <w:r>
        <w:t xml:space="preserve">: Verwaltung von Wahllisten (z.B. UNIBE Parteilisten-Datenbank)</w:t>
      </w:r>
    </w:p>
    <w:bookmarkEnd w:id="92"/>
    <w:bookmarkStart w:id="95" w:name="class-group"/>
    <w:p>
      <w:pPr>
        <w:pStyle w:val="Heading2"/>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93"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z.B. Partei, Kommission, Parlament oder ähnliches. Die genaue Bennenung und Beschreibung der Gruppierung wird über</w:t>
            </w:r>
            <w:r>
              <w:t xml:space="preserve"> </w:t>
            </w:r>
            <w:r>
              <w:rPr>
                <w:rStyle w:val="VerbatimChar"/>
              </w:rPr>
              <w:t xml:space="preserve">name</w:t>
            </w:r>
            <w:r>
              <w:t xml:space="preserve"> </w:t>
            </w:r>
            <w:r>
              <w:t xml:space="preserve">gemacht. [en] Link to the group type.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 [en] 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 [en] 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 [en] 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 Zum Beispiel die Mutterpartei, zu Kantonalenparteien. Oder zur Beschreibung der Hierarchie in Exekutive. Verknüpfung von Subkommissionen mit Kommissionen. (parentGroup wird immer im selben group_type verwendet.) [en] Link to parent groups.</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z.B. ld.admin.ch/municipality/1234, ld.admin.ch/canton/23). [en] Spatial reference (fos-municipality number, fos-canton number, e.g., ld.admin.ch/municipality/1234, ld.admin.ch/canton/23).</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 [en] URL to party statutes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 [en] Party color (optional for parties).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93"/>
    <w:bookmarkStart w:id="94"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94"/>
    <w:bookmarkEnd w:id="95"/>
    <w:bookmarkEnd w:id="96"/>
    <w:bookmarkStart w:id="102" w:name="mitgliedschaften-memberships"/>
    <w:p>
      <w:pPr>
        <w:pStyle w:val="Heading1"/>
      </w:pPr>
      <w:r>
        <w:t xml:space="preserve">Mitgliedschaften (Memberships)</w:t>
      </w:r>
    </w:p>
    <w:bookmarkStart w:id="9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97"/>
    <w:bookmarkStart w:id="9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6"/>
        </w:numPr>
        <w:pStyle w:val="Compact"/>
      </w:pPr>
      <w:r>
        <w:rPr>
          <w:bCs/>
          <w:b/>
        </w:rPr>
        <w:t xml:space="preserve">Parteimitgliedschaften</w:t>
      </w:r>
      <w:r>
        <w:t xml:space="preserve">: Zugehörigkeit zu politischen Parteien</w:t>
      </w:r>
    </w:p>
    <w:p>
      <w:pPr>
        <w:numPr>
          <w:ilvl w:val="0"/>
          <w:numId w:val="1006"/>
        </w:numPr>
        <w:pStyle w:val="Compact"/>
      </w:pPr>
      <w:r>
        <w:rPr>
          <w:bCs/>
          <w:b/>
        </w:rPr>
        <w:t xml:space="preserve">Fraktionsmitgliedschaften</w:t>
      </w:r>
      <w:r>
        <w:t xml:space="preserve">: Zuordnung zu parlamentarischen Fraktionen</w:t>
      </w:r>
    </w:p>
    <w:p>
      <w:pPr>
        <w:numPr>
          <w:ilvl w:val="0"/>
          <w:numId w:val="1006"/>
        </w:numPr>
        <w:pStyle w:val="Compact"/>
      </w:pPr>
      <w:r>
        <w:rPr>
          <w:bCs/>
          <w:b/>
        </w:rPr>
        <w:t xml:space="preserve">Kommissionsmitgliedschaften</w:t>
      </w:r>
      <w:r>
        <w:t xml:space="preserve">: Mitarbeit in parlamentarischen Kommissionen</w:t>
      </w:r>
    </w:p>
    <w:p>
      <w:pPr>
        <w:numPr>
          <w:ilvl w:val="0"/>
          <w:numId w:val="1006"/>
        </w:numPr>
        <w:pStyle w:val="Compact"/>
      </w:pPr>
      <w:r>
        <w:rPr>
          <w:bCs/>
          <w:b/>
        </w:rPr>
        <w:t xml:space="preserve">Parlamentsmitgliedschaften</w:t>
      </w:r>
      <w:r>
        <w:t xml:space="preserve">: Mandate in Parlamenten (Bund, Kantone, Gemeinden)</w:t>
      </w:r>
    </w:p>
    <w:p>
      <w:pPr>
        <w:numPr>
          <w:ilvl w:val="0"/>
          <w:numId w:val="1006"/>
        </w:numPr>
        <w:pStyle w:val="Compact"/>
      </w:pPr>
      <w:r>
        <w:rPr>
          <w:bCs/>
          <w:b/>
        </w:rPr>
        <w:t xml:space="preserve">Regierungsmitgliedschaften</w:t>
      </w:r>
      <w:r>
        <w:t xml:space="preserve">: Mitgliedschaft in Exekutivorganen</w:t>
      </w:r>
    </w:p>
    <w:p>
      <w:pPr>
        <w:numPr>
          <w:ilvl w:val="0"/>
          <w:numId w:val="1006"/>
        </w:numPr>
        <w:pStyle w:val="Compact"/>
      </w:pPr>
      <w:r>
        <w:rPr>
          <w:bCs/>
          <w:b/>
        </w:rPr>
        <w:t xml:space="preserve">Delegationen</w:t>
      </w:r>
      <w:r>
        <w:t xml:space="preserve">: Teilnahme an Delegationen</w:t>
      </w:r>
    </w:p>
    <w:p>
      <w:pPr>
        <w:numPr>
          <w:ilvl w:val="0"/>
          <w:numId w:val="1006"/>
        </w:numPr>
        <w:pStyle w:val="Compact"/>
      </w:pPr>
      <w:r>
        <w:rPr>
          <w:bCs/>
          <w:b/>
        </w:rPr>
        <w:t xml:space="preserve">Gremien</w:t>
      </w:r>
      <w:r>
        <w:t xml:space="preserve">: Mitwirkung in Gremien und Arbeitsgruppen</w:t>
      </w:r>
    </w:p>
    <w:bookmarkEnd w:id="98"/>
    <w:bookmarkStart w:id="101" w:name="class-membership"/>
    <w:p>
      <w:pPr>
        <w:pStyle w:val="Heading2"/>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9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Verknüpfung. [en] 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 [de] 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 [en] Indicates if the person is authorized to vote.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99"/>
    <w:bookmarkStart w:id="10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00"/>
    <w:bookmarkEnd w:id="101"/>
    <w:bookmarkEnd w:id="102"/>
    <w:bookmarkStart w:id="120" w:name="interessenbindungen-interest-links"/>
    <w:p>
      <w:pPr>
        <w:pStyle w:val="Heading1"/>
      </w:pPr>
      <w:r>
        <w:t xml:space="preserve">Interessenbindungen (Interest Links)</w:t>
      </w:r>
    </w:p>
    <w:bookmarkStart w:id="10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0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04"/>
    <w:bookmarkStart w:id="119" w:name="class-interestlink-1"/>
    <w:p>
      <w:pPr>
        <w:pStyle w:val="Heading2"/>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105"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05"/>
    <w:bookmarkStart w:id="106"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06"/>
    <w:bookmarkStart w:id="118" w:name="examples-5"/>
    <w:p>
      <w:pPr>
        <w:pStyle w:val="Heading3"/>
      </w:pPr>
      <w:r>
        <w:t xml:space="preserve">Examples</w:t>
      </w:r>
    </w:p>
    <w:bookmarkStart w:id="107" w:name="X8e8bdaa6ec458dfd16f2b7cd2fb26447226c41d"/>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7"/>
    <w:bookmarkStart w:id="108" w:name="X85c095468560b5197c0787239b7b0a51cdafc67"/>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08"/>
    <w:bookmarkStart w:id="109" w:name="X2dcdfa293ad7b34c7f6a6b06f4483abbc2e6d9c"/>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09"/>
    <w:bookmarkStart w:id="110" w:name="Xca18f201a4cd20700af6e585351d1338ea33930"/>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10"/>
    <w:bookmarkStart w:id="111" w:name="X13756c3c027a5e56fb6f4516fc7ac18137b743d"/>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1"/>
    <w:bookmarkStart w:id="112" w:name="X03b057bb628d236da9cb27abdc1cf8604c99675"/>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2"/>
    <w:bookmarkStart w:id="113" w:name="Xfaceda65cf854af4404f277853163dc3a330726"/>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3"/>
    <w:bookmarkStart w:id="114" w:name="Xf75e0a01c33e649c4b55755f4cd90a0f8917253"/>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4"/>
    <w:bookmarkStart w:id="115" w:name="X3cae51d0eca0cbe47c4765864bd647439c5407e"/>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5"/>
    <w:bookmarkStart w:id="116" w:name="X4c28c990f8d2250a6ba160e17172e6426f8b9b5"/>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6"/>
    <w:bookmarkStart w:id="117" w:name="X56887ad0e735c1b00544223a3963e8bd96a0092"/>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17"/>
    <w:bookmarkEnd w:id="118"/>
    <w:bookmarkEnd w:id="119"/>
    <w:bookmarkEnd w:id="120"/>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5" Target="https://ld.ech.ch/schema/0294/actors/AddressTypeEnum" TargetMode="External" /><Relationship Type="http://schemas.openxmlformats.org/officeDocument/2006/relationships/hyperlink" Id="rId10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5" Target="https://ld.ech.ch/schema/0294/actors/AddressTypeEnum" TargetMode="External" /><Relationship Type="http://schemas.openxmlformats.org/officeDocument/2006/relationships/hyperlink" Id="rId10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2026-06-01T09:09:10Z</dcterms:created>
  <dcterms:modified xsi:type="dcterms:W3CDTF">2026-06-01T09:09:10Z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