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Sammlung der Protokolle.</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Sammlung der Einzelstimmen.</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Sammlung der Anwesenheitslisten.</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Sammlung der einzelnen Anwesenheitsfeststellungen.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5"/>
    <w:bookmarkStart w:id="26"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6"/>
    <w:bookmarkStart w:id="27"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9"/>
    <w:bookmarkStart w:id="30"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Nach unten sind sie eingebettet — die Session nimmt ihre Sitzungen auf (</w:t>
      </w:r>
      <w:r>
        <w:rPr>
          <w:rStyle w:val="VerbatimChar"/>
        </w:rPr>
        <w:t xml:space="preserve">meetings</w:t>
      </w:r>
      <w:r>
        <w:t xml:space="preserve">), Sitzung und Session ihre Traktanden (</w:t>
      </w:r>
      <w:r>
        <w:rPr>
          <w:rStyle w:val="VerbatimChar"/>
        </w:rPr>
        <w:t xml:space="preserve">agenda_items</w:t>
      </w:r>
      <w:r>
        <w:t xml:space="preserve">); nach oben zeigen Referenzen — die Session verweist auf ihre Legislaturperiode (</w:t>
      </w:r>
      <w:r>
        <w:rPr>
          <w:rStyle w:val="VerbatimChar"/>
        </w:rPr>
        <w:t xml:space="preserve">parent_legislature</w:t>
      </w:r>
      <w:r>
        <w:t xml:space="preserve">), die Sitzung auf ihre Session (</w:t>
      </w:r>
      <w:r>
        <w:rPr>
          <w:rStyle w:val="VerbatimChar"/>
        </w:rPr>
        <w:t xml:space="preserve">parent_session</w:t>
      </w:r>
      <w:r>
        <w:t xml:space="preserve">) oder, wo es keine Session gibt, direkt auf die Legislaturperiode (</w:t>
      </w:r>
      <w:r>
        <w:rPr>
          <w:rStyle w:val="VerbatimChar"/>
        </w:rPr>
        <w:t xml:space="preserve">parent_legislature</w:t>
      </w:r>
      <w:r>
        <w:t xml:space="preserve">). Innerhalb der Traktandenliste bildet</w:t>
      </w:r>
      <w:r>
        <w:t xml:space="preserve"> </w:t>
      </w:r>
      <w:r>
        <w:rPr>
          <w:rStyle w:val="VerbatimChar"/>
        </w:rPr>
        <w:t xml:space="preserve">parent_agenda_item</w:t>
      </w:r>
      <w:r>
        <w:t xml:space="preserve"> </w:t>
      </w:r>
      <w:r>
        <w:t xml:space="preserve">die Gliederung in Untertraktanden ab.</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Tagblatt und Beilagen (das Protokoll hingegen über</w:t>
      </w:r>
      <w:r>
        <w:t xml:space="preserve"> </w:t>
      </w:r>
      <w:r>
        <w:rPr>
          <w:rStyle w:val="VerbatimChar"/>
        </w:rPr>
        <w:t xml:space="preserve">has_protocol</w:t>
      </w:r>
      <w:r>
        <w:t xml:space="preserve">).</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292065f43f1898debccc78cea80a5ff8e877e04"/>
    <w:p>
      <w:pPr>
        <w:pStyle w:val="berschrift5"/>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End w:id="43"/>
    <w:bookmarkEnd w:id="44"/>
    <w:bookmarkEnd w:id="45"/>
    <w:bookmarkStart w:id="55"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54" w:name="klasse-session"/>
    <w:p>
      <w:pPr>
        <w:pStyle w:val="berschrift3"/>
      </w:pPr>
      <w:r>
        <w:t xml:space="preserve">Klasse: Session</w:t>
      </w:r>
      <w:r>
        <w:t xml:space="preserve"> </w:t>
      </w:r>
      <w:bookmarkStart w:id="46" w:name="Session"/>
      <w:bookmarkEnd w:id="46"/>
    </w:p>
    <w:p>
      <w:pPr>
        <w:pStyle w:val="FirstParagraph"/>
      </w:pPr>
      <w:r>
        <w:rPr>
          <w:i/>
          <w:iCs/>
        </w:rPr>
        <w:t xml:space="preserve">Eine Session: eine zusammenhängende Sitzungsperiode innerhalb einer Legislaturperiode. Sie fasst ihre Sitzungen zusammen (meetings) und kann auch direkt Traktanden führen (agenda_items). Die Session ist die einzige der drei zeitlichen Ebenen, auf die verzichtet werden kann: Föderaleinheiten ohne formale Sessionen lassen sie weg und hängen ihre Sitzungen direkt an die Legislaturperiode (parent_legislature). Session und Sitzung können auch zusammenfallen — eine eintägige Sitzung eines Kantonsparlaments oder eine Landsgemeinde wird als Session mit einer einzigen Sitzung abgebildet oder als Session, die ihre Traktanden direkt und ohne Sitzung führt.</w:t>
      </w:r>
    </w:p>
    <w:bookmarkStart w:id="47"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Nummer der Session oder Sitzung, wie sie das Organ vergibt, z.B. innerhalb der Legislatur, der Session oder des Jahres. Als Zeichenkette erlaubt sie auch römische Ziffern. Nummeriert wird sehr unterschiedlich, weshalb number, sequential_number, position und meeting_abbreviation nebeneinander zur Verfügung stehen.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Session oder Sitzung als Ganzzahl,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 z.B. einer Session innerhalb der Legislaturperiode.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Legislaturperiode, zu der die Session oder Sitzung gehört. Eine Sitzung, die zu einer Session gehört, ist über die Session (parent_session) der Legislaturperiode zugeordnet; eine Sitzung ohne Session — etwa eine Kommissionssitzung oder eine Sitzung in einer Föderaleinheit ohne formale Sessionen — verweist direkt auf die Legislaturperiode.</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Für diese Sitzung oder Session geplante Traktanden, eingebettet als Liste. Bei einer Sitzung bilden sie deren Traktandenliste. Bei einer Session enthalten sie Traktanden, die direkt auf Ebene der Session geplant sind — wo eine Föderaleinheit die Session nicht in einzelne Sitzungen gliedert (z.B. eine Landsgemeinde oder eine eintägige Sitzung eines Kantonsparlaments) oder für Traktanden, die (noch) keiner bestimmten Sitzung zugeordnet sind, wie in einem Sessionsprogramm. Das Gegenstück nach der Sitzung sind die im Protokoll festgehaltenen Traktanden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7"/>
    <w:bookmarkStart w:id="48"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8"/>
    <w:bookmarkStart w:id="53" w:name="beispiele-2"/>
    <w:p>
      <w:pPr>
        <w:pStyle w:val="berschrift4"/>
      </w:pPr>
      <w:r>
        <w:t xml:space="preserve">Beispiele</w:t>
      </w:r>
    </w:p>
    <w:bookmarkStart w:id="49" w:name="X22d544eaeb8764dd7dc98dad81ccba498aad5f6"/>
    <w:p>
      <w:pPr>
        <w:pStyle w:val="berschrift5"/>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9"/>
    <w:bookmarkStart w:id="50"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End w:id="53"/>
    <w:bookmarkEnd w:id="54"/>
    <w:bookmarkEnd w:id="55"/>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79" w:name="klasse-meeting"/>
    <w:p>
      <w:pPr>
        <w:pStyle w:val="berschrift3"/>
      </w:pPr>
      <w:r>
        <w:t xml:space="preserve">Klasse: Meeting</w:t>
      </w:r>
      <w:r>
        <w:t xml:space="preserve"> </w:t>
      </w:r>
      <w:bookmarkStart w:id="56" w:name="Meeting"/>
      <w:bookmarkEnd w:id="56"/>
    </w:p>
    <w:p>
      <w:pPr>
        <w:pStyle w:val="FirstParagraph"/>
      </w:pPr>
      <w:r>
        <w:rPr>
          <w:i/>
          <w:iCs/>
        </w:rPr>
        <w:t xml:space="preserve">Die einzelne Sitzung eines Organs — die Ebene, auf der Traktanden beraten, Beschlüsse gefasst und Wortmeldungen festgehalten werden. Die Sitzung ist der Knoten, an dem die übrigen Klassen dieses Standards hängen: Ihre Traktanden (AgendaItem) sind in sie eingebettet (agenda_items), während Abstimmungen und Wahlen (Voting, Election), Wortmeldungen (Speech) sowie die Anwesenheitsliste (Attendance) über</w:t>
      </w:r>
      <w:r>
        <w:rPr>
          <w:i/>
          <w:iCs/>
        </w:rPr>
        <w:t xml:space="preserve"> </w:t>
      </w:r>
      <w:r>
        <w:rPr>
          <w:rStyle w:val="VerbatimChar"/>
          <w:i/>
          <w:iCs/>
        </w:rPr>
        <w:t xml:space="preserve">parent_meeting</w:t>
      </w:r>
      <w:r>
        <w:rPr>
          <w:i/>
          <w:iCs/>
        </w:rPr>
        <w:t xml:space="preserve"> </w:t>
      </w:r>
      <w:r>
        <w:rPr>
          <w:i/>
          <w:iCs/>
        </w:rPr>
        <w:t xml:space="preserve">auf sie verweisen. Auf dieser Ebene fallen geplante und tatsächliche Zeiten regelmässig auseinander — eine für 14:00 angesetzte Sitzung beginnt wegen Verzögerungen erst um 14:25 und endet statt um 18:00 bereits um 17:30 —, weshalb Beginn und Ende sowohl geplant als auch tatsächlich erfasst werden.</w:t>
      </w:r>
    </w:p>
    <w:bookmarkStart w:id="57"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der Gruppe oder des Gremiums im Klartext, zusätzlich zur Referenz</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(Momentaufnahme zum Zeitpunkt der Verknüpfung).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Nummer der Session oder Sitzung, wie sie das Organ vergibt, z.B. innerhalb der Legislatur, der Session oder des Jahres. Als Zeichenkette erlaubt sie auch römische Ziffern. Nummeriert wird sehr unterschiedlich, weshalb number, sequential_number, position und meeting_abbreviation nebeneinander zur Verfügung stehen.</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Laufende Nummer der Session oder Sitzung als Ganzzahl,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Ganzzahlige Position innerhalb der übergeordneten Reihenfolge, z.B. einer Session innerhalb der Legislaturperiode.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des politischen Organs im Klartext (z.B. Nationalrat), zusätzlich zur Referenz</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Ob die Sitzung überhaupt wie vorgesehen stattfindet (geplant, abgesagt, verschoben). Eine abweichende, freitextliche Bezeichnung nimmt</w:t>
            </w:r>
            <w:r>
              <w:t xml:space="preserve"> </w:t>
            </w:r>
            <w:r>
              <w:rPr>
                <w:rStyle w:val="VerbatimChar"/>
              </w:rPr>
              <w:t xml:space="preserve">state_name</w:t>
            </w:r>
            <w:r>
              <w:t xml:space="preserve"> </w:t>
            </w:r>
            <w:r>
              <w:t xml:space="preserve">auf.</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der Sitzung, wo die Werte von</w:t>
            </w:r>
            <w:r>
              <w:t xml:space="preserve"> </w:t>
            </w:r>
            <w:r>
              <w:rPr>
                <w:rStyle w:val="VerbatimChar"/>
              </w:rPr>
              <w:t xml:space="preserve">state</w:t>
            </w:r>
            <w:r>
              <w:t xml:space="preserve"> </w:t>
            </w:r>
            <w:r>
              <w:t xml:space="preserve">nicht genügen.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Ort, an dem die Sitzung stattfindet — der physische Raum („Bundeshaus, Nationalratssaal“), eine Videokonferenz oder ein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Identifikator der Legislaturperiode, zu der die Session oder Sitzung gehört. Eine Sitzung, die zu einer Session gehört, ist über die Session (parent_session) der Legislaturperiode zugeordnet; eine Sitzung ohne Session — etwa eine Kommissionssitzung oder eine Sitzung in einer Föderaleinheit ohne formale Sessionen — verweist direkt auf die Legislaturperiode.</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Session, zu der die Sitzung gehört.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Sitzungsunterlagen wie Tagblatt oder Beilagen, als FRBR-Works. Das Protokoll wird nicht hier, sondern über</w:t>
            </w:r>
            <w:r>
              <w:t xml:space="preserve"> </w:t>
            </w:r>
            <w:r>
              <w:rPr>
                <w:rStyle w:val="VerbatimChar"/>
              </w:rPr>
              <w:t xml:space="preserve">has_protocol</w:t>
            </w:r>
            <w:r>
              <w:t xml:space="preserve"> </w:t>
            </w:r>
            <w:r>
              <w:t xml:space="preserve">verknüpft.</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Für diese Sitzung oder Session geplante Traktanden, eingebettet als Liste. Bei einer Sitzung bilden sie deren Traktandenliste. Bei einer Session enthalten sie Traktanden, die direkt auf Ebene der Session geplant sind — wo eine Föderaleinheit die Session nicht in einzelne Sitzungen gliedert (z.B. eine Landsgemeinde oder eine eintägige Sitzung eines Kantonsparlaments) oder für Traktanden, die (noch) keiner bestimmten Sitzung zugeordnet sind, wie in einem Sessionsprogramm. Das Gegenstück nach der Sitzung sind die im Protokoll festgehaltenen Traktanden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7"/>
    <w:bookmarkStart w:id="58"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8"/>
    <w:bookmarkStart w:id="78" w:name="beispiele-3"/>
    <w:p>
      <w:pPr>
        <w:pStyle w:val="berschrift4"/>
      </w:pPr>
      <w:r>
        <w:t xml:space="preserve">Beispiele</w:t>
      </w:r>
    </w:p>
    <w:bookmarkStart w:id="59" w:name="X5767bafc8d149516011d5a716db5f59019cce27"/>
    <w:p>
      <w:pPr>
        <w:pStyle w:val="berschrift5"/>
      </w:pPr>
      <w:r>
        <w:t xml:space="preserve">Beispiel Meeting: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59"/>
    <w:bookmarkStart w:id="60"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0"/>
    <w:bookmarkStart w:id="61" w:name="Xf9246300b354b3504c7f02b117f67a2306c0a25"/>
    <w:p>
      <w:pPr>
        <w:pStyle w:val="berschrift5"/>
      </w:pPr>
      <w:r>
        <w:t xml:space="preserve">Beispiel Meeting: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1"/>
    <w:bookmarkStart w:id="62" w:name="X0b5a6ccde84a101eb0d4a6d0a7995ebc4931c98"/>
    <w:p>
      <w:pPr>
        <w:pStyle w:val="berschrift5"/>
      </w:pPr>
      <w:r>
        <w:t xml:space="preserve">Beispiel Meeting: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2"/>
    <w:bookmarkStart w:id="63"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3"/>
    <w:bookmarkStart w:id="64" w:name="X482179767594c3988d21a806e266e49f05ced55"/>
    <w:p>
      <w:pPr>
        <w:pStyle w:val="berschrift5"/>
      </w:pPr>
      <w:r>
        <w:t xml:space="preserve">Beispiel Meeting: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4"/>
    <w:bookmarkStart w:id="65"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6"/>
    <w:bookmarkStart w:id="67"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7"/>
    <w:bookmarkStart w:id="68" w:name="X46004347ab27eabf74b8dd6c6cabfae5cfe5030"/>
    <w:p>
      <w:pPr>
        <w:pStyle w:val="berschrift5"/>
      </w:pPr>
      <w:r>
        <w:t xml:space="preserve">Beispiel Meeting: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8"/>
    <w:bookmarkStart w:id="69" w:name="X469d10f69c172adcfcee0f5ddffbb870358237d"/>
    <w:p>
      <w:pPr>
        <w:pStyle w:val="berschrift5"/>
      </w:pPr>
      <w:r>
        <w:t xml:space="preserve">Beispiel Meeting: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69"/>
    <w:bookmarkStart w:id="70" w:name="X82b719098cc95666746681ffa1b616b476ae49e"/>
    <w:p>
      <w:pPr>
        <w:pStyle w:val="berschrift5"/>
      </w:pPr>
      <w:r>
        <w:t xml:space="preserve">Beispiel Meeting: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0"/>
    <w:bookmarkStart w:id="71" w:name="X72f92f5d820f7227e3f8319c9f6ab8bf4cb4620"/>
    <w:p>
      <w:pPr>
        <w:pStyle w:val="berschrift5"/>
      </w:pPr>
      <w:r>
        <w:t xml:space="preserve">Beispiel Meeting: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1"/>
    <w:bookmarkStart w:id="72" w:name="X6eb6c88c977c842871ecceb5582f6b68571f18e"/>
    <w:p>
      <w:pPr>
        <w:pStyle w:val="berschrift5"/>
      </w:pPr>
      <w:r>
        <w:t xml:space="preserve">Beispiel Meeting: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2"/>
    <w:bookmarkStart w:id="73"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3"/>
    <w:bookmarkStart w:id="74" w:name="Xd23573f5c50a5ebc93fcac003653d740a821ff1"/>
    <w:p>
      <w:pPr>
        <w:pStyle w:val="berschrift5"/>
      </w:pPr>
      <w:r>
        <w:t xml:space="preserve">Beispiel Meeting: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4"/>
    <w:bookmarkStart w:id="75" w:name="X7e5fbf93bd289c54e2ef26b56aa9d1dc620de6b"/>
    <w:p>
      <w:pPr>
        <w:pStyle w:val="berschrift5"/>
      </w:pPr>
      <w:r>
        <w:t xml:space="preserve">Beispiel Meeting: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5"/>
    <w:bookmarkStart w:id="76" w:name="X0efcefc12bc6fbe6b72428bc9951ca70226b9fd"/>
    <w:p>
      <w:pPr>
        <w:pStyle w:val="berschrift5"/>
      </w:pPr>
      <w:r>
        <w:t xml:space="preserve">Beispiel Meeting: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6"/>
    <w:bookmarkStart w:id="77" w:name="Xda16c38c968b9b998a815d4615f83947e11bf14"/>
    <w:p>
      <w:pPr>
        <w:pStyle w:val="berschrift5"/>
      </w:pPr>
      <w:r>
        <w:t xml:space="preserve">Beispiel Meeting: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156"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was tatsächlich behandelt und beschlossen wurde, hält das Protokoll fest.</w:t>
      </w:r>
    </w:p>
    <w:bookmarkStart w:id="117" w:name="agendaitem-traktandum"/>
    <w:p>
      <w:pPr>
        <w:pStyle w:val="berschrift2"/>
      </w:pPr>
      <w:r>
        <w:t xml:space="preserve">AgendaItem (Traktandum)</w:t>
      </w:r>
    </w:p>
    <w:bookmarkStart w:id="110" w:name="klasse-agendaitem"/>
    <w:p>
      <w:pPr>
        <w:pStyle w:val="berschrift3"/>
      </w:pPr>
      <w:r>
        <w:t xml:space="preserve">Klasse: AgendaItem</w:t>
      </w:r>
      <w:r>
        <w:t xml:space="preserve"> </w:t>
      </w:r>
      <w:bookmarkStart w:id="89" w:name="AgendaItem"/>
      <w:bookmarkEnd w:id="89"/>
    </w:p>
    <w:p>
      <w:pPr>
        <w:pStyle w:val="FirstParagraph"/>
      </w:pPr>
      <w:r>
        <w:rPr>
          <w:i/>
          <w:iCs/>
        </w:rPr>
        <w:t xml:space="preserve">Ein vorgängig geplantes Traktandum einer Sitzung. Es gliedert die Tagesordnung und verbindet die zeitliche Organisation (Meeting) mit den inhaltlichen Geschäften (eCH-0295). Es ist in seine Sitzung eingebettet (Meeting.agenda_items) oder direkt in seine Session (Session.agenda_items). Traktanden bilden die Planung einer Sitzung ab und werden nach Sitzungsbeginn in den Daten nicht mehr geändert: Abweichungen während der Sitzung — vorgezogene, verschobene oder zusätzliche Traktanden — werden im Protokoll (ProtocolItem) erfasst und fliessen in die Traktandenliste der nächsten Sitzung ein. Aus demselben Grund werden geplante und tatsächliche Zeiten getrennt geführt.</w:t>
      </w:r>
    </w:p>
    <w:bookmarkStart w:id="9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Nummer des Traktandums auf der Traktandenliste, z.B. „2.1“ oder „3“ (Zeichenkette, damit auch römische Ziffern möglich sind).</w:t>
            </w:r>
            <w:r>
              <w:t xml:space="preserve"> </w:t>
            </w:r>
            <w:r>
              <w:t xml:space="preserve">Vererbung: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Ganzzahlige Position des Traktandums im Sitzungsablauf, massgebend für Sortierung und Darstellung.</w:t>
            </w:r>
            <w:r>
              <w:t xml:space="preserve"> </w:t>
            </w:r>
            <w:r>
              <w:t xml:space="preserve">Vererbung: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federführende Departement für das Traktandum.</w:t>
            </w:r>
            <w:r>
              <w:t xml:space="preserve"> </w:t>
            </w:r>
            <w:r>
              <w:t xml:space="preserve">Vererbung: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r>
              <w:t xml:space="preserve"> </w:t>
            </w:r>
            <w:r>
              <w:t xml:space="preserve">Vererbung: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Zustands-Identifikator des Traktandums (Verweis auf ein Status-Enum oder auf einen eigenen Zustand), z.B. pending (noch nicht behandelt), in_progress (in Beratung), completed (abgeschlossen), postponed (auf eine spätere Sitzung vertagt) oder withdrawn (zurückgezogen).</w:t>
            </w:r>
            <w:r>
              <w:t xml:space="preserve"> </w:t>
            </w:r>
            <w:r>
              <w:t xml:space="preserve">Vererbung: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Abweichende, freitextliche Statusbezeichnung, wo die Status-Aufzählung nicht genügt.</w:t>
            </w:r>
            <w:r>
              <w:t xml:space="preserve"> </w:t>
            </w:r>
            <w:r>
              <w:t xml:space="preserve">Vererbung: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r>
              <w:t xml:space="preserve"> </w:t>
            </w:r>
            <w:r>
              <w:t xml:space="preserve">Vererbung: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Freie Kategorisierung des Traktandums nach Inhalt oder Gruppierung, z.B. „Gesetzgebung“, „Budget und Finanzen“, „Interpellationen und Anfragen“, „Wahlen“, nach Departement oder einleitende und technische Traktanden. Die Kategorisierung ist nicht standardisiert und kann je nach Föderaleinheit variieren.</w:t>
            </w:r>
            <w:r>
              <w:t xml:space="preserve"> </w:t>
            </w:r>
            <w:r>
              <w:t xml:space="preserve">Vererbung: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r>
              <w:t xml:space="preserve"> </w:t>
            </w:r>
            <w:r>
              <w:t xml:space="preserve">Vererbung: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Der formale Beschluss zu diesem Traktandum, z.B. die Annahme des Energiegesetzes. Die zugrunde liegende Abstimmung mit dem Stimmenverhältnis wird separat als Voting erfasst.</w:t>
            </w:r>
            <w:r>
              <w:t xml:space="preserve"> </w:t>
            </w:r>
            <w:r>
              <w:t xml:space="preserve">Vererbung: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Unterlagen zum Traktandum als FRBR-Works, z.B. Botschaften und Berichte, Anträge und Änderungsanträge.</w:t>
            </w:r>
            <w:r>
              <w:t xml:space="preserve"> </w:t>
            </w:r>
            <w:r>
              <w:t xml:space="preserve">Vererbung: IsAgendaItem</w:t>
            </w:r>
          </w:p>
        </w:tc>
      </w:tr>
    </w:tbl>
    <w:bookmarkEnd w:id="90"/>
    <w:bookmarkStart w:id="91"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1"/>
    <w:bookmarkStart w:id="109" w:name="beispiele-4"/>
    <w:p>
      <w:pPr>
        <w:pStyle w:val="berschrift4"/>
      </w:pPr>
      <w:r>
        <w:t xml:space="preserve">Beispiele</w:t>
      </w:r>
    </w:p>
    <w:bookmarkStart w:id="92" w:name="X2d0201c60120039d8cff27d77175a49d51c2dc5"/>
    <w:p>
      <w:pPr>
        <w:pStyle w:val="berschrift5"/>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2"/>
    <w:bookmarkStart w:id="93"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3"/>
    <w:bookmarkStart w:id="94" w:name="X635c1ec3356ce1e898bdf578274e8f0b8d19c0e"/>
    <w:p>
      <w:pPr>
        <w:pStyle w:val="berschrift5"/>
      </w:pPr>
      <w:r>
        <w:t xml:space="preserve">Beispiel AgendaItem: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4"/>
    <w:bookmarkStart w:id="95"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5"/>
    <w:bookmarkStart w:id="96"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6"/>
    <w:bookmarkStart w:id="97"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7"/>
    <w:bookmarkStart w:id="98"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8"/>
    <w:bookmarkStart w:id="99"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99"/>
    <w:bookmarkStart w:id="100"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0"/>
    <w:bookmarkStart w:id="101"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1"/>
    <w:bookmarkStart w:id="102"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2"/>
    <w:bookmarkStart w:id="103"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3"/>
    <w:bookmarkStart w:id="104"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4"/>
    <w:bookmarkStart w:id="105"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5"/>
    <w:bookmarkStart w:id="106"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6"/>
    <w:bookmarkStart w:id="107"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7"/>
    <w:bookmarkStart w:id="108"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8"/>
    <w:bookmarkEnd w:id="109"/>
    <w:bookmarkEnd w:id="110"/>
    <w:bookmarkStart w:id="116" w:name="enum-agendaitemtypeenum"/>
    <w:p>
      <w:pPr>
        <w:pStyle w:val="berschrift3"/>
      </w:pPr>
      <w:r>
        <w:t xml:space="preserve">Enum: AgendaItemTypeEnum</w:t>
      </w:r>
      <w:r>
        <w:t xml:space="preserve"> </w:t>
      </w:r>
      <w:bookmarkStart w:id="111" w:name="AgendaItemTypeEnum"/>
      <w:bookmarkEnd w:id="111"/>
    </w:p>
    <w:p>
      <w:pPr>
        <w:pStyle w:val="FirstParagraph"/>
      </w:pPr>
      <w:r>
        <w:rPr>
          <w:i/>
          <w:iCs/>
        </w:rPr>
        <w:t xml:space="preserve">Art des Traktandums, unterscheidet einzelne von gruppierten Traktanden.</w:t>
      </w:r>
    </w:p>
    <w:p>
      <w:pPr>
        <w:pStyle w:val="Textkrper"/>
      </w:pPr>
      <w:r>
        <w:t xml:space="preserve">URI:</w:t>
      </w:r>
      <w:r>
        <w:t xml:space="preserve"> </w:t>
      </w:r>
      <w:hyperlink ns1:id="rId112">
        <w:r>
          <w:rPr>
            <w:rStyle w:val="Hyperlink"/>
          </w:rPr>
          <w:t xml:space="preserve">ops:AgendaItemTypeEnum</w:t>
        </w:r>
      </w:hyperlink>
    </w:p>
    <w:bookmarkStart w:id="11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 mit Beratung und gegebenenfalls Abstimmung.</w:t>
            </w:r>
          </w:p>
        </w:tc>
      </w:tr>
      <w:tr>
        <w:tc>
          <w:tcPr/>
          <w:p>
            <w:pPr>
              <w:pStyle w:val="Compact"/>
            </w:pPr>
          </w:p>
        </w:tc>
        <w:tc>
          <w:tcPr/>
          <w:p>
            <w:pPr>
              <w:pStyle w:val="Compact"/>
            </w:pPr>
            <w:hyperlink ns1:id="rId113">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Gruppe von Traktanden (Traktandengruppe), unter der Untertraktanden über parent_agenda_item eingeordnet werden, z.B. „Gesetzesberatungen“.</w:t>
            </w:r>
          </w:p>
        </w:tc>
      </w:tr>
      <w:tr>
        <w:tc>
          <w:tcPr/>
          <w:p>
            <w:pPr>
              <w:pStyle w:val="Compact"/>
            </w:pPr>
          </w:p>
        </w:tc>
        <w:tc>
          <w:tcPr/>
          <w:p>
            <w:pPr>
              <w:pStyle w:val="Compact"/>
            </w:pPr>
            <w:hyperlink ns1:id="rId114">
              <w:r>
                <w:rPr>
                  <w:rStyle w:val="Hyperlink"/>
                </w:rPr>
                <w:t xml:space="preserve">ops:enum/agenda_item_type/group</w:t>
              </w:r>
            </w:hyperlink>
          </w:p>
        </w:tc>
      </w:tr>
    </w:tbl>
    <w:bookmarkEnd w:id="115"/>
    <w:bookmarkEnd w:id="116"/>
    <w:bookmarkEnd w:id="117"/>
    <w:bookmarkStart w:id="129" w:name="protokoll-protocol"/>
    <w:p>
      <w:pPr>
        <w:pStyle w:val="berschrift2"/>
      </w:pPr>
      <w:r>
        <w:t xml:space="preserve">Protokoll (Protocol)</w:t>
      </w:r>
    </w:p>
    <w:p>
      <w:pPr>
        <w:pStyle w:val="FirstParagraph"/>
      </w:pPr>
      <w:r>
        <w:t xml:space="preserve">Das Protokoll wird</w:t>
      </w:r>
      <w:r>
        <w:t xml:space="preserve"> </w:t>
      </w:r>
      <w:r>
        <w:rPr>
          <w:b/>
          <w:bCs/>
        </w:rPr>
        <w:t xml:space="preserve">referenziert, nicht eingebettet</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(vorher: geplante Traktanden)</w:t>
      </w:r>
      <w:r>
        <w:br/>
      </w:r>
      <w:r>
        <w:rPr>
          <w:rStyle w:val="VerbatimChar"/>
        </w:rPr>
        <w:t xml:space="preserve">  │                     └─ has_protocol → Identifikator des Protokolls</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3" w:name="klasse-protocol"/>
    <w:p>
      <w:pPr>
        <w:pStyle w:val="berschrift3"/>
      </w:pPr>
      <w:r>
        <w:t xml:space="preserve">Klasse: Protocol</w:t>
      </w:r>
      <w:r>
        <w:t xml:space="preserve"> </w:t>
      </w:r>
      <w:bookmarkStart w:id="118" w:name="Protocol"/>
      <w:bookmarkEnd w:id="118"/>
    </w:p>
    <w:p>
      <w:pPr>
        <w:pStyle w:val="FirstParagraph"/>
      </w:pPr>
      <w:r>
        <w:rPr>
          <w:i/>
          <w:iCs/>
        </w:rPr>
        <w:t xml:space="preserve">Das Protokoll einer Sitzung, nach der Sitzung erstellt und pro Sitzung genau einmal geführt. Ein Wrapper-Container, der die effektiv behandelten Traktanden (protocol_items), Abstimmungen, Wahlen, Wortmeldungen, Wortlaut-Textsegmente und verknüpfte Dokumente bündelt. Das Protokoll hat einen eigenen Identifikator, ist eigenständig zitierbar und wird in der Regel später veröffentlicht als die Sitzung; die Sitzung referenziert es deshalb nur (Meeting.has_protocol), und das Protokoll selbst wird in Container.protocols geliefert, sodass es nachgeliefert werden kann, ohne die Sitzung erneut zu liefern. Innerhalb des Protokolls sind die Sammlungen eingebettet, weil sie zusammen mit ihm entstehen und geliefert werden. Wer Abstimmungen oder Wortmeldungen unabhängig vom Protokoll publiziert, liefert sie flach in Container.votings bzw. Container.speeches und verknüpft sie über parent_meeting und die jeweilige Traktandenreferenz.</w:t>
      </w:r>
    </w:p>
    <w:bookmarkStart w:id="11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9"/>
    <w:bookmarkStart w:id="120"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0"/>
    <w:bookmarkStart w:id="122" w:name="beispiele-5"/>
    <w:p>
      <w:pPr>
        <w:pStyle w:val="berschrift4"/>
      </w:pPr>
      <w:r>
        <w:t xml:space="preserve">Beispiele</w:t>
      </w:r>
    </w:p>
    <w:bookmarkStart w:id="121"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1"/>
    <w:bookmarkEnd w:id="122"/>
    <w:bookmarkEnd w:id="123"/>
    <w:bookmarkStart w:id="124" w:name="protocolitem-protokolliertes-traktandum"/>
    <w:p>
      <w:pPr>
        <w:pStyle w:val="berschrift3"/>
      </w:pPr>
      <w:r>
        <w:t xml:space="preserve">ProtocolItem (protokolliertes Traktandum)</w:t>
      </w:r>
    </w:p>
    <w:bookmarkEnd w:id="124"/>
    <w:bookmarkStart w:id="128" w:name="klasse-protocolitem"/>
    <w:p>
      <w:pPr>
        <w:pStyle w:val="berschrift3"/>
      </w:pPr>
      <w:r>
        <w:t xml:space="preserve">Klasse: ProtocolItem</w:t>
      </w:r>
      <w:r>
        <w:t xml:space="preserve"> </w:t>
      </w:r>
      <w:bookmarkStart w:id="125" w:name="ProtocolItem"/>
      <w:bookmarkEnd w:id="125"/>
    </w:p>
    <w:p>
      <w:pPr>
        <w:pStyle w:val="FirstParagraph"/>
      </w:pPr>
      <w:r>
        <w:rPr>
          <w:i/>
          <w:iCs/>
        </w:rPr>
        <w:t xml:space="preserve">Ein Traktandum, wie es im Protokoll tatsächlich festgehalten wurde. Es führt über das Mixin IsAgendaItem dieselben Elemente wie AgendaItem, ist aber eine eigenständige Klasse: Das Protokollierte ist kein Sonderfall des Geplanten. Es entsteht unabhängig und kann Traktanden enthalten, die nie traktandiert waren, so wie die Traktandenliste Punkte enthalten kann, die nie behandelt wurden.</w:t>
      </w:r>
    </w:p>
    <w:bookmarkStart w:id="12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Nummer des Traktandums auf der Traktandenliste, z.B. „2.1“ oder „3“ (Zeichenkette, damit auch römische Ziffern möglich sind).</w:t>
            </w:r>
            <w:r>
              <w:t xml:space="preserve"> </w:t>
            </w:r>
            <w:r>
              <w:t xml:space="preserve">Vererbung: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Ganzzahlige Position des Traktandums im Sitzungsablauf, massgebend für Sortierung und Darstellung.</w:t>
            </w:r>
            <w:r>
              <w:t xml:space="preserve"> </w:t>
            </w:r>
            <w:r>
              <w:t xml:space="preserve">Vererbung: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federführende Departement für das Traktandum.</w:t>
            </w:r>
            <w:r>
              <w:t xml:space="preserve"> </w:t>
            </w:r>
            <w:r>
              <w:t xml:space="preserve">Vererbung: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r>
              <w:t xml:space="preserve"> </w:t>
            </w:r>
            <w:r>
              <w:t xml:space="preserve">Vererbung: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Zustands-Identifikator des Traktandums (Verweis auf ein Status-Enum oder auf einen eigenen Zustand), z.B. pending (noch nicht behandelt), in_progress (in Beratung), completed (abgeschlossen), postponed (auf eine spätere Sitzung vertagt) oder withdrawn (zurückgezogen).</w:t>
            </w:r>
            <w:r>
              <w:t xml:space="preserve"> </w:t>
            </w:r>
            <w:r>
              <w:t xml:space="preserve">Vererbung: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Abweichende, freitextliche Statusbezeichnung, wo die Status-Aufzählung nicht genügt.</w:t>
            </w:r>
            <w:r>
              <w:t xml:space="preserve"> </w:t>
            </w:r>
            <w:r>
              <w:t xml:space="preserve">Vererbung: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r>
              <w:t xml:space="preserve"> </w:t>
            </w:r>
            <w:r>
              <w:t xml:space="preserve">Vererbung: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Freie Kategorisierung des Traktandums nach Inhalt oder Gruppierung, z.B. „Gesetzgebung“, „Budget und Finanzen“, „Interpellationen und Anfragen“, „Wahlen“, nach Departement oder einleitende und technische Traktanden. Die Kategorisierung ist nicht standardisiert und kann je nach Föderaleinheit variieren.</w:t>
            </w:r>
            <w:r>
              <w:t xml:space="preserve"> </w:t>
            </w:r>
            <w:r>
              <w:t xml:space="preserve">Vererbung: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r>
              <w:t xml:space="preserve"> </w:t>
            </w:r>
            <w:r>
              <w:t xml:space="preserve">Vererbung: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Der formale Beschluss zu diesem Traktandum, z.B. die Annahme des Energiegesetzes. Die zugrunde liegende Abstimmung mit dem Stimmenverhältnis wird separat als Voting erfasst.</w:t>
            </w:r>
            <w:r>
              <w:t xml:space="preserve"> </w:t>
            </w:r>
            <w:r>
              <w:t xml:space="preserve">Vererbung: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Unterlagen zum Traktandum als FRBR-Works, z.B. Botschaften und Berichte, Anträge und Änderungsanträge.</w:t>
            </w:r>
            <w:r>
              <w:t xml:space="preserve"> </w:t>
            </w:r>
            <w:r>
              <w:t xml:space="preserve">Vererbung: IsAgendaItem</w:t>
            </w:r>
          </w:p>
        </w:tc>
      </w:tr>
    </w:tbl>
    <w:bookmarkEnd w:id="126"/>
    <w:bookmarkStart w:id="127"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7"/>
    <w:bookmarkEnd w:id="128"/>
    <w:bookmarkEnd w:id="129"/>
    <w:bookmarkStart w:id="134" w:name="gemeinsame-beratung-jointdebate"/>
    <w:p>
      <w:pPr>
        <w:pStyle w:val="berschrift2"/>
      </w:pPr>
      <w:r>
        <w:t xml:space="preserve">Gemeinsame Beratung (JointDebate)</w:t>
      </w:r>
    </w:p>
    <w:bookmarkStart w:id="133" w:name="klasse-jointdebate"/>
    <w:p>
      <w:pPr>
        <w:pStyle w:val="berschrift3"/>
      </w:pPr>
      <w:r>
        <w:t xml:space="preserve">Klasse: JointDebate</w:t>
      </w:r>
      <w:r>
        <w:t xml:space="preserve"> </w:t>
      </w:r>
      <w:bookmarkStart w:id="130" w:name="JointDebate"/>
      <w:bookmarkEnd w:id="130"/>
    </w:p>
    <w:p>
      <w:pPr>
        <w:pStyle w:val="FirstParagraph"/>
      </w:pPr>
      <w:r>
        <w:rPr>
          <w:i/>
          <w:iCs/>
        </w:rPr>
        <w:t xml:space="preserve">Eine gemeinsame Beratung: Mehrere Traktanden werden zusammen behandelt, etwa inhaltlich zusammenhängende Geschäfte, die in einer einzigen Debatte beraten werden. Die gemeinsame Beratung hängt an einem Traktandum (AgendaItem), einem Protokoll-Traktandum (ProtocolItem), einer Sitzung (Meeting) oder einer Session (Session) und verweist über deren Identifikatoren auf die gemeinsam behandelten Traktanden. An einer Sitzung oder Session angehängt, kann sie auch Traktanden zusammenfassen, die auf mehrere Traktandenpositionen oder Sitzungen verteilt sind.</w:t>
      </w:r>
    </w:p>
    <w:bookmarkStart w:id="13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Identifikatoren der gemeinsam behandelten Traktanden (AgendaItem oder ProtocolItem).</w:t>
            </w:r>
          </w:p>
        </w:tc>
      </w:tr>
    </w:tbl>
    <w:bookmarkEnd w:id="131"/>
    <w:bookmarkStart w:id="132"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2"/>
    <w:bookmarkEnd w:id="133"/>
    <w:bookmarkEnd w:id="134"/>
    <w:bookmarkStart w:id="151" w:name="resolution-beschluss"/>
    <w:p>
      <w:pPr>
        <w:pStyle w:val="berschrift2"/>
      </w:pPr>
      <w:r>
        <w:t xml:space="preserve">Resolution (Beschluss)</w:t>
      </w:r>
    </w:p>
    <w:bookmarkStart w:id="138" w:name="klasse-resolution"/>
    <w:p>
      <w:pPr>
        <w:pStyle w:val="berschrift3"/>
      </w:pPr>
      <w:r>
        <w:t xml:space="preserve">Klasse: Resolution</w:t>
      </w:r>
      <w:r>
        <w:t xml:space="preserve"> </w:t>
      </w:r>
      <w:bookmarkStart w:id="135" w:name="Resolution"/>
      <w:bookmarkEnd w:id="135"/>
    </w:p>
    <w:p>
      <w:pPr>
        <w:pStyle w:val="FirstParagraph"/>
      </w:pPr>
      <w:r>
        <w:rPr>
          <w:i/>
          <w:iCs/>
        </w:rPr>
        <w:t xml:space="preserve">Der formale Beschluss zu einem Traktandum, einschliesslich der angewandten Abstimmungsverfahren. Er hält fest, was entschieden wurde, während Voting festhält, wie entschieden wurde (Verfahren und Stimmenverhältnis). Nicht jeder Beschluss beruht auf einer formalen Abstimmung: Kenntnisnahmen, stille Annahmen oder Administrativbeschlüsse kommen ohne eine solche zustande.</w:t>
      </w:r>
    </w:p>
    <w:bookmarkStart w:id="136"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in denen abgestimmt wurde. Offene Verfahren: Handzeichen, Aufstehen, elektronische Abstimmung, Namensaufruf, in Krisenlagen zudem externe Stimmabgabe (vorgängig dem Präsidium mitgeteilte Stimmen, die zusammen mit der Abstimmung im Rat erfasst werden), Zirkulationsverfahren oder Stimmabgabe an virtuellen Sitzungen. Geheime Verfahren: Stimmzettel, elektronische geheime Abstimmung. Das Verfahren bestimmt, ob Einzelstimmen erfasst werden können.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36"/>
    <w:bookmarkStart w:id="137"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7"/>
    <w:bookmarkEnd w:id="138"/>
    <w:bookmarkStart w:id="150" w:name="enum-resolutiontypeenum"/>
    <w:p>
      <w:pPr>
        <w:pStyle w:val="berschrift3"/>
      </w:pPr>
      <w:r>
        <w:t xml:space="preserve">Enum: ResolutionTypeEnum</w:t>
      </w:r>
      <w:r>
        <w:t xml:space="preserve"> </w:t>
      </w:r>
      <w:bookmarkStart w:id="139" w:name="ResolutionTypeEnum"/>
      <w:bookmarkEnd w:id="139"/>
    </w:p>
    <w:p>
      <w:pPr>
        <w:pStyle w:val="FirstParagraph"/>
      </w:pPr>
      <w:r>
        <w:rPr>
          <w:i/>
          <w:iCs/>
        </w:rPr>
        <w:t xml:space="preserve">Art der Resolution zu einem Traktandum.</w:t>
      </w:r>
    </w:p>
    <w:p>
      <w:pPr>
        <w:pStyle w:val="Textkrper"/>
      </w:pPr>
      <w:r>
        <w:t xml:space="preserve">URI:</w:t>
      </w:r>
      <w:r>
        <w:t xml:space="preserve"> </w:t>
      </w:r>
      <w:hyperlink ns1:id="rId140">
        <w:r>
          <w:rPr>
            <w:rStyle w:val="Hyperlink"/>
          </w:rPr>
          <w:t xml:space="preserve">ops:ResolutionTypeEnum</w:t>
        </w:r>
      </w:hyperlink>
    </w:p>
    <w:bookmarkStart w:id="149"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 z.B. eine Gesetzesvorlage angenommen, ein Antrag gutgeheissen, ein Beschluss gefasst.</w:t>
            </w:r>
          </w:p>
        </w:tc>
      </w:tr>
      <w:tr>
        <w:tc>
          <w:tcPr/>
          <w:p>
            <w:pPr>
              <w:pStyle w:val="Compact"/>
            </w:pPr>
          </w:p>
        </w:tc>
        <w:tc>
          <w:tcPr/>
          <w:p>
            <w:pPr>
              <w:pStyle w:val="Compact"/>
            </w:pPr>
            <w:hyperlink ns1:id="rId141">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 z.B. eine Gesetzesvorlage abgelehnt, ein Antrag abgewiesen.</w:t>
            </w:r>
          </w:p>
        </w:tc>
      </w:tr>
      <w:tr>
        <w:tc>
          <w:tcPr/>
          <w:p>
            <w:pPr>
              <w:pStyle w:val="Compact"/>
            </w:pPr>
          </w:p>
        </w:tc>
        <w:tc>
          <w:tcPr/>
          <w:p>
            <w:pPr>
              <w:pStyle w:val="Compact"/>
            </w:pPr>
            <w:hyperlink ns1:id="rId142">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 z.B. Berichte ohne Abstimmung, Mitteilungen, informative Traktanden.</w:t>
            </w:r>
          </w:p>
        </w:tc>
      </w:tr>
      <w:tr>
        <w:tc>
          <w:tcPr/>
          <w:p>
            <w:pPr>
              <w:pStyle w:val="Compact"/>
            </w:pPr>
          </w:p>
        </w:tc>
        <w:tc>
          <w:tcPr/>
          <w:p>
            <w:pPr>
              <w:pStyle w:val="Compact"/>
            </w:pPr>
            <w:hyperlink ns1:id="rId143">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44">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45">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46">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47">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48">
              <w:r>
                <w:rPr>
                  <w:rStyle w:val="Hyperlink"/>
                </w:rPr>
                <w:t xml:space="preserve">ops:enum/resolution_type/other</w:t>
              </w:r>
            </w:hyperlink>
          </w:p>
        </w:tc>
      </w:tr>
    </w:tbl>
    <w:bookmarkEnd w:id="149"/>
    <w:bookmarkEnd w:id="150"/>
    <w:bookmarkEnd w:id="151"/>
    <w:bookmarkStart w:id="155" w:name="motion-anträge"/>
    <w:p>
      <w:pPr>
        <w:pStyle w:val="berschrift2"/>
      </w:pPr>
      <w:r>
        <w:t xml:space="preserve">Motion (Anträge)</w:t>
      </w:r>
    </w:p>
    <w:bookmarkStart w:id="154" w:name="klasse-motion"/>
    <w:p>
      <w:pPr>
        <w:pStyle w:val="berschrift3"/>
      </w:pPr>
      <w:r>
        <w:t xml:space="preserve">Klasse: Motion</w:t>
      </w:r>
      <w:r>
        <w:t xml:space="preserve"> </w:t>
      </w:r>
      <w:bookmarkStart w:id="152" w:name="Motion"/>
      <w:bookmarkEnd w:id="152"/>
    </w:p>
    <w:p>
      <w:pPr>
        <w:pStyle w:val="FirstParagraph"/>
      </w:pPr>
      <w:r>
        <w:rPr>
          <w:i/>
          <w:iCs/>
        </w:rPr>
        <w:t xml:space="preserve">Ein formaler Antrag, der während der Beratung gestellt wird, etwa ein Änderungsantrag zu einem Gesetzestext, ein Ordnungsantrag (z.B. Schluss der Debatte) oder ein Rückweisungsantrag. Er ist eine eigene Entität, weil ein Traktandum mehrere Anträge enthalten kann, die je einen eigenen Verlauf haben (gestellt, unterstützt, abgestimmt) und gegebenenfalls einzeln abgestimmt werden.</w:t>
      </w:r>
    </w:p>
    <w:bookmarkStart w:id="153"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Kurztitel des Antrags.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Vollständiger Antragstext.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53"/>
    <w:p>
      <w:r>
        <w:br w:type="page"/>
      </w:r>
    </w:p>
    <w:bookmarkEnd w:id="154"/>
    <w:bookmarkEnd w:id="155"/>
    <w:bookmarkEnd w:id="156"/>
    <w:bookmarkStart w:id="225"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w:t>
      </w:r>
    </w:p>
    <w:bookmarkStart w:id="186" w:name="voting-abstimmung"/>
    <w:p>
      <w:pPr>
        <w:pStyle w:val="berschrift2"/>
      </w:pPr>
      <w:r>
        <w:t xml:space="preserve">Voting (Abstimmung)</w:t>
      </w:r>
    </w:p>
    <w:bookmarkStart w:id="165" w:name="klasse-voting"/>
    <w:p>
      <w:pPr>
        <w:pStyle w:val="berschrift3"/>
      </w:pPr>
      <w:r>
        <w:t xml:space="preserve">Klasse: Voting</w:t>
      </w:r>
      <w:r>
        <w:t xml:space="preserve"> </w:t>
      </w:r>
      <w:bookmarkStart w:id="157" w:name="Voting"/>
      <w:bookmarkEnd w:id="157"/>
    </w:p>
    <w:p>
      <w:pPr>
        <w:pStyle w:val="FirstParagraph"/>
      </w:pPr>
      <w:r>
        <w:rPr>
          <w:i/>
          <w:iCs/>
        </w:rPr>
        <w:t xml:space="preserve">Eine Abstimmung über eine Sachfrage: der Abstimmungsgegenstand (Frage), das Verfahren, das Ergebnis mit dem Stimmenverhältnis und — bei offenen Abstimmungen — die Einzelstimmen der Mitglieder. Abgestimmt wird im Verlauf der Sitzung, weshalb die Abstimmung im Protokoll verankert ist (parent_protocol, parent_protocol_item); zudem ist sie mit der Sitzung (parent_meeting) und dem Geschäft (affair_id) verknüpft. Die Präsidentin oder der Präsident nimmt an Abstimmungen nicht teil, fällt bei Stimmengleichheit aber den Stichentscheid (tie_breaker). Der kategorische Entscheid (angenommen, abgelehnt, Kenntnisnahme …) wird nicht auf der Abstimmung, sondern in der Resolution des Traktandums festgehalten.</w:t>
      </w:r>
    </w:p>
    <w:bookmarkStart w:id="158"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das Ergebnis bei Stimmengleichheit durch den Stichentscheid der Präsidentin oder des Präsidenten zustande kam.</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Stimmenzahlen für die Optionen einer Auswahlabstimmung, ein Eintrag pro Option; tritt an die Stelle von total_count_yes, total_count_no und total_count_abstention (siehe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abwesender Mitglieder, die nicht teilnehmen konnten. Ob eine Abwesenheit entschuldigt war, hält die Anwesenheitsliste (Attendance) fest.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der das Ergebnis beschreibt, z.B. „Mit 120 zu 75 Stimmen bei 5 Enthaltungen angenommen“. Bei Abstimmungen wird der kategorische Entscheid (angenommen, abgelehnt, Kenntnisnahme …) nicht hier, sondern in der Resolution (resolution_type) des Traktandums festgehalten.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weshalb die Abstimmung im Protokoll und nicht in der vorgängig geplanten Traktandenliste verankert ist: Was traktandiert wurde, sagt noch nicht, worüber tatsächlich abgestimmt wurde. Umgekehrt führt das Protokoll seine Abstimmungen und Wahlen als Listen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58"/>
    <w:bookmarkStart w:id="159" w:name="verwendungen-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59"/>
    <w:bookmarkStart w:id="164" w:name="beispiele-6"/>
    <w:p>
      <w:pPr>
        <w:pStyle w:val="berschrift4"/>
      </w:pPr>
      <w:r>
        <w:t xml:space="preserve">Beispiele</w:t>
      </w:r>
    </w:p>
    <w:bookmarkStart w:id="160"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0"/>
    <w:bookmarkStart w:id="161"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1"/>
    <w:bookmarkStart w:id="162"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2"/>
    <w:bookmarkStart w:id="163"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3"/>
    <w:bookmarkEnd w:id="164"/>
    <w:bookmarkEnd w:id="165"/>
    <w:bookmarkStart w:id="174" w:name="enum-votingtypeenum"/>
    <w:p>
      <w:pPr>
        <w:pStyle w:val="berschrift3"/>
      </w:pPr>
      <w:r>
        <w:t xml:space="preserve">Enum: VotingTypeEnum</w:t>
      </w:r>
      <w:r>
        <w:t xml:space="preserve"> </w:t>
      </w:r>
      <w:bookmarkStart w:id="166" w:name="VotingTypeEnum"/>
      <w:bookmarkEnd w:id="166"/>
    </w:p>
    <w:p>
      <w:pPr>
        <w:pStyle w:val="FirstParagraph"/>
      </w:pPr>
      <w:r>
        <w:rPr>
          <w:i/>
          <w:iCs/>
        </w:rPr>
        <w:t xml:space="preserve">Art des Abstimmungsverfahrens.</w:t>
      </w:r>
    </w:p>
    <w:p>
      <w:pPr>
        <w:pStyle w:val="Textkrper"/>
      </w:pPr>
      <w:r>
        <w:t xml:space="preserve">URI:</w:t>
      </w:r>
      <w:r>
        <w:t xml:space="preserve"> </w:t>
      </w:r>
      <w:hyperlink ns1:id="rId167">
        <w:r>
          <w:rPr>
            <w:rStyle w:val="Hyperlink"/>
          </w:rPr>
          <w:t xml:space="preserve">ops:VotingTypeEnum</w:t>
        </w:r>
      </w:hyperlink>
    </w:p>
    <w:bookmarkStart w:id="173"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 während der Beratung, z.B. über Eintreten auf ein Geschäft, über einen Antrag, Gegenüberstellung zweier Anträge, die sich gegenseitig ausschliessen oder sich auf denselben Textabschnitt beziehen, Eventualabstimmung, wenn zu einem Abstimmungsgegenstand mehr als zwei Anträge vorliegen, über einen einzelnen Artikel eines Gesetzes oder Gesamtabstimmung nach der ersten Lesung eines Erlasses, der in zwei Lesungen beraten wird.</w:t>
            </w:r>
          </w:p>
        </w:tc>
      </w:tr>
      <w:tr>
        <w:tc>
          <w:tcPr/>
          <w:p>
            <w:pPr>
              <w:pStyle w:val="Compact"/>
            </w:pPr>
          </w:p>
        </w:tc>
        <w:tc>
          <w:tcPr/>
          <w:p>
            <w:pPr>
              <w:pStyle w:val="Compact"/>
            </w:pPr>
            <w:hyperlink ns1:id="rId168">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 über die Vorlage als Ganzes, z.B. nach der letzten Lesung eines Erlasses, Gesamtabstimmung über einen Beschluss, Annahme oder Ablehnung einer Vorlage in ihrer Gesamtheit oder punktweise Abstimmung über einen Vorstoss.</w:t>
            </w:r>
          </w:p>
        </w:tc>
      </w:tr>
      <w:tr>
        <w:tc>
          <w:tcPr/>
          <w:p>
            <w:pPr>
              <w:pStyle w:val="Compact"/>
            </w:pPr>
          </w:p>
        </w:tc>
        <w:tc>
          <w:tcPr/>
          <w:p>
            <w:pPr>
              <w:pStyle w:val="Compact"/>
            </w:pPr>
            <w:hyperlink ns1:id="rId169">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der Präsidentin oder des Präsidenten bei Stimmengleichheit. Die Präsidentin oder der Präsident nimmt an Abstimmungen nicht teil, entscheidet aber bei Stimmengleichheit. Endet eine geheime Abstimmung mit Stimmengleichheit, gilt stattdessen der Antrag des vorberatenden Ratsorgans als angenommen.</w:t>
            </w:r>
          </w:p>
        </w:tc>
      </w:tr>
      <w:tr>
        <w:tc>
          <w:tcPr/>
          <w:p>
            <w:pPr>
              <w:pStyle w:val="Compact"/>
            </w:pPr>
          </w:p>
        </w:tc>
        <w:tc>
          <w:tcPr/>
          <w:p>
            <w:pPr>
              <w:pStyle w:val="Compact"/>
            </w:pPr>
            <w:hyperlink ns1:id="rId170">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Abstimmung, z.B. über besonders heikle Sachgeschäfte wie ein Gnadengesuch oder die Aufhebung der Immunität, nach geheimer Beratung oder auf Antrag. Publiziert wird nur das Gesamtergebnis.</w:t>
            </w:r>
          </w:p>
        </w:tc>
      </w:tr>
      <w:tr>
        <w:tc>
          <w:tcPr/>
          <w:p>
            <w:pPr>
              <w:pStyle w:val="Compact"/>
            </w:pPr>
          </w:p>
        </w:tc>
        <w:tc>
          <w:tcPr/>
          <w:p>
            <w:pPr>
              <w:pStyle w:val="Compact"/>
            </w:pPr>
            <w:hyperlink ns1:id="rId171">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Anderer Abstimmungstyp, näher bezeichnet in type_label — z.B. eine Auswahlabstimmung über mehrere gleichgerichtete Anträge (siehe TotalOther).</w:t>
            </w:r>
          </w:p>
        </w:tc>
      </w:tr>
      <w:tr>
        <w:tc>
          <w:tcPr/>
          <w:p>
            <w:pPr>
              <w:pStyle w:val="Compact"/>
            </w:pPr>
          </w:p>
        </w:tc>
        <w:tc>
          <w:tcPr/>
          <w:p>
            <w:pPr>
              <w:pStyle w:val="Compact"/>
            </w:pPr>
            <w:hyperlink ns1:id="rId172">
              <w:r>
                <w:rPr>
                  <w:rStyle w:val="Hyperlink"/>
                </w:rPr>
                <w:t xml:space="preserve">ops:enum/voting_type/other</w:t>
              </w:r>
            </w:hyperlink>
          </w:p>
        </w:tc>
      </w:tr>
    </w:tbl>
    <w:bookmarkEnd w:id="173"/>
    <w:bookmarkEnd w:id="174"/>
    <w:bookmarkStart w:id="181" w:name="enum-majoritytypeenum"/>
    <w:p>
      <w:pPr>
        <w:pStyle w:val="berschrift3"/>
      </w:pPr>
      <w:r>
        <w:t xml:space="preserve">Enum: MajorityTypeEnum</w:t>
      </w:r>
      <w:r>
        <w:t xml:space="preserve"> </w:t>
      </w:r>
      <w:bookmarkStart w:id="175" w:name="MajorityTypeEnum"/>
      <w:bookmarkEnd w:id="175"/>
    </w:p>
    <w:p>
      <w:pPr>
        <w:pStyle w:val="FirstParagraph"/>
      </w:pPr>
      <w:r>
        <w:rPr>
          <w:i/>
          <w:iCs/>
        </w:rPr>
        <w:t xml:space="preserve">Art der für die Abstimmung erforderlichen Mehrheit.</w:t>
      </w:r>
    </w:p>
    <w:p>
      <w:pPr>
        <w:pStyle w:val="Textkrper"/>
      </w:pPr>
      <w:r>
        <w:t xml:space="preserve">URI:</w:t>
      </w:r>
      <w:r>
        <w:t xml:space="preserve"> </w:t>
      </w:r>
      <w:hyperlink ns1:id="rId176">
        <w:r>
          <w:rPr>
            <w:rStyle w:val="Hyperlink"/>
          </w:rPr>
          <w:t xml:space="preserve">ops:MajorityTypeEnum</w:t>
        </w:r>
      </w:hyperlink>
    </w:p>
    <w:bookmarkStart w:id="180"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 mehr als die Hälfte der Bezugsgrösse (Mitglieder oder abgegebene Stimmen, je nach massgebender Regelung), z.B. mindestens 101 von 200. Standardfall bei Personenwahlen wie der Wahl des Bundesrats oder der Kommissionspräsidien und in einigen Kantonen für Verfassungsänderungen erforderlich. Erreicht bei einer Wahl im ersten Wahlgang niemand das absolute Mehr, folgt meist ein zweiter Wahlgang, in dem das relative Mehr genügt.</w:t>
            </w:r>
          </w:p>
        </w:tc>
      </w:tr>
      <w:tr>
        <w:tc>
          <w:tcPr/>
          <w:p>
            <w:pPr>
              <w:pStyle w:val="Compact"/>
            </w:pPr>
          </w:p>
        </w:tc>
        <w:tc>
          <w:tcPr/>
          <w:p>
            <w:pPr>
              <w:pStyle w:val="Compact"/>
            </w:pPr>
            <w:hyperlink ns1:id="rId17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Zweidrittelmehrheit, z.B. mindestens 134 von 200; in einigen Kantonen für Verfassungsänderungen erforderlich.</w:t>
            </w:r>
          </w:p>
        </w:tc>
      </w:tr>
      <w:tr>
        <w:tc>
          <w:tcPr/>
          <w:p>
            <w:pPr>
              <w:pStyle w:val="Compact"/>
            </w:pPr>
          </w:p>
        </w:tc>
        <w:tc>
          <w:tcPr/>
          <w:p>
            <w:pPr>
              <w:pStyle w:val="Compact"/>
            </w:pPr>
            <w:hyperlink ns1:id="rId17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Anderes Mehrheitserfordernis, das nicht von den Standardkategorien abgedeckt ist, z.B. das relative Mehr unter mehreren Optionen einer Auswahlabstimmung.</w:t>
            </w:r>
          </w:p>
        </w:tc>
      </w:tr>
      <w:tr>
        <w:tc>
          <w:tcPr/>
          <w:p>
            <w:pPr>
              <w:pStyle w:val="Compact"/>
            </w:pPr>
          </w:p>
        </w:tc>
        <w:tc>
          <w:tcPr/>
          <w:p>
            <w:pPr>
              <w:pStyle w:val="Compact"/>
            </w:pPr>
            <w:hyperlink ns1:id="rId179">
              <w:r>
                <w:rPr>
                  <w:rStyle w:val="Hyperlink"/>
                </w:rPr>
                <w:t xml:space="preserve">ops:enum/majority_type/other</w:t>
              </w:r>
            </w:hyperlink>
          </w:p>
        </w:tc>
      </w:tr>
    </w:tbl>
    <w:bookmarkEnd w:id="180"/>
    <w:bookmarkEnd w:id="181"/>
    <w:bookmarkStart w:id="185" w:name="klasse-totalother"/>
    <w:p>
      <w:pPr>
        <w:pStyle w:val="berschrift3"/>
      </w:pPr>
      <w:r>
        <w:t xml:space="preserve">Klasse: TotalOther</w:t>
      </w:r>
      <w:r>
        <w:t xml:space="preserve"> </w:t>
      </w:r>
      <w:bookmarkStart w:id="182" w:name="TotalOther"/>
      <w:bookmarkEnd w:id="182"/>
    </w:p>
    <w:p>
      <w:pPr>
        <w:pStyle w:val="FirstParagraph"/>
      </w:pPr>
      <w:r>
        <w:rPr>
          <w:i/>
          <w:iCs/>
        </w:rPr>
        <w:t xml:space="preserve">Stimmenzahl für eine Option einer Auswahlabstimmung. Liegen zu derselben Sachfrage mehrere gleichgerichtete Anträge vor, stimmen die Mitglieder über mehr als zwei Varianten gleichzeitig ab, und es obsiegt die Variante mit den meisten Stimmen (in Zürich umgangssprachlich „Cup-Abstimmung“, technisch über mehrere Abstimmungsknöpfe). Eine solche Abstimmung wird mit voting_type other und einem sprechenden type_label abgebildet; total_count_yes, total_count_no und total_count_abstention bleiben leer, und jede Option erhält einen Eintrag mit count und label. Beispiel: Gemeinderat der Stadt Zürich, Sitzung vom 28. Februar 2024, Geschäft 2023/361, vier Optionen mit 75, 25, 12 und 0 Stimmen.</w:t>
      </w:r>
    </w:p>
    <w:bookmarkStart w:id="183"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183"/>
    <w:bookmarkStart w:id="184" w:name="verwendungen-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4"/>
    <w:bookmarkEnd w:id="185"/>
    <w:bookmarkEnd w:id="186"/>
    <w:bookmarkStart w:id="212" w:name="individual-vote-einzelstimme"/>
    <w:p>
      <w:pPr>
        <w:pStyle w:val="berschrift2"/>
      </w:pPr>
      <w:r>
        <w:t xml:space="preserve">Individual Vote (Einzelstimme)</w:t>
      </w:r>
    </w:p>
    <w:bookmarkStart w:id="201" w:name="klasse-individualvote"/>
    <w:p>
      <w:pPr>
        <w:pStyle w:val="berschrift3"/>
      </w:pPr>
      <w:r>
        <w:t xml:space="preserve">Klasse: IndividualVote</w:t>
      </w:r>
      <w:r>
        <w:t xml:space="preserve"> </w:t>
      </w:r>
      <w:bookmarkStart w:id="187" w:name="IndividualVote"/>
      <w:bookmarkEnd w:id="187"/>
    </w:p>
    <w:p>
      <w:pPr>
        <w:pStyle w:val="FirstParagraph"/>
      </w:pPr>
      <w:r>
        <w:rPr>
          <w:i/>
          <w:iCs/>
        </w:rPr>
        <w:t xml:space="preserve">Die Stimme, die ein einzelnes Mitglied in einer Abstimmung abgibt. Einzelstimmen werden nur bei offenen Abstimmungen erfasst; bei geheimen Abstimmungen wird nur das Gesamtergebnis publiziert. Eine Einzelstimme betrifft eine bestimmte Abstimmung und unterscheidet sich von der Anwesenheit (Attendance), welche die Präsenz an der Sitzung als Ganzes festhält: Ein an der Sitzung anwesendes Mitglied kann bei einer einzelnen Abstimmung mit not_voted erfasst werden, etwa weil es kurz den Saal verlassen hat.</w:t>
      </w:r>
    </w:p>
    <w:bookmarkStart w:id="188"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Das Mitglied, das die Stimme abgegeben hat, als Referenz auf eine Person gemäss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Stimmgewicht des Mitglieds; im Normalfall 1. Andere Werte kommen etwa vor, wo ein Mitglied für ein abwesendes Mitglied mitstimmt (Stellvertretung, Gewicht 2), an Gemeindeversammlungen, an denen juristische Personen mehrere Stimmen haben, oder in historischen Systemen, in denen verschiedene Personengruppen unterschiedliches Stimmgewicht hatten.</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88"/>
    <w:bookmarkStart w:id="189" w:name="verwendungen-1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89"/>
    <w:bookmarkStart w:id="200" w:name="beispiele-7"/>
    <w:p>
      <w:pPr>
        <w:pStyle w:val="berschrift4"/>
      </w:pPr>
      <w:r>
        <w:t xml:space="preserve">Beispiele</w:t>
      </w:r>
    </w:p>
    <w:bookmarkStart w:id="190" w:name="beispiel-individualvote-nein-stimme"/>
    <w:p>
      <w:pPr>
        <w:pStyle w:val="berschrift5"/>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0"/>
    <w:bookmarkStart w:id="191"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1"/>
    <w:bookmarkStart w:id="192"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2"/>
    <w:bookmarkStart w:id="193"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4"/>
    <w:bookmarkStart w:id="19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6"/>
    <w:bookmarkStart w:id="197"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7"/>
    <w:bookmarkStart w:id="198"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8"/>
    <w:bookmarkStart w:id="199"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End w:id="200"/>
    <w:bookmarkEnd w:id="201"/>
    <w:bookmarkStart w:id="211" w:name="enum-individualvotetypeenum"/>
    <w:p>
      <w:pPr>
        <w:pStyle w:val="berschrift3"/>
      </w:pPr>
      <w:r>
        <w:t xml:space="preserve">Enum: IndividualVoteTypeEnum</w:t>
      </w:r>
      <w:r>
        <w:t xml:space="preserve"> </w:t>
      </w:r>
      <w:bookmarkStart w:id="202" w:name="IndividualVoteTypeEnum"/>
      <w:bookmarkEnd w:id="202"/>
    </w:p>
    <w:p>
      <w:pPr>
        <w:pStyle w:val="FirstParagraph"/>
      </w:pPr>
      <w:r>
        <w:rPr>
          <w:i/>
          <w:iCs/>
        </w:rPr>
        <w:t xml:space="preserve">Art der Einzelstimme eines Mitglieds.</w:t>
      </w:r>
    </w:p>
    <w:p>
      <w:pPr>
        <w:pStyle w:val="Textkrper"/>
      </w:pPr>
      <w:r>
        <w:t xml:space="preserve">URI:</w:t>
      </w:r>
      <w:r>
        <w:t xml:space="preserve"> </w:t>
      </w:r>
      <w:hyperlink ns1:id="rId203">
        <w:r>
          <w:rPr>
            <w:rStyle w:val="Hyperlink"/>
          </w:rPr>
          <w:t xml:space="preserve">ops:IndividualVoteTypeEnum</w:t>
        </w:r>
      </w:hyperlink>
    </w:p>
    <w:bookmarkStart w:id="210"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 Das Mitglied stimmt der Vorlage oder dem Antrag zu.</w:t>
            </w:r>
          </w:p>
        </w:tc>
      </w:tr>
      <w:tr>
        <w:tc>
          <w:tcPr/>
          <w:p>
            <w:pPr>
              <w:pStyle w:val="Compact"/>
            </w:pPr>
          </w:p>
        </w:tc>
        <w:tc>
          <w:tcPr/>
          <w:p>
            <w:pPr>
              <w:pStyle w:val="Compact"/>
            </w:pPr>
            <w:hyperlink ns1:id="rId204">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 Das Mitglied lehnt die Vorlage oder den Antrag ab.</w:t>
            </w:r>
          </w:p>
        </w:tc>
      </w:tr>
      <w:tr>
        <w:tc>
          <w:tcPr/>
          <w:p>
            <w:pPr>
              <w:pStyle w:val="Compact"/>
            </w:pPr>
          </w:p>
        </w:tc>
        <w:tc>
          <w:tcPr/>
          <w:p>
            <w:pPr>
              <w:pStyle w:val="Compact"/>
            </w:pPr>
            <w:hyperlink ns1:id="rId205">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 Das Mitglied nimmt an der Abstimmung teil, enthält sich aber der Stimme; bei elektronischer Stimmabgabe drückt es den Knopf „Enthaltung“.</w:t>
            </w:r>
          </w:p>
        </w:tc>
      </w:tr>
      <w:tr>
        <w:tc>
          <w:tcPr/>
          <w:p>
            <w:pPr>
              <w:pStyle w:val="Compact"/>
            </w:pPr>
          </w:p>
        </w:tc>
        <w:tc>
          <w:tcPr/>
          <w:p>
            <w:pPr>
              <w:pStyle w:val="Compact"/>
            </w:pPr>
            <w:hyperlink ns1:id="rId206">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gestimmt: Das Mitglied hat keine Stimme abgegeben, etwa weil es anwesend war, aber nicht gestimmt hat, oder abwesend war.</w:t>
            </w:r>
          </w:p>
        </w:tc>
      </w:tr>
      <w:tr>
        <w:tc>
          <w:tcPr/>
          <w:p>
            <w:pPr>
              <w:pStyle w:val="Compact"/>
            </w:pPr>
          </w:p>
        </w:tc>
        <w:tc>
          <w:tcPr/>
          <w:p>
            <w:pPr>
              <w:pStyle w:val="Compact"/>
            </w:pPr>
            <w:hyperlink ns1:id="rId207">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den die Präsidentin oder der Präsident bei Stimmengleichheit fällt (siehe voting_type tie_breaker_president).</w:t>
            </w:r>
          </w:p>
        </w:tc>
      </w:tr>
      <w:tr>
        <w:tc>
          <w:tcPr/>
          <w:p>
            <w:pPr>
              <w:pStyle w:val="Compact"/>
            </w:pPr>
          </w:p>
        </w:tc>
        <w:tc>
          <w:tcPr/>
          <w:p>
            <w:pPr>
              <w:pStyle w:val="Compact"/>
            </w:pPr>
            <w:hyperlink ns1:id="rId208">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Stimme, die sich nicht auf die Ja/Nein-Achse bringen lässt — etwa bei einer Auswahlabstimmung, bei der das Mitglied gestimmt hat, aber weder Ja noch Nein; welche Option es gewählt hat, hält type_label fest (z.B. „Auswahl A“). Gegenstück zu total_other auf der Abstimmung; so bleibt die Einzelstimme auswertbar, ohne dass jede kantonale Auswahlmechanik einen eigenen Enum-Wert braucht.</w:t>
            </w:r>
          </w:p>
        </w:tc>
      </w:tr>
      <w:tr>
        <w:tc>
          <w:tcPr/>
          <w:p>
            <w:pPr>
              <w:pStyle w:val="Compact"/>
            </w:pPr>
          </w:p>
        </w:tc>
        <w:tc>
          <w:tcPr/>
          <w:p>
            <w:pPr>
              <w:pStyle w:val="Compact"/>
            </w:pPr>
            <w:hyperlink ns1:id="rId209">
              <w:r>
                <w:rPr>
                  <w:rStyle w:val="Hyperlink"/>
                </w:rPr>
                <w:t xml:space="preserve">ops:enum/individual_vote_type/other</w:t>
              </w:r>
            </w:hyperlink>
          </w:p>
        </w:tc>
      </w:tr>
    </w:tbl>
    <w:bookmarkEnd w:id="210"/>
    <w:bookmarkEnd w:id="211"/>
    <w:bookmarkEnd w:id="212"/>
    <w:bookmarkStart w:id="224" w:name="election-wahl"/>
    <w:p>
      <w:pPr>
        <w:pStyle w:val="berschrift2"/>
      </w:pPr>
      <w:r>
        <w:t xml:space="preserve">Election (Wahl)</w:t>
      </w:r>
    </w:p>
    <w:bookmarkStart w:id="216" w:name="klasse-election"/>
    <w:p>
      <w:pPr>
        <w:pStyle w:val="berschrift3"/>
      </w:pPr>
      <w:r>
        <w:t xml:space="preserve">Klasse: Election</w:t>
      </w:r>
      <w:r>
        <w:t xml:space="preserve"> </w:t>
      </w:r>
      <w:bookmarkStart w:id="213" w:name="Election"/>
      <w:bookmarkEnd w:id="213"/>
    </w:p>
    <w:p>
      <w:pPr>
        <w:pStyle w:val="FirstParagraph"/>
      </w:pPr>
      <w:r>
        <w:rPr>
          <w:i/>
          <w:iCs/>
        </w:rPr>
        <w:t xml:space="preserve">Eine Wahl, mit der ein parlamentarisches Organ eine oder mehrere Personen für ein Amt oder eine Funktion bestimmt. Im Unterschied zur Abstimmung (Voting), die über Sachfragen entscheidet, ist die Wahl ein Personenentscheid: Sie erfolgt oft geheim und erfordert meist das absolute Mehr, während Abstimmungen meist offen sind. Die Präsidentin oder der Präsident, die an Abstimmungen nicht teilnehmen, stimmen bei Wahlen mit. Jeder Wahlgang wird als eigene Wahl erfasst; die Wahlgänge einer Wahl sind über das gemeinsame Traktandum verbunden — etwa ein erster Wahlgang mit absolutem Mehr, der ohne Ergebnis bleibt, und ein zweiter Wahlgang, in dem das relative Mehr genügt.</w:t>
      </w:r>
    </w:p>
    <w:bookmarkStart w:id="214"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der Wahl, z.B. „Wahl Kommissionspräsidium WAK“.</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Anzahl abwesender Mitglieder, die nicht teilnehmen konnten. Ob eine Abwesenheit entschuldigt war, hält die Anwesenheitsliste (Attendance) fest.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der das Ergebnis beschreibt, z.B. „Mit 120 zu 75 Stimmen bei 5 Enthaltungen angenommen“. Bei Abstimmungen wird der kategorische Entscheid (angenommen, abgelehnt, Kenntnisnahme …) nicht hier, sondern in der Resolution (resolution_type) des Traktandums festgehalten.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weshalb die Abstimmung im Protokoll und nicht in der vorgängig geplanten Traktandenliste verankert ist: Was traktandiert wurde, sagt noch nicht, worüber tatsächlich abgestimmt wurde. Umgekehrt führt das Protokoll seine Abstimmungen und Wahlen als Listen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14"/>
    <w:bookmarkStart w:id="215"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5"/>
    <w:bookmarkEnd w:id="216"/>
    <w:bookmarkStart w:id="223" w:name="enum-electiontypeenum"/>
    <w:p>
      <w:pPr>
        <w:pStyle w:val="berschrift3"/>
      </w:pPr>
      <w:r>
        <w:t xml:space="preserve">Enum: ElectionTypeEnum</w:t>
      </w:r>
      <w:r>
        <w:t xml:space="preserve"> </w:t>
      </w:r>
      <w:bookmarkStart w:id="217" w:name="ElectionTypeEnum"/>
      <w:bookmarkEnd w:id="217"/>
    </w:p>
    <w:p>
      <w:pPr>
        <w:pStyle w:val="FirstParagraph"/>
      </w:pPr>
      <w:r>
        <w:rPr>
          <w:i/>
          <w:iCs/>
        </w:rPr>
        <w:t xml:space="preserve">Art des Wahlverfahrens.</w:t>
      </w:r>
    </w:p>
    <w:p>
      <w:pPr>
        <w:pStyle w:val="Textkrper"/>
      </w:pPr>
      <w:r>
        <w:t xml:space="preserve">URI:</w:t>
      </w:r>
      <w:r>
        <w:t xml:space="preserve"> </w:t>
      </w:r>
      <w:hyperlink ns1:id="rId218">
        <w:r>
          <w:rPr>
            <w:rStyle w:val="Hyperlink"/>
          </w:rPr>
          <w:t xml:space="preserve">ops:ElectionTypeEnum</w:t>
        </w:r>
      </w:hyperlink>
    </w:p>
    <w:bookmarkStart w:id="222"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 Die Stimmen werden anonym abgegeben, mit Wahlzettel oder elektronischem Geheimwahlsystem, sodass nicht nachvollziehbar ist, wer wen gewählt hat. Standard bei Personenwahlen und oft gesetzlich vorgeschrieben — auf Bundesebene z.B. Bundesrat (durch die Vereinigte Bundesversammlung, in den ersten Wahlgängen mit absolutem Mehr), Bundesrichterinnen und Bundesrichter sowie Kommissionspräsidien; auf Kantonsebene z.B. Parlamentspräsidentin oder Parlamentspräsident, Regierungspräsidentin oder Regierungspräsident, Präsidentinnen und Präsidenten der obersten Gerichte, Richterinnen und Richter, Staatsschreiberin oder Staatsschreiber sowie Kommissionspräsidien. Publiziert wird nur das Gesamtergebnis, keine Einzelstimmen.</w:t>
            </w:r>
          </w:p>
        </w:tc>
      </w:tr>
      <w:tr>
        <w:tc>
          <w:tcPr/>
          <w:p>
            <w:pPr>
              <w:pStyle w:val="Compact"/>
            </w:pPr>
          </w:p>
        </w:tc>
        <w:tc>
          <w:tcPr/>
          <w:p>
            <w:pPr>
              <w:pStyle w:val="Compact"/>
            </w:pPr>
            <w:hyperlink ns1:id="rId219">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 Die Stimmen werden offen abgegeben, und es ist nachvollziehbar, wer wen gewählt hat; Einzelstimmen können daher erfasst werden. Üblich, wo Transparenz gewünscht ist, bei unumstrittenen Wahlen oder in kleineren Gremien.</w:t>
            </w:r>
          </w:p>
        </w:tc>
      </w:tr>
      <w:tr>
        <w:tc>
          <w:tcPr/>
          <w:p>
            <w:pPr>
              <w:pStyle w:val="Compact"/>
            </w:pPr>
          </w:p>
        </w:tc>
        <w:tc>
          <w:tcPr/>
          <w:p>
            <w:pPr>
              <w:pStyle w:val="Compact"/>
            </w:pPr>
            <w:hyperlink ns1:id="rId220">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formale Abstimmung, durch Akklamation oder Konsens; nur möglich, wenn keine Gegenstimmen erhoben werden, z.B. die Wiederwahl einer Kommissionspräsidentin oder eines Kommissionspräsidenten ohne Gegenkandidatur.</w:t>
            </w:r>
          </w:p>
        </w:tc>
      </w:tr>
      <w:tr>
        <w:tc>
          <w:tcPr/>
          <w:p>
            <w:pPr>
              <w:pStyle w:val="Compact"/>
            </w:pPr>
          </w:p>
        </w:tc>
        <w:tc>
          <w:tcPr/>
          <w:p>
            <w:pPr>
              <w:pStyle w:val="Compact"/>
            </w:pPr>
            <w:hyperlink ns1:id="rId221">
              <w:r>
                <w:rPr>
                  <w:rStyle w:val="Hyperlink"/>
                </w:rPr>
                <w:t xml:space="preserve">ops:enum/election_type/silent</w:t>
              </w:r>
            </w:hyperlink>
          </w:p>
        </w:tc>
      </w:tr>
    </w:tbl>
    <w:bookmarkEnd w:id="222"/>
    <w:p>
      <w:r>
        <w:br w:type="page"/>
      </w:r>
    </w:p>
    <w:bookmarkEnd w:id="223"/>
    <w:bookmarkEnd w:id="224"/>
    <w:bookmarkEnd w:id="225"/>
    <w:bookmarkStart w:id="257"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230" w:name="attendance-anwesenheit"/>
    <w:p>
      <w:pPr>
        <w:pStyle w:val="berschrift2"/>
      </w:pPr>
      <w:r>
        <w:t xml:space="preserve">Attendance (Anwesenheit)</w:t>
      </w:r>
    </w:p>
    <w:bookmarkStart w:id="226" w:name="begriff-und-bedeutung"/>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226"/>
    <w:bookmarkStart w:id="229" w:name="zweiebenen-struktur"/>
    <w:p>
      <w:pPr>
        <w:pStyle w:val="berschrift3"/>
      </w:pPr>
      <w:r>
        <w:t xml:space="preserve">Zweiebenen-Struktur</w:t>
      </w:r>
    </w:p>
    <w:p>
      <w:pPr>
        <w:pStyle w:val="FirstParagraph"/>
      </w:pPr>
      <w:r>
        <w:t xml:space="preserve">Der Standard unterscheidet zwischen zwei Ebenen der Anwesenheitserfassung:</w:t>
      </w:r>
    </w:p>
    <w:bookmarkStart w:id="227"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227"/>
    <w:bookmarkStart w:id="228"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228"/>
    <w:bookmarkEnd w:id="229"/>
    <w:bookmarkEnd w:id="230"/>
    <w:bookmarkStart w:id="234" w:name="attendance-aggregierte-ebene-1"/>
    <w:p>
      <w:pPr>
        <w:pStyle w:val="berschrift2"/>
      </w:pPr>
      <w:r>
        <w:t xml:space="preserve">Attendance (Aggregierte Ebene)</w:t>
      </w:r>
    </w:p>
    <w:bookmarkStart w:id="231" w:name="zuordnung-zu-meeting-und-organ"/>
    <w:p>
      <w:pPr>
        <w:pStyle w:val="berschrift4"/>
      </w:pPr>
      <w:r>
        <w:t xml:space="preserve">Zuordnung zu Meeting und Organ</w:t>
      </w:r>
    </w:p>
    <w:p>
      <w:pPr>
        <w:pStyle w:val="Compact"/>
        <w:numPr>
          <w:ilvl w:val="0"/>
          <w:numId w:val="1002"/>
        </w:numPr>
      </w:pPr>
      <w:r>
        <w:rPr>
          <w:b/>
          <w:bCs/>
        </w:rPr>
        <w:t xml:space="preserve">parent_meeting</w:t>
      </w:r>
      <w:r>
        <w:t xml:space="preserve">: Verweis auf die spezifische Sitzung, zu der die Anwesenheitsliste gehört</w:t>
      </w:r>
    </w:p>
    <w:p>
      <w:pPr>
        <w:pStyle w:val="Compact"/>
        <w:numPr>
          <w:ilvl w:val="0"/>
          <w:numId w:val="1002"/>
        </w:numPr>
      </w:pPr>
      <w:r>
        <w:rPr>
          <w:b/>
          <w:bCs/>
        </w:rPr>
        <w:t xml:space="preserve">actor_id</w:t>
      </w:r>
      <w:r>
        <w:t xml:space="preserve">: Verweis auf das Organ (Parlament, Kommission) gemäss eCH-0294 Actors</w:t>
      </w:r>
    </w:p>
    <w:p>
      <w:pPr>
        <w:pStyle w:val="Compact"/>
        <w:numPr>
          <w:ilvl w:val="0"/>
          <w:numId w:val="1002"/>
        </w:numPr>
      </w:pPr>
      <w:r>
        <w:rPr>
          <w:b/>
          <w:bCs/>
        </w:rPr>
        <w:t xml:space="preserve">datetime_begin</w:t>
      </w:r>
      <w:r>
        <w:t xml:space="preserve">: Zeitpunkt der Anwesenheitserfassung</w:t>
      </w:r>
    </w:p>
    <w:bookmarkEnd w:id="231"/>
    <w:bookmarkStart w:id="232" w:name="aggregierte-zahlen"/>
    <w:p>
      <w:pPr>
        <w:pStyle w:val="berschrift4"/>
      </w:pPr>
      <w:r>
        <w:t xml:space="preserve">Aggregierte Zahlen</w:t>
      </w:r>
    </w:p>
    <w:p>
      <w:pPr>
        <w:pStyle w:val="Compact"/>
        <w:numPr>
          <w:ilvl w:val="0"/>
          <w:numId w:val="1003"/>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03"/>
        </w:numPr>
      </w:pPr>
      <w:r>
        <w:rPr>
          <w:b/>
          <w:bCs/>
        </w:rPr>
        <w:t xml:space="preserve">total_present</w:t>
      </w:r>
      <w:r>
        <w:t xml:space="preserve">: Anzahl anwesender Mitglieder</w:t>
      </w:r>
    </w:p>
    <w:p>
      <w:pPr>
        <w:pStyle w:val="Compact"/>
        <w:numPr>
          <w:ilvl w:val="0"/>
          <w:numId w:val="1003"/>
        </w:numPr>
      </w:pPr>
      <w:r>
        <w:rPr>
          <w:b/>
          <w:bCs/>
        </w:rPr>
        <w:t xml:space="preserve">total_excused</w:t>
      </w:r>
      <w:r>
        <w:t xml:space="preserve">: Anzahl entschuldigter Mitglieder</w:t>
      </w:r>
    </w:p>
    <w:p>
      <w:pPr>
        <w:pStyle w:val="Compact"/>
        <w:numPr>
          <w:ilvl w:val="0"/>
          <w:numId w:val="1003"/>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232"/>
    <w:bookmarkStart w:id="233"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233"/>
    <w:bookmarkEnd w:id="234"/>
    <w:bookmarkStart w:id="256" w:name="X2f45a2f6dd4499f3abb5cdfccb683a544487966"/>
    <w:p>
      <w:pPr>
        <w:pStyle w:val="berschrift2"/>
      </w:pPr>
      <w:r>
        <w:t xml:space="preserve">IndividualAttendance (Individuelle Ebene)</w:t>
      </w:r>
    </w:p>
    <w:bookmarkStart w:id="235" w:name="verknüpfung"/>
    <w:p>
      <w:pPr>
        <w:pStyle w:val="berschrift4"/>
      </w:pPr>
      <w:r>
        <w:t xml:space="preserve">Verknüpfung</w:t>
      </w:r>
    </w:p>
    <w:p>
      <w:pPr>
        <w:pStyle w:val="Compact"/>
        <w:numPr>
          <w:ilvl w:val="0"/>
          <w:numId w:val="1004"/>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04"/>
        </w:numPr>
      </w:pPr>
      <w:r>
        <w:rPr>
          <w:b/>
          <w:bCs/>
        </w:rPr>
        <w:t xml:space="preserve">actor_id</w:t>
      </w:r>
      <w:r>
        <w:t xml:space="preserve">: Verweis auf die Person gemäss eCH-0294 Actors</w:t>
      </w:r>
    </w:p>
    <w:bookmarkEnd w:id="235"/>
    <w:bookmarkStart w:id="237"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05"/>
        </w:numPr>
      </w:pPr>
      <w:r>
        <w:rPr>
          <w:b/>
          <w:bCs/>
        </w:rPr>
        <w:t xml:space="preserve">present</w:t>
      </w:r>
      <w:r>
        <w:t xml:space="preserve">: Persönlich anwesend</w:t>
      </w:r>
    </w:p>
    <w:p>
      <w:pPr>
        <w:pStyle w:val="Compact"/>
        <w:numPr>
          <w:ilvl w:val="0"/>
          <w:numId w:val="1005"/>
        </w:numPr>
      </w:pPr>
      <w:r>
        <w:rPr>
          <w:b/>
          <w:bCs/>
        </w:rPr>
        <w:t xml:space="preserve">remote</w:t>
      </w:r>
      <w:r>
        <w:t xml:space="preserve">: Per Fernzugriff (z.B. Videokonferenz) anwesend</w:t>
      </w:r>
    </w:p>
    <w:p>
      <w:pPr>
        <w:pStyle w:val="Compact"/>
        <w:numPr>
          <w:ilvl w:val="0"/>
          <w:numId w:val="1005"/>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236">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237"/>
    <w:bookmarkStart w:id="238"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Verspätung oder Vertretung als Freitext erfassen.</w:t>
      </w:r>
    </w:p>
    <w:bookmarkEnd w:id="238"/>
    <w:bookmarkStart w:id="239"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239"/>
    <w:bookmarkStart w:id="240" w:name="verwendungszwecke"/>
    <w:p>
      <w:pPr>
        <w:pStyle w:val="berschrift3"/>
      </w:pPr>
      <w:r>
        <w:t xml:space="preserve">Verwendungszwecke</w:t>
      </w:r>
    </w:p>
    <w:p>
      <w:pPr>
        <w:pStyle w:val="FirstParagraph"/>
      </w:pPr>
      <w:r>
        <w:t xml:space="preserve">Die Attendance-Entitäten ermöglichen:</w:t>
      </w:r>
    </w:p>
    <w:p>
      <w:pPr>
        <w:pStyle w:val="Compact"/>
        <w:numPr>
          <w:ilvl w:val="0"/>
          <w:numId w:val="1006"/>
        </w:numPr>
      </w:pPr>
      <w:r>
        <w:rPr>
          <w:b/>
          <w:bCs/>
        </w:rPr>
        <w:t xml:space="preserve">Dokumentation</w:t>
      </w:r>
      <w:r>
        <w:t xml:space="preserve">: Nachvollziehbare Erfassung der Teilnahme</w:t>
      </w:r>
    </w:p>
    <w:p>
      <w:pPr>
        <w:pStyle w:val="Compact"/>
        <w:numPr>
          <w:ilvl w:val="0"/>
          <w:numId w:val="1006"/>
        </w:numPr>
      </w:pPr>
      <w:r>
        <w:rPr>
          <w:b/>
          <w:bCs/>
        </w:rPr>
        <w:t xml:space="preserve">Quorum-Prüfung</w:t>
      </w:r>
      <w:r>
        <w:t xml:space="preserve">: Sicherstellung der Beschlussfähigkeit</w:t>
      </w:r>
    </w:p>
    <w:p>
      <w:pPr>
        <w:pStyle w:val="Compact"/>
        <w:numPr>
          <w:ilvl w:val="0"/>
          <w:numId w:val="1006"/>
        </w:numPr>
      </w:pPr>
      <w:r>
        <w:rPr>
          <w:b/>
          <w:bCs/>
        </w:rPr>
        <w:t xml:space="preserve">Transparenz</w:t>
      </w:r>
      <w:r>
        <w:t xml:space="preserve">: Öffentliche Information über Anwesenheit</w:t>
      </w:r>
    </w:p>
    <w:p>
      <w:pPr>
        <w:pStyle w:val="Compact"/>
        <w:numPr>
          <w:ilvl w:val="0"/>
          <w:numId w:val="1006"/>
        </w:numPr>
      </w:pPr>
      <w:r>
        <w:rPr>
          <w:b/>
          <w:bCs/>
        </w:rPr>
        <w:t xml:space="preserve">Rechenschaft</w:t>
      </w:r>
      <w:r>
        <w:t xml:space="preserve">: Kontrolle der Pflichtenerfüllung</w:t>
      </w:r>
    </w:p>
    <w:p>
      <w:pPr>
        <w:pStyle w:val="Compact"/>
        <w:numPr>
          <w:ilvl w:val="0"/>
          <w:numId w:val="1006"/>
        </w:numPr>
      </w:pPr>
      <w:r>
        <w:rPr>
          <w:b/>
          <w:bCs/>
        </w:rPr>
        <w:t xml:space="preserve">Statistik</w:t>
      </w:r>
      <w:r>
        <w:t xml:space="preserve">: Auswertung von Anwesenheitsquoten</w:t>
      </w:r>
    </w:p>
    <w:p>
      <w:pPr>
        <w:pStyle w:val="Compact"/>
        <w:numPr>
          <w:ilvl w:val="0"/>
          <w:numId w:val="1006"/>
        </w:numPr>
      </w:pPr>
      <w:r>
        <w:rPr>
          <w:b/>
          <w:bCs/>
        </w:rPr>
        <w:t xml:space="preserve">Administration</w:t>
      </w:r>
      <w:r>
        <w:t xml:space="preserve">: Berechnung von Entschädigungen und Spesen</w:t>
      </w:r>
    </w:p>
    <w:bookmarkEnd w:id="240"/>
    <w:bookmarkStart w:id="244" w:name="klasse-attendance"/>
    <w:p>
      <w:pPr>
        <w:pStyle w:val="berschrift3"/>
      </w:pPr>
      <w:r>
        <w:t xml:space="preserve">Klasse: Attendance</w:t>
      </w:r>
      <w:r>
        <w:t xml:space="preserve"> </w:t>
      </w:r>
      <w:bookmarkStart w:id="241" w:name="Attendance"/>
      <w:bookmarkEnd w:id="241"/>
    </w:p>
    <w:p>
      <w:pPr>
        <w:pStyle w:val="FirstParagraph"/>
      </w:pPr>
      <w:r>
        <w:rPr>
          <w:i/>
          <w:iCs/>
        </w:rPr>
        <w:t xml:space="preserve">Aggregierte Anwesenheitsliste für eine Sitzung (Anzahl Anwesende, Abwesende, Entschuldigte).</w:t>
      </w:r>
    </w:p>
    <w:bookmarkStart w:id="242"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abwesender Mitglieder, die nicht teilnehmen konnten. Ob eine Abwesenheit entschuldigt war, hält die Anwesenheitsliste (Attendance) fest.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42"/>
    <w:bookmarkStart w:id="243"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3"/>
    <w:bookmarkEnd w:id="244"/>
    <w:bookmarkStart w:id="248" w:name="klasse-individualattendance"/>
    <w:p>
      <w:pPr>
        <w:pStyle w:val="berschrift3"/>
      </w:pPr>
      <w:r>
        <w:t xml:space="preserve">Klasse: IndividualAttendance</w:t>
      </w:r>
      <w:r>
        <w:t xml:space="preserve"> </w:t>
      </w:r>
      <w:bookmarkStart w:id="245" w:name="IndividualAttendance"/>
      <w:bookmarkEnd w:id="245"/>
    </w:p>
    <w:p>
      <w:pPr>
        <w:pStyle w:val="FirstParagraph"/>
      </w:pPr>
      <w:r>
        <w:rPr>
          <w:i/>
          <w:iCs/>
        </w:rPr>
        <w:t xml:space="preserve">Einzelne Anwesenheitsfeststellung einer Person an einer Sitzung (verknüpft über das übergeordnete Attendance-Aggregat).</w:t>
      </w:r>
    </w:p>
    <w:bookmarkStart w:id="246"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Verspätung oder Vertretung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46"/>
    <w:bookmarkStart w:id="247" w:name="verwendungen-1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7"/>
    <w:bookmarkEnd w:id="248"/>
    <w:bookmarkStart w:id="255" w:name="enum-attendancetypeenum"/>
    <w:p>
      <w:pPr>
        <w:pStyle w:val="berschrift3"/>
      </w:pPr>
      <w:r>
        <w:t xml:space="preserve">Enum: AttendanceTypeEnum</w:t>
      </w:r>
      <w:r>
        <w:t xml:space="preserve"> </w:t>
      </w:r>
      <w:bookmarkStart w:id="249" w:name="AttendanceTypeEnum"/>
      <w:bookmarkEnd w:id="249"/>
    </w:p>
    <w:p>
      <w:pPr>
        <w:pStyle w:val="FirstParagraph"/>
      </w:pPr>
      <w:r>
        <w:rPr>
          <w:i/>
          <w:iCs/>
        </w:rPr>
        <w:t xml:space="preserve">Art der individuellen Anwesenheit.</w:t>
      </w:r>
    </w:p>
    <w:p>
      <w:pPr>
        <w:pStyle w:val="Textkrper"/>
      </w:pPr>
      <w:r>
        <w:t xml:space="preserve">URI:</w:t>
      </w:r>
      <w:r>
        <w:t xml:space="preserve"> </w:t>
      </w:r>
      <w:hyperlink ns1:id="rId250">
        <w:r>
          <w:rPr>
            <w:rStyle w:val="Hyperlink"/>
          </w:rPr>
          <w:t xml:space="preserve">ops:AttendanceTypeEnum</w:t>
        </w:r>
      </w:hyperlink>
    </w:p>
    <w:bookmarkStart w:id="25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251">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252">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253">
              <w:r>
                <w:rPr>
                  <w:rStyle w:val="Hyperlink"/>
                </w:rPr>
                <w:t xml:space="preserve">ops:enum/attendance_type/present</w:t>
              </w:r>
            </w:hyperlink>
          </w:p>
        </w:tc>
      </w:tr>
    </w:tbl>
    <w:bookmarkEnd w:id="254"/>
    <w:p>
      <w:r>
        <w:br w:type="page"/>
      </w:r>
    </w:p>
    <w:bookmarkEnd w:id="255"/>
    <w:bookmarkEnd w:id="256"/>
    <w:bookmarkEnd w:id="257"/>
    <w:bookmarkStart w:id="289"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288" w:name="speech-wortmeldung-votum"/>
    <w:p>
      <w:pPr>
        <w:pStyle w:val="berschrift2"/>
      </w:pPr>
      <w:r>
        <w:t xml:space="preserve">Speech (Wortmeldung, Votum)</w:t>
      </w:r>
    </w:p>
    <w:bookmarkStart w:id="258" w:name="begriff-und-bedeutung-1"/>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258"/>
    <w:bookmarkStart w:id="263" w:name="arten-von-speeches"/>
    <w:p>
      <w:pPr>
        <w:pStyle w:val="berschrift3"/>
      </w:pPr>
      <w:r>
        <w:t xml:space="preserve">Arten von Speeches</w:t>
      </w:r>
    </w:p>
    <w:p>
      <w:pPr>
        <w:pStyle w:val="FirstParagraph"/>
      </w:pPr>
      <w:r>
        <w:t xml:space="preserve">Parlamentarische Wortmeldungen haben verschiedene Formen:</w:t>
      </w:r>
    </w:p>
    <w:bookmarkStart w:id="259" w:name="hauptvoten"/>
    <w:p>
      <w:pPr>
        <w:pStyle w:val="berschrift4"/>
      </w:pPr>
      <w:r>
        <w:t xml:space="preserve">Hauptvoten</w:t>
      </w:r>
    </w:p>
    <w:p>
      <w:pPr>
        <w:pStyle w:val="Compact"/>
        <w:numPr>
          <w:ilvl w:val="0"/>
          <w:numId w:val="1007"/>
        </w:numPr>
      </w:pPr>
      <w:r>
        <w:t xml:space="preserve">Ausführliche Stellungnahmen zu einem Geschäft</w:t>
      </w:r>
    </w:p>
    <w:p>
      <w:pPr>
        <w:pStyle w:val="Compact"/>
        <w:numPr>
          <w:ilvl w:val="0"/>
          <w:numId w:val="1007"/>
        </w:numPr>
      </w:pPr>
      <w:r>
        <w:t xml:space="preserve">Begründung von Anträgen</w:t>
      </w:r>
    </w:p>
    <w:p>
      <w:pPr>
        <w:pStyle w:val="Compact"/>
        <w:numPr>
          <w:ilvl w:val="0"/>
          <w:numId w:val="1007"/>
        </w:numPr>
      </w:pPr>
      <w:r>
        <w:t xml:space="preserve">Darlegung der Fraktionsmeinung</w:t>
      </w:r>
    </w:p>
    <w:bookmarkEnd w:id="259"/>
    <w:bookmarkStart w:id="260" w:name="kurzinterventionen"/>
    <w:p>
      <w:pPr>
        <w:pStyle w:val="berschrift4"/>
      </w:pPr>
      <w:r>
        <w:t xml:space="preserve">Kurzinterventionen</w:t>
      </w:r>
    </w:p>
    <w:p>
      <w:pPr>
        <w:pStyle w:val="Compact"/>
        <w:numPr>
          <w:ilvl w:val="0"/>
          <w:numId w:val="1008"/>
        </w:numPr>
      </w:pPr>
      <w:r>
        <w:t xml:space="preserve">Kurze Wortmeldungen</w:t>
      </w:r>
    </w:p>
    <w:p>
      <w:pPr>
        <w:pStyle w:val="Compact"/>
        <w:numPr>
          <w:ilvl w:val="0"/>
          <w:numId w:val="1008"/>
        </w:numPr>
      </w:pPr>
      <w:r>
        <w:t xml:space="preserve">Zwischenfragen</w:t>
      </w:r>
    </w:p>
    <w:p>
      <w:pPr>
        <w:pStyle w:val="Compact"/>
        <w:numPr>
          <w:ilvl w:val="0"/>
          <w:numId w:val="1008"/>
        </w:numPr>
      </w:pPr>
      <w:r>
        <w:t xml:space="preserve">Richtigstellungen</w:t>
      </w:r>
    </w:p>
    <w:bookmarkEnd w:id="260"/>
    <w:bookmarkStart w:id="261" w:name="fraktionserklärungen"/>
    <w:p>
      <w:pPr>
        <w:pStyle w:val="berschrift4"/>
      </w:pPr>
      <w:r>
        <w:t xml:space="preserve">Fraktionserklärungen</w:t>
      </w:r>
    </w:p>
    <w:p>
      <w:pPr>
        <w:pStyle w:val="Compact"/>
        <w:numPr>
          <w:ilvl w:val="0"/>
          <w:numId w:val="1009"/>
        </w:numPr>
      </w:pPr>
      <w:r>
        <w:t xml:space="preserve">Offizielle Stellungnahme einer Fraktion</w:t>
      </w:r>
    </w:p>
    <w:p>
      <w:pPr>
        <w:pStyle w:val="Compact"/>
        <w:numPr>
          <w:ilvl w:val="0"/>
          <w:numId w:val="1009"/>
        </w:numPr>
      </w:pPr>
      <w:r>
        <w:t xml:space="preserve">Vorgetragen durch Fraktionssprecher/in</w:t>
      </w:r>
    </w:p>
    <w:bookmarkEnd w:id="261"/>
    <w:bookmarkStart w:id="262" w:name="regierungsvoten"/>
    <w:p>
      <w:pPr>
        <w:pStyle w:val="berschrift4"/>
      </w:pPr>
      <w:r>
        <w:t xml:space="preserve">Regierungsvoten</w:t>
      </w:r>
    </w:p>
    <w:p>
      <w:pPr>
        <w:pStyle w:val="Compact"/>
        <w:numPr>
          <w:ilvl w:val="0"/>
          <w:numId w:val="1010"/>
        </w:numPr>
      </w:pPr>
      <w:r>
        <w:t xml:space="preserve">Stellungnahmen von Regierungsmitgliedern</w:t>
      </w:r>
    </w:p>
    <w:p>
      <w:pPr>
        <w:pStyle w:val="Compact"/>
        <w:numPr>
          <w:ilvl w:val="0"/>
          <w:numId w:val="1010"/>
        </w:numPr>
      </w:pPr>
      <w:r>
        <w:t xml:space="preserve">Beantwortung von Fragen</w:t>
      </w:r>
    </w:p>
    <w:p>
      <w:pPr>
        <w:pStyle w:val="Compact"/>
        <w:numPr>
          <w:ilvl w:val="0"/>
          <w:numId w:val="1010"/>
        </w:numPr>
      </w:pPr>
      <w:r>
        <w:t xml:space="preserve">Verteidigung von Vorlagen</w:t>
      </w:r>
    </w:p>
    <w:bookmarkEnd w:id="262"/>
    <w:bookmarkEnd w:id="263"/>
    <w:bookmarkStart w:id="265"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264" w:name="zuordnungsfelder"/>
    <w:p>
      <w:pPr>
        <w:pStyle w:val="berschrift4"/>
      </w:pPr>
      <w:r>
        <w:t xml:space="preserve">Zuordnungsfelder</w:t>
      </w:r>
    </w:p>
    <w:p>
      <w:pPr>
        <w:pStyle w:val="Compact"/>
        <w:numPr>
          <w:ilvl w:val="0"/>
          <w:numId w:val="1011"/>
        </w:numPr>
      </w:pPr>
      <w:r>
        <w:rPr>
          <w:b/>
          <w:bCs/>
        </w:rPr>
        <w:t xml:space="preserve">meeting_id</w:t>
      </w:r>
      <w:r>
        <w:t xml:space="preserve">: Die Sitzung, in der die Wortmeldung erfolgte</w:t>
      </w:r>
    </w:p>
    <w:p>
      <w:pPr>
        <w:pStyle w:val="Compact"/>
        <w:numPr>
          <w:ilvl w:val="0"/>
          <w:numId w:val="1011"/>
        </w:numPr>
      </w:pPr>
      <w:r>
        <w:rPr>
          <w:b/>
          <w:bCs/>
        </w:rPr>
        <w:t xml:space="preserve">agenda_item_id</w:t>
      </w:r>
      <w:r>
        <w:t xml:space="preserve">: Das Traktandum, zu dem gesprochen wurde</w:t>
      </w:r>
    </w:p>
    <w:p>
      <w:pPr>
        <w:pStyle w:val="Compact"/>
        <w:numPr>
          <w:ilvl w:val="0"/>
          <w:numId w:val="1011"/>
        </w:numPr>
      </w:pPr>
      <w:r>
        <w:rPr>
          <w:b/>
          <w:bCs/>
        </w:rPr>
        <w:t xml:space="preserve">person_id</w:t>
      </w:r>
      <w:r>
        <w:t xml:space="preserve">: Die sprechende Person (gemäss eCH-0294 Actors)</w:t>
      </w:r>
    </w:p>
    <w:bookmarkEnd w:id="264"/>
    <w:bookmarkEnd w:id="265"/>
    <w:bookmarkStart w:id="266" w:name="identifikation-der-sprechenden"/>
    <w:p>
      <w:pPr>
        <w:pStyle w:val="berschrift3"/>
      </w:pPr>
      <w:r>
        <w:t xml:space="preserve">Identifikation der Sprechenden</w:t>
      </w:r>
    </w:p>
    <w:p>
      <w:pPr>
        <w:pStyle w:val="Compact"/>
        <w:numPr>
          <w:ilvl w:val="0"/>
          <w:numId w:val="1012"/>
        </w:numPr>
      </w:pPr>
      <w:r>
        <w:rPr>
          <w:b/>
          <w:bCs/>
        </w:rPr>
        <w:t xml:space="preserve">person_id</w:t>
      </w:r>
      <w:r>
        <w:t xml:space="preserve">: Eindeutige Identifikation der Person</w:t>
      </w:r>
    </w:p>
    <w:p>
      <w:pPr>
        <w:pStyle w:val="Compact"/>
        <w:numPr>
          <w:ilvl w:val="0"/>
          <w:numId w:val="1012"/>
        </w:numPr>
      </w:pPr>
      <w:r>
        <w:rPr>
          <w:b/>
          <w:bCs/>
        </w:rPr>
        <w:t xml:space="preserve">person_name</w:t>
      </w:r>
      <w:r>
        <w:t xml:space="preserve">: Name für schnellen Zugriff</w:t>
      </w:r>
    </w:p>
    <w:p>
      <w:pPr>
        <w:pStyle w:val="Compact"/>
        <w:numPr>
          <w:ilvl w:val="0"/>
          <w:numId w:val="1012"/>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266"/>
    <w:bookmarkStart w:id="267" w:name="zeitliche-erfassung"/>
    <w:p>
      <w:pPr>
        <w:pStyle w:val="berschrift3"/>
      </w:pPr>
      <w:r>
        <w:t xml:space="preserve">Zeitliche Erfassung</w:t>
      </w:r>
    </w:p>
    <w:p>
      <w:pPr>
        <w:pStyle w:val="Compact"/>
        <w:numPr>
          <w:ilvl w:val="0"/>
          <w:numId w:val="1013"/>
        </w:numPr>
      </w:pPr>
      <w:r>
        <w:rPr>
          <w:b/>
          <w:bCs/>
        </w:rPr>
        <w:t xml:space="preserve">start_time</w:t>
      </w:r>
      <w:r>
        <w:t xml:space="preserve">: Beginn der Wortmeldung</w:t>
      </w:r>
    </w:p>
    <w:p>
      <w:pPr>
        <w:pStyle w:val="Compact"/>
        <w:numPr>
          <w:ilvl w:val="0"/>
          <w:numId w:val="1013"/>
        </w:numPr>
      </w:pPr>
      <w:r>
        <w:rPr>
          <w:b/>
          <w:bCs/>
        </w:rPr>
        <w:t xml:space="preserve">end_time</w:t>
      </w:r>
      <w:r>
        <w:t xml:space="preserve">: Ende der Wortmeldung</w:t>
      </w:r>
    </w:p>
    <w:p>
      <w:pPr>
        <w:pStyle w:val="Compact"/>
        <w:numPr>
          <w:ilvl w:val="0"/>
          <w:numId w:val="1013"/>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267"/>
    <w:bookmarkStart w:id="268"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14"/>
        </w:numPr>
      </w:pPr>
      <w:r>
        <w:rPr>
          <w:b/>
          <w:bCs/>
        </w:rPr>
        <w:t xml:space="preserve">de</w:t>
      </w:r>
      <w:r>
        <w:t xml:space="preserve">: Deutsch</w:t>
      </w:r>
    </w:p>
    <w:p>
      <w:pPr>
        <w:pStyle w:val="Compact"/>
        <w:numPr>
          <w:ilvl w:val="0"/>
          <w:numId w:val="1014"/>
        </w:numPr>
      </w:pPr>
      <w:r>
        <w:rPr>
          <w:b/>
          <w:bCs/>
        </w:rPr>
        <w:t xml:space="preserve">fr</w:t>
      </w:r>
      <w:r>
        <w:t xml:space="preserve">: Französisch</w:t>
      </w:r>
    </w:p>
    <w:p>
      <w:pPr>
        <w:pStyle w:val="Compact"/>
        <w:numPr>
          <w:ilvl w:val="0"/>
          <w:numId w:val="1014"/>
        </w:numPr>
      </w:pPr>
      <w:r>
        <w:rPr>
          <w:b/>
          <w:bCs/>
        </w:rPr>
        <w:t xml:space="preserve">it</w:t>
      </w:r>
      <w:r>
        <w:t xml:space="preserve">: Italienisch</w:t>
      </w:r>
    </w:p>
    <w:p>
      <w:pPr>
        <w:pStyle w:val="Compact"/>
        <w:numPr>
          <w:ilvl w:val="0"/>
          <w:numId w:val="1014"/>
        </w:numPr>
      </w:pPr>
      <w:r>
        <w:rPr>
          <w:b/>
          <w:bCs/>
        </w:rPr>
        <w:t xml:space="preserve">rm</w:t>
      </w:r>
      <w:r>
        <w:t xml:space="preserve">: Rätoromanisch</w:t>
      </w:r>
    </w:p>
    <w:p>
      <w:pPr>
        <w:pStyle w:val="Compact"/>
        <w:numPr>
          <w:ilvl w:val="0"/>
          <w:numId w:val="1014"/>
        </w:numPr>
      </w:pPr>
      <w:r>
        <w:rPr>
          <w:b/>
          <w:bCs/>
        </w:rPr>
        <w:t xml:space="preserve">en</w:t>
      </w:r>
      <w:r>
        <w:t xml:space="preserve">: Englisch</w:t>
      </w:r>
    </w:p>
    <w:bookmarkEnd w:id="268"/>
    <w:bookmarkStart w:id="274"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272" w:name="verschiedene-textversionen"/>
    <w:p>
      <w:pPr>
        <w:pStyle w:val="berschrift4"/>
      </w:pPr>
      <w:r>
        <w:t xml:space="preserve">Verschiedene Textversionen</w:t>
      </w:r>
    </w:p>
    <w:bookmarkStart w:id="269" w:name="rohtranskript"/>
    <w:p>
      <w:pPr>
        <w:pStyle w:val="berschrift5"/>
      </w:pPr>
      <w:r>
        <w:t xml:space="preserve">Rohtranskript</w:t>
      </w:r>
    </w:p>
    <w:p>
      <w:pPr>
        <w:pStyle w:val="Compact"/>
        <w:numPr>
          <w:ilvl w:val="0"/>
          <w:numId w:val="1015"/>
        </w:numPr>
      </w:pPr>
      <w:r>
        <w:t xml:space="preserve">Wörtliche Niederschrift</w:t>
      </w:r>
    </w:p>
    <w:p>
      <w:pPr>
        <w:pStyle w:val="Compact"/>
        <w:numPr>
          <w:ilvl w:val="0"/>
          <w:numId w:val="1015"/>
        </w:numPr>
      </w:pPr>
      <w:r>
        <w:t xml:space="preserve">Unbearbeitet, mit Füllwörtern</w:t>
      </w:r>
    </w:p>
    <w:p>
      <w:pPr>
        <w:pStyle w:val="Compact"/>
        <w:numPr>
          <w:ilvl w:val="0"/>
          <w:numId w:val="1015"/>
        </w:numPr>
      </w:pPr>
      <w:r>
        <w:t xml:space="preserve">Direkt nach der Sitzung verfügbar</w:t>
      </w:r>
    </w:p>
    <w:bookmarkEnd w:id="269"/>
    <w:bookmarkStart w:id="270" w:name="bearbeitetes-transkript"/>
    <w:p>
      <w:pPr>
        <w:pStyle w:val="berschrift5"/>
      </w:pPr>
      <w:r>
        <w:t xml:space="preserve">Bearbeitetes Transkript</w:t>
      </w:r>
    </w:p>
    <w:p>
      <w:pPr>
        <w:pStyle w:val="Compact"/>
        <w:numPr>
          <w:ilvl w:val="0"/>
          <w:numId w:val="1016"/>
        </w:numPr>
      </w:pPr>
      <w:r>
        <w:t xml:space="preserve">Redaktionell überarbeitet</w:t>
      </w:r>
    </w:p>
    <w:p>
      <w:pPr>
        <w:pStyle w:val="Compact"/>
        <w:numPr>
          <w:ilvl w:val="0"/>
          <w:numId w:val="1016"/>
        </w:numPr>
      </w:pPr>
      <w:r>
        <w:t xml:space="preserve">Grammatikalisch korrigiert</w:t>
      </w:r>
    </w:p>
    <w:p>
      <w:pPr>
        <w:pStyle w:val="Compact"/>
        <w:numPr>
          <w:ilvl w:val="0"/>
          <w:numId w:val="1016"/>
        </w:numPr>
      </w:pPr>
      <w:r>
        <w:t xml:space="preserve">Offizielle Protokollversion</w:t>
      </w:r>
    </w:p>
    <w:bookmarkEnd w:id="270"/>
    <w:bookmarkStart w:id="271" w:name="übersetzungen"/>
    <w:p>
      <w:pPr>
        <w:pStyle w:val="berschrift5"/>
      </w:pPr>
      <w:r>
        <w:t xml:space="preserve">Übersetzungen</w:t>
      </w:r>
    </w:p>
    <w:p>
      <w:pPr>
        <w:pStyle w:val="Compact"/>
        <w:numPr>
          <w:ilvl w:val="0"/>
          <w:numId w:val="1017"/>
        </w:numPr>
      </w:pPr>
      <w:r>
        <w:t xml:space="preserve">In andere Landessprachen</w:t>
      </w:r>
    </w:p>
    <w:p>
      <w:pPr>
        <w:pStyle w:val="Compact"/>
        <w:numPr>
          <w:ilvl w:val="0"/>
          <w:numId w:val="1017"/>
        </w:numPr>
      </w:pPr>
      <w:r>
        <w:t xml:space="preserve">Für internationale Publikationen</w:t>
      </w:r>
    </w:p>
    <w:bookmarkEnd w:id="271"/>
    <w:bookmarkEnd w:id="272"/>
    <w:bookmarkStart w:id="273"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273"/>
    <w:bookmarkEnd w:id="274"/>
    <w:bookmarkStart w:id="278"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275" w:name="audio-aufzeichnungen"/>
    <w:p>
      <w:pPr>
        <w:pStyle w:val="berschrift4"/>
      </w:pPr>
      <w:r>
        <w:t xml:space="preserve">Audio-Aufzeichnungen</w:t>
      </w:r>
    </w:p>
    <w:p>
      <w:pPr>
        <w:pStyle w:val="Compact"/>
        <w:numPr>
          <w:ilvl w:val="0"/>
          <w:numId w:val="1018"/>
        </w:numPr>
      </w:pPr>
      <w:r>
        <w:t xml:space="preserve">Originalton der Wortmeldung</w:t>
      </w:r>
    </w:p>
    <w:p>
      <w:pPr>
        <w:pStyle w:val="Compact"/>
        <w:numPr>
          <w:ilvl w:val="0"/>
          <w:numId w:val="1018"/>
        </w:numPr>
      </w:pPr>
      <w:r>
        <w:t xml:space="preserve">Format: MP3, WAV, etc.</w:t>
      </w:r>
    </w:p>
    <w:p>
      <w:pPr>
        <w:pStyle w:val="Compact"/>
        <w:numPr>
          <w:ilvl w:val="0"/>
          <w:numId w:val="1018"/>
        </w:numPr>
      </w:pPr>
      <w:r>
        <w:t xml:space="preserve">Technische Metadaten (Qualität, Bitrate)</w:t>
      </w:r>
    </w:p>
    <w:bookmarkEnd w:id="275"/>
    <w:bookmarkStart w:id="276" w:name="video-aufzeichnungen"/>
    <w:p>
      <w:pPr>
        <w:pStyle w:val="berschrift4"/>
      </w:pPr>
      <w:r>
        <w:t xml:space="preserve">Video-Aufzeichnungen</w:t>
      </w:r>
    </w:p>
    <w:p>
      <w:pPr>
        <w:pStyle w:val="Compact"/>
        <w:numPr>
          <w:ilvl w:val="0"/>
          <w:numId w:val="1019"/>
        </w:numPr>
      </w:pPr>
      <w:r>
        <w:t xml:space="preserve">Visuelle Aufzeichnung (bei Plenarsitzungen)</w:t>
      </w:r>
    </w:p>
    <w:p>
      <w:pPr>
        <w:pStyle w:val="Compact"/>
        <w:numPr>
          <w:ilvl w:val="0"/>
          <w:numId w:val="1019"/>
        </w:numPr>
      </w:pPr>
      <w:r>
        <w:t xml:space="preserve">Format: MP4, WebM, etc.</w:t>
      </w:r>
    </w:p>
    <w:p>
      <w:pPr>
        <w:pStyle w:val="Compact"/>
        <w:numPr>
          <w:ilvl w:val="0"/>
          <w:numId w:val="1019"/>
        </w:numPr>
      </w:pPr>
      <w:r>
        <w:t xml:space="preserve">Verschiedene Auflösungen</w:t>
      </w:r>
    </w:p>
    <w:bookmarkEnd w:id="276"/>
    <w:bookmarkStart w:id="277" w:name="livestreaming"/>
    <w:p>
      <w:pPr>
        <w:pStyle w:val="berschrift4"/>
      </w:pPr>
      <w:r>
        <w:t xml:space="preserve">Livestreaming</w:t>
      </w:r>
    </w:p>
    <w:p>
      <w:pPr>
        <w:pStyle w:val="Compact"/>
        <w:numPr>
          <w:ilvl w:val="0"/>
          <w:numId w:val="1020"/>
        </w:numPr>
      </w:pPr>
      <w:r>
        <w:t xml:space="preserve">Echtzeit-Übertragung</w:t>
      </w:r>
    </w:p>
    <w:p>
      <w:pPr>
        <w:pStyle w:val="Compact"/>
        <w:numPr>
          <w:ilvl w:val="0"/>
          <w:numId w:val="1020"/>
        </w:numPr>
      </w:pPr>
      <w:r>
        <w:t xml:space="preserve">URL zum Stream</w:t>
      </w:r>
    </w:p>
    <w:p>
      <w:pPr>
        <w:pStyle w:val="Compact"/>
        <w:numPr>
          <w:ilvl w:val="0"/>
          <w:numId w:val="1020"/>
        </w:numPr>
      </w:pPr>
      <w:r>
        <w:t xml:space="preserve">Archivierung nach der Sitzung</w:t>
      </w:r>
    </w:p>
    <w:bookmarkEnd w:id="277"/>
    <w:bookmarkEnd w:id="278"/>
    <w:bookmarkStart w:id="279" w:name="titel-und-beschreibung"/>
    <w:p>
      <w:pPr>
        <w:pStyle w:val="berschrift3"/>
      </w:pPr>
      <w:r>
        <w:t xml:space="preserve">Titel und Beschreibung</w:t>
      </w:r>
    </w:p>
    <w:p>
      <w:pPr>
        <w:pStyle w:val="Compact"/>
        <w:numPr>
          <w:ilvl w:val="0"/>
          <w:numId w:val="1021"/>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21"/>
        </w:numPr>
      </w:pPr>
      <w:r>
        <w:rPr>
          <w:b/>
          <w:bCs/>
        </w:rPr>
        <w:t xml:space="preserve">description</w:t>
      </w:r>
      <w:r>
        <w:t xml:space="preserve">: Zusammenfassung oder Kontext der Wortmeldung</w:t>
      </w:r>
    </w:p>
    <w:bookmarkEnd w:id="279"/>
    <w:bookmarkStart w:id="280"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22"/>
        </w:numPr>
      </w:pPr>
      <w:r>
        <w:rPr>
          <w:b/>
          <w:bCs/>
        </w:rPr>
        <w:t xml:space="preserve">statement</w:t>
      </w:r>
      <w:r>
        <w:t xml:space="preserve">: Stellungnahme</w:t>
      </w:r>
    </w:p>
    <w:p>
      <w:pPr>
        <w:pStyle w:val="Compact"/>
        <w:numPr>
          <w:ilvl w:val="0"/>
          <w:numId w:val="1022"/>
        </w:numPr>
      </w:pPr>
      <w:r>
        <w:rPr>
          <w:b/>
          <w:bCs/>
        </w:rPr>
        <w:t xml:space="preserve">question</w:t>
      </w:r>
      <w:r>
        <w:t xml:space="preserve">: Frage</w:t>
      </w:r>
    </w:p>
    <w:p>
      <w:pPr>
        <w:pStyle w:val="Compact"/>
        <w:numPr>
          <w:ilvl w:val="0"/>
          <w:numId w:val="1022"/>
        </w:numPr>
      </w:pPr>
      <w:r>
        <w:rPr>
          <w:b/>
          <w:bCs/>
        </w:rPr>
        <w:t xml:space="preserve">response</w:t>
      </w:r>
      <w:r>
        <w:t xml:space="preserve">: Antwort (z.B. Regierung auf Frage)</w:t>
      </w:r>
    </w:p>
    <w:p>
      <w:pPr>
        <w:pStyle w:val="Compact"/>
        <w:numPr>
          <w:ilvl w:val="0"/>
          <w:numId w:val="1022"/>
        </w:numPr>
      </w:pPr>
      <w:r>
        <w:rPr>
          <w:b/>
          <w:bCs/>
        </w:rPr>
        <w:t xml:space="preserve">procedural</w:t>
      </w:r>
      <w:r>
        <w:t xml:space="preserve">: Verfahrensantrag</w:t>
      </w:r>
    </w:p>
    <w:p>
      <w:pPr>
        <w:pStyle w:val="Compact"/>
        <w:numPr>
          <w:ilvl w:val="0"/>
          <w:numId w:val="1022"/>
        </w:numPr>
      </w:pPr>
      <w:r>
        <w:rPr>
          <w:b/>
          <w:bCs/>
        </w:rPr>
        <w:t xml:space="preserve">declaration</w:t>
      </w:r>
      <w:r>
        <w:t xml:space="preserve">: Erklärung</w:t>
      </w:r>
    </w:p>
    <w:bookmarkEnd w:id="280"/>
    <w:bookmarkStart w:id="281"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281"/>
    <w:bookmarkStart w:id="287" w:name="klasse-speech"/>
    <w:p>
      <w:pPr>
        <w:pStyle w:val="berschrift3"/>
      </w:pPr>
      <w:r>
        <w:t xml:space="preserve">Klasse: Speech</w:t>
      </w:r>
      <w:r>
        <w:t xml:space="preserve"> </w:t>
      </w:r>
      <w:bookmarkStart w:id="282" w:name="Speech"/>
      <w:bookmarkEnd w:id="282"/>
    </w:p>
    <w:p>
      <w:pPr>
        <w:pStyle w:val="FirstParagraph"/>
      </w:pPr>
      <w:r>
        <w:rPr>
          <w:i/>
          <w:iCs/>
        </w:rPr>
        <w:t xml:space="preserve">Eine Wortmeldung während einer Sitzung (auch Votum oder Redebeitrag genannt).</w:t>
      </w:r>
    </w:p>
    <w:bookmarkStart w:id="283"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83"/>
    <w:bookmarkStart w:id="284"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4"/>
    <w:bookmarkStart w:id="286" w:name="beispiele-8"/>
    <w:p>
      <w:pPr>
        <w:pStyle w:val="berschrift4"/>
      </w:pPr>
      <w:r>
        <w:t xml:space="preserve">Beispiele</w:t>
      </w:r>
    </w:p>
    <w:bookmarkStart w:id="285"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5"/>
    <w:bookmarkEnd w:id="286"/>
    <w:p>
      <w:r>
        <w:br w:type="page"/>
      </w:r>
    </w:p>
    <w:bookmarkEnd w:id="287"/>
    <w:bookmarkEnd w:id="288"/>
    <w:bookmarkEnd w:id="289"/>
    <w:bookmarkStart w:id="308"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295" w:name="textsegment"/>
    <w:p>
      <w:pPr>
        <w:pStyle w:val="berschrift2"/>
      </w:pPr>
      <w:r>
        <w:t xml:space="preserve">TextSegment</w:t>
      </w:r>
    </w:p>
    <w:bookmarkStart w:id="290" w:name="zweck"/>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290"/>
    <w:bookmarkStart w:id="291" w:name="struktur"/>
    <w:p>
      <w:pPr>
        <w:pStyle w:val="berschrift3"/>
      </w:pPr>
      <w:r>
        <w:t xml:space="preserve">Struktur</w:t>
      </w:r>
    </w:p>
    <w:p>
      <w:pPr>
        <w:pStyle w:val="Compact"/>
        <w:numPr>
          <w:ilvl w:val="0"/>
          <w:numId w:val="1023"/>
        </w:numPr>
      </w:pPr>
      <w:r>
        <w:rPr>
          <w:b/>
          <w:bCs/>
        </w:rPr>
        <w:t xml:space="preserve">text</w:t>
      </w:r>
      <w:r>
        <w:t xml:space="preserve">: Der eigentliche Textinhalt</w:t>
      </w:r>
    </w:p>
    <w:p>
      <w:pPr>
        <w:pStyle w:val="Compact"/>
        <w:numPr>
          <w:ilvl w:val="0"/>
          <w:numId w:val="1023"/>
        </w:numPr>
      </w:pPr>
      <w:r>
        <w:rPr>
          <w:b/>
          <w:bCs/>
        </w:rPr>
        <w:t xml:space="preserve">language</w:t>
      </w:r>
      <w:r>
        <w:t xml:space="preserve">: Sprachcode (ISO 639-1)</w:t>
      </w:r>
    </w:p>
    <w:p>
      <w:pPr>
        <w:pStyle w:val="Compact"/>
        <w:numPr>
          <w:ilvl w:val="0"/>
          <w:numId w:val="1023"/>
        </w:numPr>
      </w:pPr>
      <w:r>
        <w:rPr>
          <w:b/>
          <w:bCs/>
        </w:rPr>
        <w:t xml:space="preserve">format</w:t>
      </w:r>
      <w:r>
        <w:t xml:space="preserve">: Format des Texts (plain, markdown, html)</w:t>
      </w:r>
    </w:p>
    <w:p>
      <w:pPr>
        <w:pStyle w:val="Compact"/>
        <w:numPr>
          <w:ilvl w:val="0"/>
          <w:numId w:val="1023"/>
        </w:numPr>
      </w:pPr>
      <w:r>
        <w:rPr>
          <w:b/>
          <w:bCs/>
        </w:rPr>
        <w:t xml:space="preserve">version_type</w:t>
      </w:r>
      <w:r>
        <w:t xml:space="preserve">: Art der Version</w:t>
      </w:r>
    </w:p>
    <w:p>
      <w:pPr>
        <w:pStyle w:val="Compact"/>
        <w:numPr>
          <w:ilvl w:val="1"/>
          <w:numId w:val="1024"/>
        </w:numPr>
      </w:pPr>
      <w:r>
        <w:rPr>
          <w:b/>
          <w:bCs/>
        </w:rPr>
        <w:t xml:space="preserve">raw</w:t>
      </w:r>
      <w:r>
        <w:t xml:space="preserve">: Unbearbeitetes Rohtranskript</w:t>
      </w:r>
    </w:p>
    <w:p>
      <w:pPr>
        <w:pStyle w:val="Compact"/>
        <w:numPr>
          <w:ilvl w:val="1"/>
          <w:numId w:val="1024"/>
        </w:numPr>
      </w:pPr>
      <w:r>
        <w:rPr>
          <w:b/>
          <w:bCs/>
        </w:rPr>
        <w:t xml:space="preserve">edited</w:t>
      </w:r>
      <w:r>
        <w:t xml:space="preserve">: Redaktionell bearbeitete Version</w:t>
      </w:r>
    </w:p>
    <w:p>
      <w:pPr>
        <w:pStyle w:val="Compact"/>
        <w:numPr>
          <w:ilvl w:val="1"/>
          <w:numId w:val="1024"/>
        </w:numPr>
      </w:pPr>
      <w:r>
        <w:rPr>
          <w:b/>
          <w:bCs/>
        </w:rPr>
        <w:t xml:space="preserve">translated</w:t>
      </w:r>
      <w:r>
        <w:t xml:space="preserve">: Übersetzung in andere Sprache</w:t>
      </w:r>
    </w:p>
    <w:p>
      <w:pPr>
        <w:pStyle w:val="Compact"/>
        <w:numPr>
          <w:ilvl w:val="1"/>
          <w:numId w:val="1024"/>
        </w:numPr>
      </w:pPr>
      <w:r>
        <w:rPr>
          <w:b/>
          <w:bCs/>
        </w:rPr>
        <w:t xml:space="preserve">summary</w:t>
      </w:r>
      <w:r>
        <w:t xml:space="preserve">: Zusammenfassung</w:t>
      </w:r>
    </w:p>
    <w:bookmarkEnd w:id="291"/>
    <w:bookmarkStart w:id="292" w:name="designentscheid"/>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292"/>
    <w:bookmarkStart w:id="293" w:name="anwendung"/>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293"/>
    <w:bookmarkStart w:id="294"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294"/>
    <w:bookmarkEnd w:id="295"/>
    <w:bookmarkStart w:id="307" w:name="media"/>
    <w:p>
      <w:pPr>
        <w:pStyle w:val="berschrift2"/>
      </w:pPr>
      <w:r>
        <w:t xml:space="preserve">Media</w:t>
      </w:r>
    </w:p>
    <w:bookmarkStart w:id="296" w:name="zweck-1"/>
    <w:p>
      <w:pPr>
        <w:pStyle w:val="berschrift3"/>
      </w:pPr>
      <w:r>
        <w:t xml:space="preserve">Zweck</w:t>
      </w:r>
    </w:p>
    <w:p>
      <w:pPr>
        <w:pStyle w:val="FirstParagraph"/>
      </w:pPr>
      <w:r>
        <w:t xml:space="preserve">Referenziert Mediendateien (Audio, Video, Dokumente), die zu parlamentarischen Aktivitäten gehören.</w:t>
      </w:r>
    </w:p>
    <w:bookmarkEnd w:id="296"/>
    <w:bookmarkStart w:id="297" w:name="struktur-1"/>
    <w:p>
      <w:pPr>
        <w:pStyle w:val="berschrift3"/>
      </w:pPr>
      <w:r>
        <w:t xml:space="preserve">Struktur</w:t>
      </w:r>
    </w:p>
    <w:p>
      <w:pPr>
        <w:pStyle w:val="Compact"/>
        <w:numPr>
          <w:ilvl w:val="0"/>
          <w:numId w:val="1025"/>
        </w:numPr>
      </w:pPr>
      <w:r>
        <w:rPr>
          <w:b/>
          <w:bCs/>
        </w:rPr>
        <w:t xml:space="preserve">media_type</w:t>
      </w:r>
      <w:r>
        <w:t xml:space="preserve">: Art der Mediendatei</w:t>
      </w:r>
    </w:p>
    <w:p>
      <w:pPr>
        <w:pStyle w:val="Compact"/>
        <w:numPr>
          <w:ilvl w:val="1"/>
          <w:numId w:val="1026"/>
        </w:numPr>
      </w:pPr>
      <w:r>
        <w:rPr>
          <w:b/>
          <w:bCs/>
        </w:rPr>
        <w:t xml:space="preserve">audio</w:t>
      </w:r>
      <w:r>
        <w:t xml:space="preserve">: Audio-Aufzeichnung</w:t>
      </w:r>
    </w:p>
    <w:p>
      <w:pPr>
        <w:pStyle w:val="Compact"/>
        <w:numPr>
          <w:ilvl w:val="1"/>
          <w:numId w:val="1026"/>
        </w:numPr>
      </w:pPr>
      <w:r>
        <w:rPr>
          <w:b/>
          <w:bCs/>
        </w:rPr>
        <w:t xml:space="preserve">video</w:t>
      </w:r>
      <w:r>
        <w:t xml:space="preserve">: Video-Aufzeichnung</w:t>
      </w:r>
    </w:p>
    <w:p>
      <w:pPr>
        <w:pStyle w:val="Compact"/>
        <w:numPr>
          <w:ilvl w:val="1"/>
          <w:numId w:val="1026"/>
        </w:numPr>
      </w:pPr>
      <w:r>
        <w:rPr>
          <w:b/>
          <w:bCs/>
        </w:rPr>
        <w:t xml:space="preserve">document</w:t>
      </w:r>
      <w:r>
        <w:t xml:space="preserve">: Dokumente (PDF, etc.)</w:t>
      </w:r>
    </w:p>
    <w:p>
      <w:pPr>
        <w:pStyle w:val="Compact"/>
        <w:numPr>
          <w:ilvl w:val="1"/>
          <w:numId w:val="1026"/>
        </w:numPr>
      </w:pPr>
      <w:r>
        <w:rPr>
          <w:b/>
          <w:bCs/>
        </w:rPr>
        <w:t xml:space="preserve">image</w:t>
      </w:r>
      <w:r>
        <w:t xml:space="preserve">: Bilder</w:t>
      </w:r>
    </w:p>
    <w:p>
      <w:pPr>
        <w:pStyle w:val="Compact"/>
        <w:numPr>
          <w:ilvl w:val="0"/>
          <w:numId w:val="1025"/>
        </w:numPr>
      </w:pPr>
      <w:r>
        <w:rPr>
          <w:b/>
          <w:bCs/>
        </w:rPr>
        <w:t xml:space="preserve">url</w:t>
      </w:r>
      <w:r>
        <w:t xml:space="preserve">: URL zur Mediendatei</w:t>
      </w:r>
    </w:p>
    <w:p>
      <w:pPr>
        <w:pStyle w:val="Compact"/>
        <w:numPr>
          <w:ilvl w:val="0"/>
          <w:numId w:val="1025"/>
        </w:numPr>
      </w:pPr>
      <w:r>
        <w:rPr>
          <w:b/>
          <w:bCs/>
        </w:rPr>
        <w:t xml:space="preserve">mime_type</w:t>
      </w:r>
      <w:r>
        <w:t xml:space="preserve">: MIME-Type (audio/mp3, video/mp4, application/pdf, etc.)</w:t>
      </w:r>
    </w:p>
    <w:p>
      <w:pPr>
        <w:pStyle w:val="Compact"/>
        <w:numPr>
          <w:ilvl w:val="0"/>
          <w:numId w:val="1025"/>
        </w:numPr>
      </w:pPr>
      <w:r>
        <w:rPr>
          <w:b/>
          <w:bCs/>
        </w:rPr>
        <w:t xml:space="preserve">title</w:t>
      </w:r>
      <w:r>
        <w:t xml:space="preserve">: Titel der Mediendatei</w:t>
      </w:r>
    </w:p>
    <w:p>
      <w:pPr>
        <w:pStyle w:val="Compact"/>
        <w:numPr>
          <w:ilvl w:val="0"/>
          <w:numId w:val="1025"/>
        </w:numPr>
      </w:pPr>
      <w:r>
        <w:rPr>
          <w:b/>
          <w:bCs/>
        </w:rPr>
        <w:t xml:space="preserve">description</w:t>
      </w:r>
      <w:r>
        <w:t xml:space="preserve">: Beschreibung</w:t>
      </w:r>
    </w:p>
    <w:p>
      <w:pPr>
        <w:pStyle w:val="Compact"/>
        <w:numPr>
          <w:ilvl w:val="0"/>
          <w:numId w:val="1025"/>
        </w:numPr>
      </w:pPr>
      <w:r>
        <w:rPr>
          <w:b/>
          <w:bCs/>
        </w:rPr>
        <w:t xml:space="preserve">language</w:t>
      </w:r>
      <w:r>
        <w:t xml:space="preserve">: Sprache (bei sprachbasierten Medien)</w:t>
      </w:r>
    </w:p>
    <w:p>
      <w:pPr>
        <w:pStyle w:val="Compact"/>
        <w:numPr>
          <w:ilvl w:val="0"/>
          <w:numId w:val="1025"/>
        </w:numPr>
      </w:pPr>
      <w:r>
        <w:rPr>
          <w:b/>
          <w:bCs/>
        </w:rPr>
        <w:t xml:space="preserve">duration</w:t>
      </w:r>
      <w:r>
        <w:t xml:space="preserve">: Dauer (bei Audio/Video, in Sekunden)</w:t>
      </w:r>
    </w:p>
    <w:p>
      <w:pPr>
        <w:pStyle w:val="Compact"/>
        <w:numPr>
          <w:ilvl w:val="0"/>
          <w:numId w:val="1025"/>
        </w:numPr>
      </w:pPr>
      <w:r>
        <w:rPr>
          <w:b/>
          <w:bCs/>
        </w:rPr>
        <w:t xml:space="preserve">file_size</w:t>
      </w:r>
      <w:r>
        <w:t xml:space="preserve">: Dateigrösse in Bytes</w:t>
      </w:r>
    </w:p>
    <w:p>
      <w:pPr>
        <w:pStyle w:val="Compact"/>
        <w:numPr>
          <w:ilvl w:val="0"/>
          <w:numId w:val="1025"/>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297"/>
    <w:bookmarkStart w:id="298" w:name="designentscheid-1"/>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298"/>
    <w:bookmarkStart w:id="299" w:name="anwendung-1"/>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299"/>
    <w:bookmarkStart w:id="303" w:name="klasse-textsegment"/>
    <w:p>
      <w:pPr>
        <w:pStyle w:val="berschrift3"/>
      </w:pPr>
      <w:r>
        <w:t xml:space="preserve">Klasse: TextSegment</w:t>
      </w:r>
      <w:r>
        <w:t xml:space="preserve"> </w:t>
      </w:r>
      <w:bookmarkStart w:id="300" w:name="TextSegment"/>
      <w:bookmarkEnd w:id="300"/>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301"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301"/>
    <w:bookmarkStart w:id="302"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2"/>
    <w:bookmarkEnd w:id="303"/>
    <w:bookmarkStart w:id="306" w:name="klasse-media"/>
    <w:p>
      <w:pPr>
        <w:pStyle w:val="berschrift3"/>
      </w:pPr>
      <w:r>
        <w:t xml:space="preserve">Klasse: Media</w:t>
      </w:r>
      <w:r>
        <w:t xml:space="preserve"> </w:t>
      </w:r>
      <w:bookmarkStart w:id="304" w:name="Media"/>
      <w:bookmarkEnd w:id="304"/>
    </w:p>
    <w:p>
      <w:pPr>
        <w:pStyle w:val="FirstParagraph"/>
      </w:pPr>
      <w:r>
        <w:rPr>
          <w:i/>
          <w:iCs/>
        </w:rPr>
        <w:t xml:space="preserve">Mediendateien oder Dokumente (einschliesslich Protokolle in PDF/HTML/WORD oder Links zu Audio/Video).</w:t>
      </w:r>
    </w:p>
    <w:bookmarkStart w:id="305"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305"/>
    <w:p>
      <w:r>
        <w:br w:type="page"/>
      </w:r>
    </w:p>
    <w:bookmarkEnd w:id="306"/>
    <w:bookmarkEnd w:id="307"/>
    <w:bookmarkEnd w:id="308"/>
    <w:bookmarkStart w:id="338" w:name="geteilte-elemente"/>
    <w:p>
      <w:pPr>
        <w:pStyle w:val="berschrift1"/>
      </w:pPr>
      <w:r>
        <w:t xml:space="preserve">Geteilte Elemente</w:t>
      </w:r>
    </w:p>
    <w:bookmarkStart w:id="319"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27"/>
        </w:numPr>
      </w:pPr>
      <w:r>
        <w:rPr>
          <w:b/>
          <w:bCs/>
        </w:rPr>
        <w:t xml:space="preserve">Nützliche lokale Daten</w:t>
      </w:r>
      <w:r>
        <w:t xml:space="preserve"> </w:t>
      </w:r>
      <w:r>
        <w:t xml:space="preserve">ohne aufwändige Abfragen der vollständigen Entität</w:t>
      </w:r>
    </w:p>
    <w:p>
      <w:pPr>
        <w:pStyle w:val="Compact"/>
        <w:numPr>
          <w:ilvl w:val="0"/>
          <w:numId w:val="1027"/>
        </w:numPr>
      </w:pPr>
      <w:r>
        <w:rPr>
          <w:b/>
          <w:bCs/>
        </w:rPr>
        <w:t xml:space="preserve">Keine Redundanz</w:t>
      </w:r>
      <w:r>
        <w:t xml:space="preserve">, da nicht alle Angaben bei jeder Erwähnung wiederholt werden müssen</w:t>
      </w:r>
    </w:p>
    <w:p>
      <w:pPr>
        <w:pStyle w:val="Compact"/>
        <w:numPr>
          <w:ilvl w:val="0"/>
          <w:numId w:val="1027"/>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313" w:name="klasse-personreference"/>
    <w:p>
      <w:pPr>
        <w:pStyle w:val="berschrift3"/>
      </w:pPr>
      <w:r>
        <w:t xml:space="preserve">Klasse: PersonReference</w:t>
      </w:r>
      <w:r>
        <w:t xml:space="preserve"> </w:t>
      </w:r>
      <w:bookmarkStart w:id="309" w:name="PersonReference"/>
      <w:bookmarkEnd w:id="309"/>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311"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310"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28"/>
        </w:numPr>
      </w:pPr>
      <w:r>
        <w:t xml:space="preserve">local_id</w:t>
      </w:r>
    </w:p>
    <w:p>
      <w:pPr>
        <w:pStyle w:val="Compact"/>
        <w:numPr>
          <w:ilvl w:val="0"/>
          <w:numId w:val="1028"/>
        </w:numPr>
      </w:pPr>
      <w:r>
        <w:t xml:space="preserve">global_uri</w:t>
      </w:r>
    </w:p>
    <w:bookmarkEnd w:id="310"/>
    <w:bookmarkEnd w:id="311"/>
    <w:bookmarkStart w:id="312"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2"/>
    <w:bookmarkEnd w:id="313"/>
    <w:bookmarkStart w:id="318" w:name="klasse-groupreference"/>
    <w:p>
      <w:pPr>
        <w:pStyle w:val="berschrift3"/>
      </w:pPr>
      <w:r>
        <w:t xml:space="preserve">Klasse: GroupReference</w:t>
      </w:r>
      <w:r>
        <w:t xml:space="preserve"> </w:t>
      </w:r>
      <w:bookmarkStart w:id="314" w:name="GroupReference"/>
      <w:bookmarkEnd w:id="314"/>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316"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315"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29"/>
        </w:numPr>
      </w:pPr>
      <w:r>
        <w:t xml:space="preserve">local_id</w:t>
      </w:r>
    </w:p>
    <w:p>
      <w:pPr>
        <w:pStyle w:val="Compact"/>
        <w:numPr>
          <w:ilvl w:val="0"/>
          <w:numId w:val="1029"/>
        </w:numPr>
      </w:pPr>
      <w:r>
        <w:t xml:space="preserve">global_uri</w:t>
      </w:r>
    </w:p>
    <w:bookmarkEnd w:id="315"/>
    <w:bookmarkEnd w:id="316"/>
    <w:bookmarkStart w:id="317"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7"/>
    <w:bookmarkEnd w:id="318"/>
    <w:bookmarkEnd w:id="319"/>
    <w:bookmarkStart w:id="324"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323" w:name="klasse-multilingualstring"/>
    <w:p>
      <w:pPr>
        <w:pStyle w:val="berschrift3"/>
      </w:pPr>
      <w:r>
        <w:t xml:space="preserve">Klasse: MultilingualString</w:t>
      </w:r>
      <w:r>
        <w:t xml:space="preserve"> </w:t>
      </w:r>
      <w:bookmarkStart w:id="320" w:name="MultilingualString"/>
      <w:bookmarkEnd w:id="320"/>
    </w:p>
    <w:p>
      <w:pPr>
        <w:pStyle w:val="FirstParagraph"/>
      </w:pPr>
      <w:r>
        <w:rPr>
          <w:i/>
          <w:iCs/>
        </w:rPr>
        <w:t xml:space="preserve">Ein String, der Text in mehreren Sprachen enthalten kann.</w:t>
      </w:r>
    </w:p>
    <w:bookmarkStart w:id="321"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21"/>
    <w:bookmarkStart w:id="322"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2"/>
    <w:bookmarkEnd w:id="323"/>
    <w:bookmarkEnd w:id="324"/>
    <w:bookmarkStart w:id="337"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328" w:name="klasse-hasidentification"/>
    <w:p>
      <w:pPr>
        <w:pStyle w:val="berschrift3"/>
      </w:pPr>
      <w:r>
        <w:t xml:space="preserve">Klasse: HasIdentification</w:t>
      </w:r>
      <w:r>
        <w:t xml:space="preserve"> </w:t>
      </w:r>
      <w:bookmarkStart w:id="325" w:name="HasIdentification"/>
      <w:bookmarkEnd w:id="32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2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6"/>
    <w:bookmarkStart w:id="327"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27"/>
    <w:bookmarkEnd w:id="328"/>
    <w:bookmarkStart w:id="332" w:name="klasse-hascreationmodificationdates"/>
    <w:p>
      <w:pPr>
        <w:pStyle w:val="berschrift3"/>
      </w:pPr>
      <w:r>
        <w:t xml:space="preserve">Klasse: HasCreationModificationDates</w:t>
      </w:r>
      <w:r>
        <w:t xml:space="preserve"> </w:t>
      </w:r>
      <w:bookmarkStart w:id="329" w:name="HasCreationModificationDates"/>
      <w:bookmarkEnd w:id="329"/>
    </w:p>
    <w:p>
      <w:pPr>
        <w:pStyle w:val="FirstParagraph"/>
      </w:pPr>
      <w:r>
        <w:rPr>
          <w:i/>
          <w:iCs/>
        </w:rPr>
        <w:t xml:space="preserve">Eine Mixin-Klasse, die Slots für die Modellierung von Erstellungs- und Änderungsdaten einer Entität zur Verfügung stellt.</w:t>
      </w:r>
    </w:p>
    <w:bookmarkStart w:id="33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30"/>
    <w:bookmarkStart w:id="331"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31"/>
    <w:bookmarkEnd w:id="332"/>
    <w:bookmarkStart w:id="336" w:name="klasse-iseventwithduration"/>
    <w:p>
      <w:pPr>
        <w:pStyle w:val="berschrift3"/>
      </w:pPr>
      <w:r>
        <w:t xml:space="preserve">Klasse: IsEventWithDuration</w:t>
      </w:r>
      <w:r>
        <w:t xml:space="preserve"> </w:t>
      </w:r>
      <w:bookmarkStart w:id="333" w:name="IsEventWithDuration"/>
      <w:bookmarkEnd w:id="333"/>
    </w:p>
    <w:p>
      <w:pPr>
        <w:pStyle w:val="FirstParagraph"/>
      </w:pPr>
      <w:r>
        <w:rPr>
          <w:i/>
          <w:iCs/>
        </w:rPr>
        <w:t xml:space="preserve">Eine Mixin-Klasse, die Slots für die Modellierung von Ereignissen oder Vorkommnissen mit Zeitdauer zur Verfügung stellt.</w:t>
      </w:r>
    </w:p>
    <w:bookmarkStart w:id="33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334"/>
    <w:bookmarkStart w:id="335"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5"/>
    <w:p>
      <w:r>
        <w:br w:type="page"/>
      </w:r>
    </w:p>
    <w:bookmarkEnd w:id="336"/>
    <w:bookmarkEnd w:id="337"/>
    <w:bookmarkEnd w:id="338"/>
    <w:bookmarkStart w:id="339"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End w:id="339"/>
    <w:bookmarkStart w:id="34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345"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34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34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34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4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44">
              <w:r>
                <w:rPr>
                  <w:rStyle w:val="Hyperlink"/>
                </w:rPr>
                <w:t xml:space="preserve">https://www.ech.ch/de/ech/ech-0297</w:t>
              </w:r>
            </w:hyperlink>
          </w:p>
        </w:tc>
      </w:tr>
    </w:tbl>
    <w:bookmarkEnd w:id="345"/>
    <w:bookmarkStart w:id="34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34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7">
              <w:r>
                <w:rPr>
                  <w:rStyle w:val="Hyperlink"/>
                </w:rPr>
                <w:t xml:space="preserve">https://linkml.io</w:t>
              </w:r>
            </w:hyperlink>
          </w:p>
        </w:tc>
      </w:tr>
    </w:tbl>
    <w:bookmarkEnd w:id="348"/>
    <w:bookmarkEnd w:id="34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2" Target="https://ch.paf.link/schema/operations/AgendaItemTypeEnum" TargetMode="External" /><Relationship Type="http://schemas.openxmlformats.org/officeDocument/2006/relationships/hyperlink" Id="rId250" Target="https://ch.paf.link/schema/operations/AttendanceTypeEnum" TargetMode="External" /><Relationship Type="http://schemas.openxmlformats.org/officeDocument/2006/relationships/hyperlink" Id="rId218" Target="https://ch.paf.link/schema/operations/ElectionTypeEnum" TargetMode="External" /><Relationship Type="http://schemas.openxmlformats.org/officeDocument/2006/relationships/hyperlink" Id="rId203" Target="https://ch.paf.link/schema/operations/IndividualVoteTypeEnum" TargetMode="External" /><Relationship Type="http://schemas.openxmlformats.org/officeDocument/2006/relationships/hyperlink" Id="rId176" Target="https://ch.paf.link/schema/operations/MajorityTypeEnum" TargetMode="External" /><Relationship Type="http://schemas.openxmlformats.org/officeDocument/2006/relationships/hyperlink" Id="rId140"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16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github.com/swiss/political-affairs-ech-group/issues/24" TargetMode="External" /><Relationship Type="http://schemas.openxmlformats.org/officeDocument/2006/relationships/hyperlink" Id="rId347" Target="https://linkml.io" TargetMode="External" /><Relationship Type="http://schemas.openxmlformats.org/officeDocument/2006/relationships/hyperlink" Id="rId346" Target="https://www.dublincore.org/specifications/dublin-core/dcmi-terms/" TargetMode="External" /><Relationship Type="http://schemas.openxmlformats.org/officeDocument/2006/relationships/hyperlink" Id="rId340" Target="https://www.ech.ch/de/ech/ech-0292" TargetMode="External" /><Relationship Type="http://schemas.openxmlformats.org/officeDocument/2006/relationships/hyperlink" Id="rId341" Target="https://www.ech.ch/de/ech/ech-0294" TargetMode="External" /><Relationship Type="http://schemas.openxmlformats.org/officeDocument/2006/relationships/hyperlink" Id="rId342" Target="https://www.ech.ch/de/ech/ech-0295" TargetMode="External" /><Relationship Type="http://schemas.openxmlformats.org/officeDocument/2006/relationships/hyperlink" Id="rId343" Target="https://www.ech.ch/de/ech/ech-0296" TargetMode="External" /><Relationship Type="http://schemas.openxmlformats.org/officeDocument/2006/relationships/hyperlink" Id="rId344" Target="https://www.ech.ch/de/ech/ech-0297" TargetMode="External" /><Relationship Type="http://schemas.openxmlformats.org/officeDocument/2006/relationships/hyperlink" Id="rId114" Target="ops:enum/agenda_item_type/group" TargetMode="External" /><Relationship Type="http://schemas.openxmlformats.org/officeDocument/2006/relationships/hyperlink" Id="rId113" Target="ops:enum/agenda_item_type/item" TargetMode="External" /><Relationship Type="http://schemas.openxmlformats.org/officeDocument/2006/relationships/hyperlink" Id="rId253" Target="ops:enum/attendance_type/present" TargetMode="External" /><Relationship Type="http://schemas.openxmlformats.org/officeDocument/2006/relationships/hyperlink" Id="rId251" Target="ops:enum/attendance_type/remote" TargetMode="External" /><Relationship Type="http://schemas.openxmlformats.org/officeDocument/2006/relationships/hyperlink" Id="rId252" Target="ops:enum/attendance_type/substitute" TargetMode="External" /><Relationship Type="http://schemas.openxmlformats.org/officeDocument/2006/relationships/hyperlink" Id="rId220" Target="ops:enum/election_type/open" TargetMode="External" /><Relationship Type="http://schemas.openxmlformats.org/officeDocument/2006/relationships/hyperlink" Id="rId219" Target="ops:enum/election_type/secret" TargetMode="External" /><Relationship Type="http://schemas.openxmlformats.org/officeDocument/2006/relationships/hyperlink" Id="rId221" Target="ops:enum/election_type/silent" TargetMode="External" /><Relationship Type="http://schemas.openxmlformats.org/officeDocument/2006/relationships/hyperlink" Id="rId206" Target="ops:enum/individual_vote_type/abstention" TargetMode="External" /><Relationship Type="http://schemas.openxmlformats.org/officeDocument/2006/relationships/hyperlink" Id="rId205" Target="ops:enum/individual_vote_type/no" TargetMode="External" /><Relationship Type="http://schemas.openxmlformats.org/officeDocument/2006/relationships/hyperlink" Id="rId207" Target="ops:enum/individual_vote_type/not_voted" TargetMode="External" /><Relationship Type="http://schemas.openxmlformats.org/officeDocument/2006/relationships/hyperlink" Id="rId209" Target="ops:enum/individual_vote_type/other" TargetMode="External" /><Relationship Type="http://schemas.openxmlformats.org/officeDocument/2006/relationships/hyperlink" Id="rId208" Target="ops:enum/individual_vote_type/tie_breaker" TargetMode="External" /><Relationship Type="http://schemas.openxmlformats.org/officeDocument/2006/relationships/hyperlink" Id="rId204" Target="ops:enum/individual_vote_type/yes" TargetMode="External" /><Relationship Type="http://schemas.openxmlformats.org/officeDocument/2006/relationships/hyperlink" Id="rId177" Target="ops:enum/majority_type/absolute" TargetMode="External" /><Relationship Type="http://schemas.openxmlformats.org/officeDocument/2006/relationships/hyperlink" Id="rId179" Target="ops:enum/majority_type/other" TargetMode="External" /><Relationship Type="http://schemas.openxmlformats.org/officeDocument/2006/relationships/hyperlink" Id="rId178" Target="ops:enum/majority_type/two_thirds" TargetMode="External" /><Relationship Type="http://schemas.openxmlformats.org/officeDocument/2006/relationships/hyperlink" Id="rId141" Target="ops:enum/resolution_type/accepted" TargetMode="External" /><Relationship Type="http://schemas.openxmlformats.org/officeDocument/2006/relationships/hyperlink" Id="rId144" Target="ops:enum/resolution_type/accepted_point_by_point" TargetMode="External" /><Relationship Type="http://schemas.openxmlformats.org/officeDocument/2006/relationships/hyperlink" Id="rId145" Target="ops:enum/resolution_type/accepted_with_postulate" TargetMode="External" /><Relationship Type="http://schemas.openxmlformats.org/officeDocument/2006/relationships/hyperlink" Id="rId147" Target="ops:enum/resolution_type/nearly_unanimous" TargetMode="External" /><Relationship Type="http://schemas.openxmlformats.org/officeDocument/2006/relationships/hyperlink" Id="rId143" Target="ops:enum/resolution_type/noted" TargetMode="External" /><Relationship Type="http://schemas.openxmlformats.org/officeDocument/2006/relationships/hyperlink" Id="rId146" Target="ops:enum/resolution_type/orally_settled" TargetMode="External" /><Relationship Type="http://schemas.openxmlformats.org/officeDocument/2006/relationships/hyperlink" Id="rId148" Target="ops:enum/resolution_type/other" TargetMode="External" /><Relationship Type="http://schemas.openxmlformats.org/officeDocument/2006/relationships/hyperlink" Id="rId142"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169" Target="ops:enum/voting_type/final_vote" TargetMode="External" /><Relationship Type="http://schemas.openxmlformats.org/officeDocument/2006/relationships/hyperlink" Id="rId172" Target="ops:enum/voting_type/other" TargetMode="External" /><Relationship Type="http://schemas.openxmlformats.org/officeDocument/2006/relationships/hyperlink" Id="rId168" Target="ops:enum/voting_type/preliminary_vote" TargetMode="External" /><Relationship Type="http://schemas.openxmlformats.org/officeDocument/2006/relationships/hyperlink" Id="rId171" Target="ops:enum/voting_type/secret_vote" TargetMode="External" /><Relationship Type="http://schemas.openxmlformats.org/officeDocument/2006/relationships/hyperlink" Id="rId170"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2" Target="https://ch.paf.link/schema/operations/AgendaItemTypeEnum" TargetMode="External" /><Relationship Type="http://schemas.openxmlformats.org/officeDocument/2006/relationships/hyperlink" Id="rId250" Target="https://ch.paf.link/schema/operations/AttendanceTypeEnum" TargetMode="External" /><Relationship Type="http://schemas.openxmlformats.org/officeDocument/2006/relationships/hyperlink" Id="rId218" Target="https://ch.paf.link/schema/operations/ElectionTypeEnum" TargetMode="External" /><Relationship Type="http://schemas.openxmlformats.org/officeDocument/2006/relationships/hyperlink" Id="rId203" Target="https://ch.paf.link/schema/operations/IndividualVoteTypeEnum" TargetMode="External" /><Relationship Type="http://schemas.openxmlformats.org/officeDocument/2006/relationships/hyperlink" Id="rId176" Target="https://ch.paf.link/schema/operations/MajorityTypeEnum" TargetMode="External" /><Relationship Type="http://schemas.openxmlformats.org/officeDocument/2006/relationships/hyperlink" Id="rId140"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16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github.com/swiss/political-affairs-ech-group/issues/24" TargetMode="External" /><Relationship Type="http://schemas.openxmlformats.org/officeDocument/2006/relationships/hyperlink" Id="rId347" Target="https://linkml.io" TargetMode="External" /><Relationship Type="http://schemas.openxmlformats.org/officeDocument/2006/relationships/hyperlink" Id="rId346" Target="https://www.dublincore.org/specifications/dublin-core/dcmi-terms/" TargetMode="External" /><Relationship Type="http://schemas.openxmlformats.org/officeDocument/2006/relationships/hyperlink" Id="rId340" Target="https://www.ech.ch/de/ech/ech-0292" TargetMode="External" /><Relationship Type="http://schemas.openxmlformats.org/officeDocument/2006/relationships/hyperlink" Id="rId341" Target="https://www.ech.ch/de/ech/ech-0294" TargetMode="External" /><Relationship Type="http://schemas.openxmlformats.org/officeDocument/2006/relationships/hyperlink" Id="rId342" Target="https://www.ech.ch/de/ech/ech-0295" TargetMode="External" /><Relationship Type="http://schemas.openxmlformats.org/officeDocument/2006/relationships/hyperlink" Id="rId343" Target="https://www.ech.ch/de/ech/ech-0296" TargetMode="External" /><Relationship Type="http://schemas.openxmlformats.org/officeDocument/2006/relationships/hyperlink" Id="rId344" Target="https://www.ech.ch/de/ech/ech-0297" TargetMode="External" /><Relationship Type="http://schemas.openxmlformats.org/officeDocument/2006/relationships/hyperlink" Id="rId114" Target="ops:enum/agenda_item_type/group" TargetMode="External" /><Relationship Type="http://schemas.openxmlformats.org/officeDocument/2006/relationships/hyperlink" Id="rId113" Target="ops:enum/agenda_item_type/item" TargetMode="External" /><Relationship Type="http://schemas.openxmlformats.org/officeDocument/2006/relationships/hyperlink" Id="rId253" Target="ops:enum/attendance_type/present" TargetMode="External" /><Relationship Type="http://schemas.openxmlformats.org/officeDocument/2006/relationships/hyperlink" Id="rId251" Target="ops:enum/attendance_type/remote" TargetMode="External" /><Relationship Type="http://schemas.openxmlformats.org/officeDocument/2006/relationships/hyperlink" Id="rId252" Target="ops:enum/attendance_type/substitute" TargetMode="External" /><Relationship Type="http://schemas.openxmlformats.org/officeDocument/2006/relationships/hyperlink" Id="rId220" Target="ops:enum/election_type/open" TargetMode="External" /><Relationship Type="http://schemas.openxmlformats.org/officeDocument/2006/relationships/hyperlink" Id="rId219" Target="ops:enum/election_type/secret" TargetMode="External" /><Relationship Type="http://schemas.openxmlformats.org/officeDocument/2006/relationships/hyperlink" Id="rId221" Target="ops:enum/election_type/silent" TargetMode="External" /><Relationship Type="http://schemas.openxmlformats.org/officeDocument/2006/relationships/hyperlink" Id="rId206" Target="ops:enum/individual_vote_type/abstention" TargetMode="External" /><Relationship Type="http://schemas.openxmlformats.org/officeDocument/2006/relationships/hyperlink" Id="rId205" Target="ops:enum/individual_vote_type/no" TargetMode="External" /><Relationship Type="http://schemas.openxmlformats.org/officeDocument/2006/relationships/hyperlink" Id="rId207" Target="ops:enum/individual_vote_type/not_voted" TargetMode="External" /><Relationship Type="http://schemas.openxmlformats.org/officeDocument/2006/relationships/hyperlink" Id="rId209" Target="ops:enum/individual_vote_type/other" TargetMode="External" /><Relationship Type="http://schemas.openxmlformats.org/officeDocument/2006/relationships/hyperlink" Id="rId208" Target="ops:enum/individual_vote_type/tie_breaker" TargetMode="External" /><Relationship Type="http://schemas.openxmlformats.org/officeDocument/2006/relationships/hyperlink" Id="rId204" Target="ops:enum/individual_vote_type/yes" TargetMode="External" /><Relationship Type="http://schemas.openxmlformats.org/officeDocument/2006/relationships/hyperlink" Id="rId177" Target="ops:enum/majority_type/absolute" TargetMode="External" /><Relationship Type="http://schemas.openxmlformats.org/officeDocument/2006/relationships/hyperlink" Id="rId179" Target="ops:enum/majority_type/other" TargetMode="External" /><Relationship Type="http://schemas.openxmlformats.org/officeDocument/2006/relationships/hyperlink" Id="rId178" Target="ops:enum/majority_type/two_thirds" TargetMode="External" /><Relationship Type="http://schemas.openxmlformats.org/officeDocument/2006/relationships/hyperlink" Id="rId141" Target="ops:enum/resolution_type/accepted" TargetMode="External" /><Relationship Type="http://schemas.openxmlformats.org/officeDocument/2006/relationships/hyperlink" Id="rId144" Target="ops:enum/resolution_type/accepted_point_by_point" TargetMode="External" /><Relationship Type="http://schemas.openxmlformats.org/officeDocument/2006/relationships/hyperlink" Id="rId145" Target="ops:enum/resolution_type/accepted_with_postulate" TargetMode="External" /><Relationship Type="http://schemas.openxmlformats.org/officeDocument/2006/relationships/hyperlink" Id="rId147" Target="ops:enum/resolution_type/nearly_unanimous" TargetMode="External" /><Relationship Type="http://schemas.openxmlformats.org/officeDocument/2006/relationships/hyperlink" Id="rId143" Target="ops:enum/resolution_type/noted" TargetMode="External" /><Relationship Type="http://schemas.openxmlformats.org/officeDocument/2006/relationships/hyperlink" Id="rId146" Target="ops:enum/resolution_type/orally_settled" TargetMode="External" /><Relationship Type="http://schemas.openxmlformats.org/officeDocument/2006/relationships/hyperlink" Id="rId148" Target="ops:enum/resolution_type/other" TargetMode="External" /><Relationship Type="http://schemas.openxmlformats.org/officeDocument/2006/relationships/hyperlink" Id="rId142"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169" Target="ops:enum/voting_type/final_vote" TargetMode="External" /><Relationship Type="http://schemas.openxmlformats.org/officeDocument/2006/relationships/hyperlink" Id="rId172" Target="ops:enum/voting_type/other" TargetMode="External" /><Relationship Type="http://schemas.openxmlformats.org/officeDocument/2006/relationships/hyperlink" Id="rId168" Target="ops:enum/voting_type/preliminary_vote" TargetMode="External" /><Relationship Type="http://schemas.openxmlformats.org/officeDocument/2006/relationships/hyperlink" Id="rId171" Target="ops:enum/voting_type/secret_vote" TargetMode="External" /><Relationship Type="http://schemas.openxmlformats.org/officeDocument/2006/relationships/hyperlink" Id="rId170"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2026-09-23T14:12:38Z</dcterms:created>
  <dcterms:modified xsi:type="dcterms:W3CDTF">2026-09-23T14:12:38Z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