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Les points de l’ordre du jour n’ont pas de collection propre : ils sont livrés au sein de leur séance ou de leur session (</w:t>
      </w:r>
      <w:r>
        <w:rPr>
          <w:rStyle w:val="VerbatimChar"/>
        </w:rPr>
        <w:t xml:space="preserve">agenda_items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Ensemble des procès-verbaux.</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Ensemble des voix individuelles.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Ensemble des listes de présence.</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Ensemble des constatations individuelles de présence.</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Ensemble des décisions.</w:t>
            </w:r>
          </w:p>
        </w:tc>
      </w:tr>
    </w:tbl>
    <w:bookmarkEnd w:id="25"/>
    <w:bookmarkStart w:id="33" w:name="exemples"/>
    <w:p>
      <w:pPr>
        <w:pStyle w:val="berschrift4"/>
      </w:pPr>
      <w:r>
        <w:t xml:space="preserve">Exemples</w:t>
      </w:r>
    </w:p>
    <w:bookmarkStart w:id="26"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vers le bas, ils sont imbriqués — la session reprend ses séances (</w:t>
      </w:r>
      <w:r>
        <w:rPr>
          <w:rStyle w:val="VerbatimChar"/>
        </w:rPr>
        <w:t xml:space="preserve">meetings</w:t>
      </w:r>
      <w:r>
        <w:t xml:space="preserve">), la séance et la session leurs points de l’ordre du jour (</w:t>
      </w:r>
      <w:r>
        <w:rPr>
          <w:rStyle w:val="VerbatimChar"/>
        </w:rPr>
        <w:t xml:space="preserve">agenda_items</w:t>
      </w:r>
      <w:r>
        <w:t xml:space="preserve">) ; vers le haut, des références pointent — la session vers sa législature (</w:t>
      </w:r>
      <w:r>
        <w:rPr>
          <w:rStyle w:val="VerbatimChar"/>
        </w:rPr>
        <w:t xml:space="preserve">parent_legislature</w:t>
      </w:r>
      <w:r>
        <w:t xml:space="preserve">), la séance vers sa session (</w:t>
      </w:r>
      <w:r>
        <w:rPr>
          <w:rStyle w:val="VerbatimChar"/>
        </w:rPr>
        <w:t xml:space="preserve">parent_session</w:t>
      </w:r>
      <w:r>
        <w:t xml:space="preserve">) ou, en l’absence de session, directement vers la législature (</w:t>
      </w:r>
      <w:r>
        <w:rPr>
          <w:rStyle w:val="VerbatimChar"/>
        </w:rPr>
        <w:t xml:space="preserve">parent_legislature</w:t>
      </w:r>
      <w:r>
        <w:t xml:space="preserve">). À l’intérieur de l’ordre du jour,</w:t>
      </w:r>
      <w:r>
        <w:t xml:space="preserve"> </w:t>
      </w:r>
      <w:r>
        <w:rPr>
          <w:rStyle w:val="VerbatimChar"/>
        </w:rPr>
        <w:t xml:space="preserve">parent_agenda_item</w:t>
      </w:r>
      <w:r>
        <w:t xml:space="preserve"> </w:t>
      </w:r>
      <w:r>
        <w:t xml:space="preserve">représente la subdivision en sous-points.</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bulletin et les annexes (le procès-verbal, en revanche, via</w:t>
      </w:r>
      <w:r>
        <w:t xml:space="preserve"> </w:t>
      </w:r>
      <w:r>
        <w:rPr>
          <w:rStyle w:val="VerbatimChar"/>
        </w:rPr>
        <w:t xml:space="preserve">has_protocol</w:t>
      </w:r>
      <w:r>
        <w:t xml:space="preserve">).</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ce91be2c19f83d5e19f91e1fb09b5f250ea8c06"/>
    <w:p>
      <w:pPr>
        <w:pStyle w:val="berschrift5"/>
      </w:pPr>
      <w:r>
        <w:t xml:space="preserve">Exemple Legislature : Législature cantonale d’une durée de quatre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cbfc2a4de45c7fa4fa9809f701bd39922e86c2a"/>
    <w:p>
      <w:pPr>
        <w:pStyle w:val="berschrift5"/>
      </w:pPr>
      <w:r>
        <w:t xml:space="preserve">Exemple Legislature :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6"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55" w:name="classe-session"/>
    <w:p>
      <w:pPr>
        <w:pStyle w:val="berschrift3"/>
      </w:pPr>
      <w:r>
        <w:t xml:space="preserve">Classe: Session</w:t>
      </w:r>
      <w:r>
        <w:t xml:space="preserve"> </w:t>
      </w:r>
      <w:bookmarkStart w:id="47" w:name="Session"/>
      <w:bookmarkEnd w:id="47"/>
    </w:p>
    <w:p>
      <w:pPr>
        <w:pStyle w:val="FirstParagraph"/>
      </w:pPr>
      <w:r>
        <w:rPr>
          <w:i/>
          <w:iCs/>
        </w:rPr>
        <w:t xml:space="preserve">Une session : une période de séances continue au sein d’une législature. Elle regroupe ses séances (meetings) et peut aussi porter directement des points de l’ordre du jour (agenda_items). La session est le seul des trois niveaux temporels auquel il est possible de renoncer : les unités fédérales sans sessions formelles l’omettent et rattachent leurs séances directement à la législature (parent_legislature). Session et séance peuvent aussi coïncider — une séance d’un jour d’un parlement cantonal ou une Landsgemeinde est représentée comme une session comprenant une seule séance, ou comme une session qui porte directement ses points de l’ordre du jour, sans séance.</w:t>
      </w:r>
    </w:p>
    <w:bookmarkStart w:id="48"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de la session ou de la séance tel qu’attribué par l’organe, p. ex. au sein de la législature, de la session ou de l’année. En tant que chaîne de caractères, il admet aussi les chiffres romains. Les pratiques de numérotation variant fortement, number, sequential_number, position et meeting_abbreviation sont disponibles côte à côte.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d’ordre de la session ou de la séance sous forme de nombre entier,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entière au sein de la séquence supérieure, p. ex. d’une session au sein de la législature.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législature à laquelle la session ou la séance appartient. Une séance qui fait partie d’une session est rattachée à la législature par la session (parent_session) ; une séance sans session — par exemple une séance de commission ou une séance dans une unité fédérale sans sessions formelles — renvoie directement à la législature.</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Points de l’ordre du jour planifiés pour cette séance ou cette session, imbriqués sous forme de liste. Pour une séance, ils forment son ordre du jour. Pour une session, ils contiennent les points planifiés directement au niveau de la session — lorsqu’une unité fédérale ne subdivise pas la session en séances (p. ex. une Landsgemeinde ou une séance d’un jour d’un parlement cantonal), ou pour des points qui ne sont pas (encore) attribués à une séance déterminée, comme dans un programme de session. Leur pendant après la séance sont les points consignés au procès-verbal (Protocol.protocol_items).</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8"/>
    <w:bookmarkStart w:id="49"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emples-2"/>
    <w:p>
      <w:pPr>
        <w:pStyle w:val="berschrift4"/>
      </w:pPr>
      <w:r>
        <w:t xml:space="preserve">Exemples</w:t>
      </w:r>
    </w:p>
    <w:bookmarkStart w:id="50" w:name="X07201b17e1ecfe4d5dc98afb0cfec65b00be3d5"/>
    <w:p>
      <w:pPr>
        <w:pStyle w:val="berschrift5"/>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0"/>
    <w:bookmarkStart w:id="51"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23c6beb59b2c78bebf8f9eabbce74b9fffcd91f"/>
    <w:p>
      <w:pPr>
        <w:pStyle w:val="berschrift5"/>
      </w:pPr>
      <w:r>
        <w:t xml:space="preserve">Exemple Session :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End w:id="54"/>
    <w:bookmarkEnd w:id="55"/>
    <w:bookmarkEnd w:id="56"/>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80" w:name="classe-meeting"/>
    <w:p>
      <w:pPr>
        <w:pStyle w:val="berschrift3"/>
      </w:pPr>
      <w:r>
        <w:t xml:space="preserve">Classe: Meeting</w:t>
      </w:r>
      <w:r>
        <w:t xml:space="preserve"> </w:t>
      </w:r>
      <w:bookmarkStart w:id="57" w:name="Meeting"/>
      <w:bookmarkEnd w:id="57"/>
    </w:p>
    <w:p>
      <w:pPr>
        <w:pStyle w:val="FirstParagraph"/>
      </w:pPr>
      <w:r>
        <w:rPr>
          <w:i/>
          <w:iCs/>
        </w:rPr>
        <w:t xml:space="preserve">La séance individuelle d’un organe — le niveau auquel les points de l’ordre du jour sont délibérés, les décisions prises et les interventions consignées. La séance est le nœud auquel se rattachent les autres classes de la présente norme : ses points de l’ordre du jour (AgendaItem) y sont imbriqués (agenda_items), tandis que les votes et élections (Voting, Election), les interventions (Speech) ainsi que la liste de présence (Attendance) y renvoient via</w:t>
      </w:r>
      <w:r>
        <w:rPr>
          <w:i/>
          <w:iCs/>
        </w:rPr>
        <w:t xml:space="preserve"> </w:t>
      </w:r>
      <w:r>
        <w:rPr>
          <w:rStyle w:val="VerbatimChar"/>
          <w:i/>
          <w:iCs/>
        </w:rPr>
        <w:t xml:space="preserve">parent_meeting</w:t>
      </w:r>
      <w:r>
        <w:rPr>
          <w:i/>
          <w:iCs/>
        </w:rPr>
        <w:t xml:space="preserve">. À ce niveau, les heures prévues et les heures effectives divergent régulièrement — une séance fixée à 14h00 ne commence, en raison de retards, qu’à 14h25 et se termine à 17h30 au lieu de 18h00 —, raison pour laquelle le début et la fin sont consignés tant prévus qu’effectifs.</w:t>
      </w:r>
    </w:p>
    <w:bookmarkStart w:id="58"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Nom du groupe ou de l’organe en clair, en complément de la référence</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 groupe ou à l’organe (instantané au moment de la mise en relation).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de la session ou de la séance tel qu’attribué par l’organe, p. ex. au sein de la législature, de la session ou de l’année. En tant que chaîne de caractères, il admet aussi les chiffres romains. Les pratiques de numérotation variant fortement, number, sequential_number, position et meeting_abbreviation sont disponibles côte à côte.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Numéro d’ordre de la session ou de la séance sous forme de nombre entier,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Position entière au sein de la séquence supérieure, p. ex. d’une session au sein de la législature.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de l’organe politique en clair (p. ex. Conseil national), en complément de la référence</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Indique si la séance a lieu comme prévu (planifiée, annulée, reportée). Une désignation divergente, en texte libre, est reprise dans</w:t>
            </w:r>
            <w:r>
              <w:t xml:space="preserve"> </w:t>
            </w:r>
            <w:r>
              <w:rPr>
                <w:rStyle w:val="VerbatimChar"/>
              </w:rPr>
              <w:t xml:space="preserve">state_name</w:t>
            </w:r>
            <w:r>
              <w:t xml:space="preserv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Désignation de statut divergente, en texte libre, de la séance, là où les valeurs de</w:t>
            </w:r>
            <w:r>
              <w:t xml:space="preserve"> </w:t>
            </w:r>
            <w:r>
              <w:rPr>
                <w:rStyle w:val="VerbatimChar"/>
              </w:rPr>
              <w:t xml:space="preserve">state</w:t>
            </w:r>
            <w:r>
              <w:t xml:space="preserve"> </w:t>
            </w:r>
            <w:r>
              <w:t xml:space="preserve">ne suffisent pas.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Lieu où se tient la séance — la salle physique (« Palais fédéral, salle du Conseil national »), une visioconférence ou un format hybride.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p>
            <w:pPr>
              <w:pStyle w:val="Compact"/>
            </w:pPr>
            <w:r>
              <w:t xml:space="preserve">parent_legislature</w:t>
            </w:r>
          </w:p>
        </w:tc>
        <w:tc>
          <w:tcPr/>
          <w:p>
            <w:pPr>
              <w:pStyle w:val="Compact"/>
            </w:pPr>
            <w:r>
              <w:t xml:space="preserve">0..1</w:t>
            </w:r>
            <w:r>
              <w:t xml:space="preserve"> </w:t>
            </w:r>
            <w:r>
              <w:t xml:space="preserve"> </w:t>
            </w:r>
            <w:r>
              <w:t xml:space="preserve">String</w:t>
            </w:r>
          </w:p>
        </w:tc>
        <w:tc>
          <w:tcPr/>
          <w:p>
            <w:pPr>
              <w:pStyle w:val="Compact"/>
            </w:pPr>
            <w:r>
              <w:t xml:space="preserve">Identifiant de la législature à laquelle la session ou la séance appartient. Une séance qui fait partie d’une session est rattachée à la législature par la session (parent_session) ; une séance sans session — par exemple une séance de commission ou une séance dans une unité fédérale sans sessions formelles — renvoie directement à la législature.</w:t>
            </w:r>
          </w:p>
        </w:tc>
      </w:tr>
      <w:tr>
        <w:tc>
          <w:tcPr>
            <w:shd w:val="clear" w:color="auto" w:fill="F2F2F2"/>
          </w:tcPr>
          <w:p>
            <w:pPr>
              <w:pStyle w:val="Compact"/>
            </w:pPr>
            <w:r>
              <w:t xml:space="preserve">parent_session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session à laquelle la séance appartient.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Documents de séance tels que le bulletin (Tagblatt) ou les annexes, sous forme de FRBR Works. Le procès-verbal n’est pas lié ici, mais via</w:t>
            </w:r>
            <w:r>
              <w:t xml:space="preserve"> </w:t>
            </w:r>
            <w:r>
              <w:rPr>
                <w:rStyle w:val="VerbatimChar"/>
              </w:rPr>
              <w:t xml:space="preserve">has_protocol</w:t>
            </w:r>
            <w:r>
              <w:t xml:space="preserve">.</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Points de l’ordre du jour planifiés pour cette séance ou cette session, imbriqués sous forme de liste. Pour une séance, ils forment son ordre du jour. Pour une session, ils contiennent les points planifiés directement au niveau de la session — lorsqu’une unité fédérale ne subdivise pas la session en séances (p. ex. une Landsgemeinde ou une séance d’un jour d’un parlement cantonal), ou pour des points qui ne sont pas (encore) attribués à une séance déterminée, comme dans un programme de session. Leur pendant après la séance sont les points consignés au procès-verbal (Protocol.protocol_items).</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8"/>
    <w:bookmarkStart w:id="59"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9"/>
    <w:bookmarkStart w:id="79" w:name="exemples-3"/>
    <w:p>
      <w:pPr>
        <w:pStyle w:val="berschrift4"/>
      </w:pPr>
      <w:r>
        <w:t xml:space="preserve">Exemples</w:t>
      </w:r>
    </w:p>
    <w:bookmarkStart w:id="60" w:name="Xeffd095e1a4b784794f1db4f3769dced48b50f4"/>
    <w:p>
      <w:pPr>
        <w:pStyle w:val="berschrift5"/>
      </w:pPr>
      <w:r>
        <w:t xml:space="preserve">Exemple Meeting : meeting item meeting be 2025 06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60"/>
    <w:bookmarkStart w:id="61"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w:t>
      </w:r>
      <w:r>
        <w:br/>
      </w:r>
      <w:r>
        <w:rPr>
          <w:rStyle w:val="NormalTok"/>
        </w:rPr>
        <w:t xml:space="preserve">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61"/>
    <w:bookmarkStart w:id="62" w:name="X883a172494909a246570257b2666c9618cb0fab"/>
    <w:p>
      <w:pPr>
        <w:pStyle w:val="berschrift5"/>
      </w:pPr>
      <w:r>
        <w:t xml:space="preserve">Exemple Meeting : meeting item meeting schaffhausen 2025 03 31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w:t>
      </w:r>
      <w:r>
        <w:br/>
      </w:r>
      <w:r>
        <w:rPr>
          <w:rStyle w:val="NormalTok"/>
        </w:rPr>
        <w:t xml:space="preserve">        eine Stimme der Studierenden im Hochschulrat der Pädagogischen Hochschule</w:t>
      </w:r>
      <w:r>
        <w:br/>
      </w:r>
      <w:r>
        <w:rPr>
          <w:rStyle w:val="NormalTok"/>
        </w:rPr>
        <w:t xml:space="preserv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62"/>
    <w:bookmarkStart w:id="63" w:name="X142a3c69a28895a9d5d5427e6f531df5b1ef0e2"/>
    <w:p>
      <w:pPr>
        <w:pStyle w:val="berschrift5"/>
      </w:pPr>
      <w:r>
        <w:t xml:space="preserve">Exemple Meeting : meeting item meeting vaud 2008 04 30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w:t>
      </w:r>
      <w:r>
        <w:br/>
      </w:r>
      <w:r>
        <w:rPr>
          <w:rStyle w:val="StringTok"/>
        </w:rPr>
        <w:t xml:space="preserve">        au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63"/>
    <w:bookmarkStart w:id="64"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4"/>
    <w:bookmarkStart w:id="65" w:name="X775897815d4252944d46a22afc29e72ce487917"/>
    <w:p>
      <w:pPr>
        <w:pStyle w:val="berschrift5"/>
      </w:pPr>
      <w:r>
        <w:t xml:space="preserve">Exemple Meeting : meeting item meeting bern 2022 03 17</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65"/>
    <w:bookmarkStart w:id="66" w:name="Xfb0a0f476c7253c5a07676791e3377075b5857e"/>
    <w:p>
      <w:pPr>
        <w:pStyle w:val="berschrift5"/>
      </w:pPr>
      <w:r>
        <w:t xml:space="preserve">Exemple Meeting :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7"/>
    <w:bookmarkStart w:id="68"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68"/>
    <w:bookmarkStart w:id="69" w:name="Xc7507ccdbe22a5a9239e326a4adf6d0e8c32c91"/>
    <w:p>
      <w:pPr>
        <w:pStyle w:val="berschrift5"/>
      </w:pPr>
      <w:r>
        <w:t xml:space="preserve">Exemple Meeting : meeting item meeting 2011 11 23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69"/>
    <w:bookmarkStart w:id="70" w:name="X9716f4a298a61d762a0852ca2007140118e5bee"/>
    <w:p>
      <w:pPr>
        <w:pStyle w:val="berschrift5"/>
      </w:pPr>
      <w:r>
        <w:t xml:space="preserve">Exemple Meeting : meeting item meeting lausanne 2025 05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w:t>
      </w:r>
      <w:r>
        <w:br/>
      </w:r>
      <w:r>
        <w:rPr>
          <w:rStyle w:val="NormalTok"/>
        </w:rPr>
        <w:t xml:space="preserve">        faveur du respect du droit international et de la protection des populations</w:t>
      </w:r>
      <w:r>
        <w:br/>
      </w:r>
      <w:r>
        <w:rPr>
          <w:rStyle w:val="NormalTok"/>
        </w:rPr>
        <w:t xml:space="preserve">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70"/>
    <w:bookmarkStart w:id="71" w:name="Xe9d364844e30ec8a1808265586f662fbd1065e8"/>
    <w:p>
      <w:pPr>
        <w:pStyle w:val="berschrift5"/>
      </w:pPr>
      <w:r>
        <w:t xml:space="preserve">Exemple Meeting : meeting item meeting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71"/>
    <w:bookmarkStart w:id="72" w:name="Xedea3af53d73e37644d388c3489975aad9a534f"/>
    <w:p>
      <w:pPr>
        <w:pStyle w:val="berschrift5"/>
      </w:pPr>
      <w:r>
        <w:t xml:space="preserve">Exemple Meeting : meeting item meeting schaffhausen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72"/>
    <w:bookmarkStart w:id="73" w:name="Xe39f82eb7c17ccb3bcf2a322b4c156e37140566"/>
    <w:p>
      <w:pPr>
        <w:pStyle w:val="berschrift5"/>
      </w:pPr>
      <w:r>
        <w:t xml:space="preserve">Exemple Meeting : meeting item meeting bern rr 2025 04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73"/>
    <w:bookmarkStart w:id="74"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4"/>
    <w:bookmarkStart w:id="75" w:name="X15cc4846e955cda1cdd2c4dccfbc1117555e536"/>
    <w:p>
      <w:pPr>
        <w:pStyle w:val="berschrift5"/>
      </w:pPr>
      <w:r>
        <w:t xml:space="preserve">Exemple Meeting : meeting item meeting lausanne 2023 10 03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w:t>
      </w:r>
      <w:r>
        <w:br/>
      </w:r>
      <w:r>
        <w:rPr>
          <w:rStyle w:val="NormalTok"/>
        </w:rPr>
        <w:t xml:space="preserv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75"/>
    <w:bookmarkStart w:id="76" w:name="X94a8b8012d131ed1ba31bd023f09068f21548c1"/>
    <w:p>
      <w:pPr>
        <w:pStyle w:val="berschrift5"/>
      </w:pPr>
      <w:r>
        <w:t xml:space="preserve">Exemple Meeting : meeting complete meeting zh 2025 11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76"/>
    <w:bookmarkStart w:id="77" w:name="Xabcec14a8a969d5ee973e971d264ea285ebc934"/>
    <w:p>
      <w:pPr>
        <w:pStyle w:val="berschrift5"/>
      </w:pPr>
      <w:r>
        <w:t xml:space="preserve">Exemple Meeting : meeting item meeting luzern 2025 01 28</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w:t>
      </w:r>
      <w:r>
        <w:br/>
      </w:r>
      <w:r>
        <w:rPr>
          <w:rStyle w:val="NormalTok"/>
        </w:rPr>
        <w:t xml:space="preserve">        Sonderschulkonkordats und zur gezielten Behebung des Fachkräftemangels im</w:t>
      </w:r>
      <w:r>
        <w:br/>
      </w:r>
      <w:r>
        <w:rPr>
          <w:rStyle w:val="NormalTok"/>
        </w:rPr>
        <w:t xml:space="preserve">        Bereich schulische Heilpädagogik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7"/>
    <w:bookmarkStart w:id="78" w:name="Xbae173e2adee289fce92c03f2001ca005c8d0fa"/>
    <w:p>
      <w:pPr>
        <w:pStyle w:val="berschrift5"/>
      </w:pPr>
      <w:r>
        <w:t xml:space="preserve">Exemple Meeting : meeting item meeting luzern 2025 01 28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8"/>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157"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 ce qui a effectivement été traité et décidé est consigné au procès-verbal.</w:t>
      </w:r>
    </w:p>
    <w:bookmarkStart w:id="118" w:name="agendaitem-point-de-lordre-du-jour"/>
    <w:p>
      <w:pPr>
        <w:pStyle w:val="berschrift2"/>
      </w:pPr>
      <w:r>
        <w:t xml:space="preserve">AgendaItem (point de l’ordre du jour)</w:t>
      </w:r>
    </w:p>
    <w:bookmarkStart w:id="111" w:name="classe-agendaitem"/>
    <w:p>
      <w:pPr>
        <w:pStyle w:val="berschrift3"/>
      </w:pPr>
      <w:r>
        <w:t xml:space="preserve">Classe: AgendaItem</w:t>
      </w:r>
      <w:r>
        <w:t xml:space="preserve"> </w:t>
      </w:r>
      <w:bookmarkStart w:id="90" w:name="AgendaItem"/>
      <w:bookmarkEnd w:id="90"/>
    </w:p>
    <w:p>
      <w:pPr>
        <w:pStyle w:val="FirstParagraph"/>
      </w:pPr>
      <w:r>
        <w:rPr>
          <w:i/>
          <w:iCs/>
        </w:rPr>
        <w:t xml:space="preserve">Un point de l’ordre du jour d’une séance, tel que planifié à l’avance. Il structure l’ordre du jour et relie l’organisation temporelle (Meeting) aux affaires matérielles (eCH-0295). Il est imbriqué dans sa séance (Meeting.agenda_items) ou directement dans sa session (Session.agenda_items). Les points de l’ordre du jour représentent la planification d’une séance et ne sont plus modifiés dans les données une fois la séance ouverte : les écarts survenus durant la séance — points avancés, reportés ou ajoutés — sont consignés au procès-verbal (ProtocolItem) et se répercutent sur l’ordre du jour de la séance suivante. Pour la même raison, les heures prévues et effectives sont tenues séparément.</w:t>
      </w:r>
    </w:p>
    <w:bookmarkStart w:id="91"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r>
              <w:t xml:space="preserve"> </w:t>
            </w:r>
            <w:r>
              <w:t xml:space="preserve">Héritage :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du point sur l’ordre du jour, p. ex. « 2.1 » ou « 3 » (chaîne de caractères, afin de permettre aussi les chiffres romains).</w:t>
            </w:r>
            <w:r>
              <w:t xml:space="preserve"> </w:t>
            </w:r>
            <w:r>
              <w:t xml:space="preserve">Héritage :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Position entière du point dans le déroulement de la séance, déterminante pour le tri et l’affichage.</w:t>
            </w:r>
            <w:r>
              <w:t xml:space="preserve"> </w:t>
            </w:r>
            <w:r>
              <w:t xml:space="preserve">Héritage :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département responsable du point de l’ordre du jour.</w:t>
            </w:r>
            <w:r>
              <w:t xml:space="preserve"> </w:t>
            </w:r>
            <w:r>
              <w:t xml:space="preserve">Héritage :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La ou le porte-parole ou la cheffe ou le chef du département pour le point de l’ordre du jour.</w:t>
            </w:r>
            <w:r>
              <w:t xml:space="preserve"> </w:t>
            </w:r>
            <w:r>
              <w:t xml:space="preserve">Héritage :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r>
              <w:t xml:space="preserve"> </w:t>
            </w:r>
            <w:r>
              <w:t xml:space="preserve">Héritage :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r>
              <w:t xml:space="preserve"> </w:t>
            </w:r>
            <w:r>
              <w:t xml:space="preserve">Héritage :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r>
              <w:t xml:space="preserve"> </w:t>
            </w:r>
            <w:r>
              <w:t xml:space="preserve">Héritage :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Identifiant d’état du point (renvoi à une énumération des états ou à un état propre), p. ex. pending (pas encore traité), in_progress (en délibération), completed (traité), postponed (renvoyé à une séance ultérieure) ou withdrawn (retiré).</w:t>
            </w:r>
            <w:r>
              <w:t xml:space="preserve"> </w:t>
            </w:r>
            <w:r>
              <w:t xml:space="preserve">Héritage :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de statut divergente, en texte libre, là où l’énumération des statuts ne suffit pas.</w:t>
            </w:r>
            <w:r>
              <w:t xml:space="preserve"> </w:t>
            </w:r>
            <w:r>
              <w:t xml:space="preserve">Héritage :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r>
              <w:t xml:space="preserve"> </w:t>
            </w:r>
            <w:r>
              <w:t xml:space="preserve">Héritage :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r>
              <w:t xml:space="preserve"> </w:t>
            </w:r>
            <w:r>
              <w:t xml:space="preserve">Héritage :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Catégorisation libre du point selon son contenu ou son regroupement, p. ex. « Législation », « Budget et finances », « Interpellations et questions », « Élections », par département, ou points introductifs et techniques. La catégorisation n’est pas standardisée et peut varier selon l’unité fédérale.</w:t>
            </w:r>
            <w:r>
              <w:t xml:space="preserve"> </w:t>
            </w:r>
            <w:r>
              <w:t xml:space="preserve">Héritage :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r>
              <w:t xml:space="preserve"> </w:t>
            </w:r>
            <w:r>
              <w:t xml:space="preserve">Héritage :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formelle prise sur ce point de l’ordre du jour, p. ex. l’adoption de la loi sur l’énergie. Le vote sous-jacent avec son rapport de voix est saisi séparément comme Voting.</w:t>
            </w:r>
            <w:r>
              <w:t xml:space="preserve"> </w:t>
            </w:r>
            <w:r>
              <w:t xml:space="preserve">Héritage :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relatifs au point de l’ordre du jour, sous forme de FRBR Works, p. ex. messages et rapports, propositions et propositions d’amendement.</w:t>
            </w:r>
            <w:r>
              <w:t xml:space="preserve"> </w:t>
            </w:r>
            <w:r>
              <w:t xml:space="preserve">Héritage : IsAgendaItem</w:t>
            </w:r>
          </w:p>
        </w:tc>
      </w:tr>
    </w:tbl>
    <w:bookmarkEnd w:id="91"/>
    <w:bookmarkStart w:id="92" w:name="utilisations-3"/>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Meeting">
              <w:r>
                <w:rPr>
                  <w:rStyle w:val="Hyperlink"/>
                </w:rPr>
                <w:t xml:space="preserve">Meeting</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92"/>
    <w:bookmarkStart w:id="110" w:name="exemples-4"/>
    <w:p>
      <w:pPr>
        <w:pStyle w:val="berschrift4"/>
      </w:pPr>
      <w:r>
        <w:t xml:space="preserve">Exemples</w:t>
      </w:r>
    </w:p>
    <w:bookmarkStart w:id="93" w:name="Xbdc5475aaf0ef15645faa104ed4d77c6ecd63a4"/>
    <w:p>
      <w:pPr>
        <w:pStyle w:val="berschrift5"/>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93"/>
    <w:bookmarkStart w:id="94"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94"/>
    <w:bookmarkStart w:id="95" w:name="X280ed48f11de8e1dade20cecdfb92559ea3f285"/>
    <w:p>
      <w:pPr>
        <w:pStyle w:val="berschrift5"/>
      </w:pPr>
      <w:r>
        <w:t xml:space="preserve">Exemple AgendaItem : session session gl landsgemeinde 2025 05 04 agenda item gl landsgemeinde 2025 01</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5"/>
    <w:bookmarkStart w:id="96"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96"/>
    <w:bookmarkStart w:id="97"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97"/>
    <w:bookmarkStart w:id="98"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98"/>
    <w:bookmarkStart w:id="99"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99"/>
    <w:bookmarkStart w:id="100"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00"/>
    <w:bookmarkStart w:id="101"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1"/>
    <w:bookmarkStart w:id="102"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02"/>
    <w:bookmarkStart w:id="103"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03"/>
    <w:bookmarkStart w:id="104"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4"/>
    <w:bookmarkStart w:id="105"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5"/>
    <w:bookmarkStart w:id="106"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06"/>
    <w:bookmarkStart w:id="107"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7"/>
    <w:bookmarkStart w:id="108"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8"/>
    <w:bookmarkStart w:id="109"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09"/>
    <w:bookmarkEnd w:id="110"/>
    <w:bookmarkEnd w:id="111"/>
    <w:bookmarkStart w:id="117" w:name="enum-agendaitemtypeenum"/>
    <w:p>
      <w:pPr>
        <w:pStyle w:val="berschrift3"/>
      </w:pPr>
      <w:r>
        <w:t xml:space="preserve">Enum: AgendaItemTypeEnum</w:t>
      </w:r>
      <w:r>
        <w:t xml:space="preserve"> </w:t>
      </w:r>
      <w:bookmarkStart w:id="112" w:name="AgendaItemTypeEnum"/>
      <w:bookmarkEnd w:id="112"/>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13">
        <w:r>
          <w:rPr>
            <w:rStyle w:val="Hyperlink"/>
          </w:rPr>
          <w:t xml:space="preserve">ops:AgendaItemTypeEnum</w:t>
        </w:r>
      </w:hyperlink>
    </w:p>
    <w:bookmarkStart w:id="11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individuel de l’ordre du jour, avec délibération et, le cas échéant, vote.</w:t>
            </w:r>
          </w:p>
        </w:tc>
      </w:tr>
      <w:tr>
        <w:tc>
          <w:tcPr/>
          <w:p>
            <w:pPr>
              <w:pStyle w:val="Compact"/>
            </w:pPr>
          </w:p>
        </w:tc>
        <w:tc>
          <w:tcPr/>
          <w:p>
            <w:pPr>
              <w:pStyle w:val="Compact"/>
            </w:pPr>
            <w:hyperlink ns1:id="rId114">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(groupe de points de l’ordre du jour) sous lequel des sous-points sont rangés au moyen de parent_agenda_item, p. ex. « Délibérations législatives ».</w:t>
            </w:r>
          </w:p>
        </w:tc>
      </w:tr>
      <w:tr>
        <w:tc>
          <w:tcPr/>
          <w:p>
            <w:pPr>
              <w:pStyle w:val="Compact"/>
            </w:pPr>
          </w:p>
        </w:tc>
        <w:tc>
          <w:tcPr/>
          <w:p>
            <w:pPr>
              <w:pStyle w:val="Compact"/>
            </w:pPr>
            <w:hyperlink ns1:id="rId115">
              <w:r>
                <w:rPr>
                  <w:rStyle w:val="Hyperlink"/>
                </w:rPr>
                <w:t xml:space="preserve">ops:enum/agenda_item_type/group</w:t>
              </w:r>
            </w:hyperlink>
          </w:p>
        </w:tc>
      </w:tr>
    </w:tbl>
    <w:bookmarkEnd w:id="116"/>
    <w:bookmarkEnd w:id="117"/>
    <w:bookmarkEnd w:id="118"/>
    <w:bookmarkStart w:id="130" w:name="procès-verbal-protocol"/>
    <w:p>
      <w:pPr>
        <w:pStyle w:val="berschrift2"/>
      </w:pPr>
      <w:r>
        <w:t xml:space="preserve">Procès-verbal (Protocol)</w:t>
      </w:r>
    </w:p>
    <w:p>
      <w:pPr>
        <w:pStyle w:val="FirstParagraph"/>
      </w:pPr>
      <w:r>
        <w:t xml:space="preserve">Le procès-verbal est</w:t>
      </w:r>
      <w:r>
        <w:t xml:space="preserve"> </w:t>
      </w:r>
      <w:r>
        <w:rPr>
          <w:b/>
          <w:bCs/>
        </w:rPr>
        <w:t xml:space="preserve">référencé et non imbriqué</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agenda_items → AgendaItem  (avant : points planifiés)</w:t>
      </w:r>
      <w:r>
        <w:br/>
      </w:r>
      <w:r>
        <w:rPr>
          <w:rStyle w:val="VerbatimChar"/>
        </w:rPr>
        <w:t xml:space="preserve">  │                     └─ has_protocol → identifiant du procès-verbal</w:t>
      </w:r>
      <w:r>
        <w:br/>
      </w:r>
      <w:r>
        <w:rPr>
          <w:rStyle w:val="VerbatimChar"/>
        </w:rPr>
        <w:t xml:space="preserve">  └─ protocols      → Protocol    (après : consignation, parent_meeting)</w:t>
      </w:r>
      <w:r>
        <w:br/>
      </w:r>
      <w:r>
        <w:rPr>
          <w:rStyle w:val="VerbatimChar"/>
        </w:rPr>
        <w:t xml:space="preserve">                        ├─ protocol_items  → ProtocolItem (mêmes éléments qu'AgendaItem)</w:t>
      </w:r>
      <w:r>
        <w:br/>
      </w:r>
      <w:r>
        <w:rPr>
          <w:rStyle w:val="VerbatimChar"/>
        </w:rPr>
        <w:t xml:space="preserve">                        ├─ votings</w:t>
      </w:r>
      <w:r>
        <w:br/>
      </w:r>
      <w:r>
        <w:rPr>
          <w:rStyle w:val="VerbatimChar"/>
        </w:rPr>
        <w:t xml:space="preserve">                        ├─ elections</w:t>
      </w:r>
      <w:r>
        <w:br/>
      </w:r>
      <w:r>
        <w:rPr>
          <w:rStyle w:val="VerbatimChar"/>
        </w:rPr>
        <w:t xml:space="preserve">                        ├─ speeches</w:t>
      </w:r>
      <w:r>
        <w:br/>
      </w:r>
      <w:r>
        <w:rPr>
          <w:rStyle w:val="VerbatimChar"/>
        </w:rPr>
        <w:t xml:space="preserve">                        ├─ text_segments</w:t>
      </w:r>
      <w:r>
        <w:br/>
      </w:r>
      <w:r>
        <w:rPr>
          <w:rStyle w:val="VerbatimChar"/>
        </w:rPr>
        <w:t xml:space="preserve">                        └─ documents</w:t>
      </w:r>
    </w:p>
    <w:bookmarkStart w:id="124" w:name="classe-protocol"/>
    <w:p>
      <w:pPr>
        <w:pStyle w:val="berschrift3"/>
      </w:pPr>
      <w:r>
        <w:t xml:space="preserve">Classe: Protocol</w:t>
      </w:r>
      <w:r>
        <w:t xml:space="preserve"> </w:t>
      </w:r>
      <w:bookmarkStart w:id="119" w:name="Protocol"/>
      <w:bookmarkEnd w:id="119"/>
    </w:p>
    <w:p>
      <w:pPr>
        <w:pStyle w:val="FirstParagraph"/>
      </w:pPr>
      <w:r>
        <w:rPr>
          <w:i/>
          <w:iCs/>
        </w:rPr>
        <w:t xml:space="preserve">Le procès-verbal d’une séance, établi après celle-ci et tenu exactement une fois par séance. Un conteneur qui regroupe les points effectivement traités (protocol_items), les votes, les élections, les interventions, les segments de texte in extenso et les documents liés. Le procès-verbal possède son propre identifiant, peut être cité de manière autonome et est en règle générale publié après la séance ; la séance ne fait donc que le référencer (Meeting.has_protocol), et le procès-verbal lui-même est livré dans Container.protocols, de sorte qu’il puisse être livré ultérieurement sans relivrer la séance. À l’intérieur du procès-verbal, les collections sont imbriquées, car elles naissent et sont livrées avec lui. Qui publie des votes ou des interventions indépendamment du procès-verbal les livre à plat dans Container.votings ou Container.speeches et les relie par parent_meeting et la référence au point de l’ordre du jour correspondante.</w:t>
      </w:r>
    </w:p>
    <w:bookmarkStart w:id="120"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20"/>
    <w:bookmarkStart w:id="12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21"/>
    <w:bookmarkStart w:id="123" w:name="exemples-5"/>
    <w:p>
      <w:pPr>
        <w:pStyle w:val="berschrift4"/>
      </w:pPr>
      <w:r>
        <w:t xml:space="preserve">Exemples</w:t>
      </w:r>
    </w:p>
    <w:bookmarkStart w:id="122"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2"/>
    <w:bookmarkEnd w:id="123"/>
    <w:bookmarkEnd w:id="124"/>
    <w:bookmarkStart w:id="125" w:name="Xeab270e3dbf47b3d038db3a9f5c6de460d9186b"/>
    <w:p>
      <w:pPr>
        <w:pStyle w:val="berschrift3"/>
      </w:pPr>
      <w:r>
        <w:t xml:space="preserve">ProtocolItem (point consigné au procès-verbal)</w:t>
      </w:r>
    </w:p>
    <w:bookmarkEnd w:id="125"/>
    <w:bookmarkStart w:id="129" w:name="classe-protocolitem"/>
    <w:p>
      <w:pPr>
        <w:pStyle w:val="berschrift3"/>
      </w:pPr>
      <w:r>
        <w:t xml:space="preserve">Classe: ProtocolItem</w:t>
      </w:r>
      <w:r>
        <w:t xml:space="preserve"> </w:t>
      </w:r>
      <w:bookmarkStart w:id="126" w:name="ProtocolItem"/>
      <w:bookmarkEnd w:id="126"/>
    </w:p>
    <w:p>
      <w:pPr>
        <w:pStyle w:val="FirstParagraph"/>
      </w:pPr>
      <w:r>
        <w:rPr>
          <w:i/>
          <w:iCs/>
        </w:rPr>
        <w:t xml:space="preserve">Un point de l’ordre du jour tel qu’il a effectivement été consigné au procès-verbal. Il porte les mêmes éléments qu’AgendaItem par le mixin IsAgendaItem, mais constitue une classe à part entière : le point consigné n’est pas un cas particulier du point planifié. Il naît indépendamment et peut comprendre des points jamais mis à l’ordre du jour, de même que l’ordre du jour peut comprendre des points jamais traités.</w:t>
      </w:r>
    </w:p>
    <w:bookmarkStart w:id="127"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r>
              <w:t xml:space="preserve"> </w:t>
            </w:r>
            <w:r>
              <w:t xml:space="preserve">Héritage :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du point sur l’ordre du jour, p. ex. « 2.1 » ou « 3 » (chaîne de caractères, afin de permettre aussi les chiffres romains).</w:t>
            </w:r>
            <w:r>
              <w:t xml:space="preserve"> </w:t>
            </w:r>
            <w:r>
              <w:t xml:space="preserve">Héritage :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Position entière du point dans le déroulement de la séance, déterminante pour le tri et l’affichage.</w:t>
            </w:r>
            <w:r>
              <w:t xml:space="preserve"> </w:t>
            </w:r>
            <w:r>
              <w:t xml:space="preserve">Héritage :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département responsable du point de l’ordre du jour.</w:t>
            </w:r>
            <w:r>
              <w:t xml:space="preserve"> </w:t>
            </w:r>
            <w:r>
              <w:t xml:space="preserve">Héritage :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La ou le porte-parole ou la cheffe ou le chef du département pour le point de l’ordre du jour.</w:t>
            </w:r>
            <w:r>
              <w:t xml:space="preserve"> </w:t>
            </w:r>
            <w:r>
              <w:t xml:space="preserve">Héritage :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r>
              <w:t xml:space="preserve"> </w:t>
            </w:r>
            <w:r>
              <w:t xml:space="preserve">Héritage :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r>
              <w:t xml:space="preserve"> </w:t>
            </w:r>
            <w:r>
              <w:t xml:space="preserve">Héritage :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r>
              <w:t xml:space="preserve"> </w:t>
            </w:r>
            <w:r>
              <w:t xml:space="preserve">Héritage :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Identifiant d’état du point (renvoi à une énumération des états ou à un état propre), p. ex. pending (pas encore traité), in_progress (en délibération), completed (traité), postponed (renvoyé à une séance ultérieure) ou withdrawn (retiré).</w:t>
            </w:r>
            <w:r>
              <w:t xml:space="preserve"> </w:t>
            </w:r>
            <w:r>
              <w:t xml:space="preserve">Héritage :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de statut divergente, en texte libre, là où l’énumération des statuts ne suffit pas.</w:t>
            </w:r>
            <w:r>
              <w:t xml:space="preserve"> </w:t>
            </w:r>
            <w:r>
              <w:t xml:space="preserve">Héritage :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r>
              <w:t xml:space="preserve"> </w:t>
            </w:r>
            <w:r>
              <w:t xml:space="preserve">Héritage :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r>
              <w:t xml:space="preserve"> </w:t>
            </w:r>
            <w:r>
              <w:t xml:space="preserve">Héritage :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Catégorisation libre du point selon son contenu ou son regroupement, p. ex. « Législation », « Budget et finances », « Interpellations et questions », « Élections », par département, ou points introductifs et techniques. La catégorisation n’est pas standardisée et peut varier selon l’unité fédérale.</w:t>
            </w:r>
            <w:r>
              <w:t xml:space="preserve"> </w:t>
            </w:r>
            <w:r>
              <w:t xml:space="preserve">Héritage :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r>
              <w:t xml:space="preserve"> </w:t>
            </w:r>
            <w:r>
              <w:t xml:space="preserve">Héritage :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formelle prise sur ce point de l’ordre du jour, p. ex. l’adoption de la loi sur l’énergie. Le vote sous-jacent avec son rapport de voix est saisi séparément comme Voting.</w:t>
            </w:r>
            <w:r>
              <w:t xml:space="preserve"> </w:t>
            </w:r>
            <w:r>
              <w:t xml:space="preserve">Héritage :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Délibérations communes rattachées à cet enregistrement : pour un point de l’ordre du jour, les délibérations dans lesquelles il est traité conjointement avec d’autres points ; pour une séance ou une session, les délibérations communes qui s’y tiennent.</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Documents relatifs au point de l’ordre du jour, sous forme de FRBR Works, p. ex. messages et rapports, propositions et propositions d’amendement.</w:t>
            </w:r>
            <w:r>
              <w:t xml:space="preserve"> </w:t>
            </w:r>
            <w:r>
              <w:t xml:space="preserve">Héritage : IsAgendaItem</w:t>
            </w:r>
          </w:p>
        </w:tc>
      </w:tr>
    </w:tbl>
    <w:bookmarkEnd w:id="127"/>
    <w:bookmarkStart w:id="128" w:name="utilisations-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28"/>
    <w:bookmarkEnd w:id="129"/>
    <w:bookmarkEnd w:id="130"/>
    <w:bookmarkStart w:id="135" w:name="délibération-commune-jointdebate"/>
    <w:p>
      <w:pPr>
        <w:pStyle w:val="berschrift2"/>
      </w:pPr>
      <w:r>
        <w:t xml:space="preserve">Délibération commune (JointDebate)</w:t>
      </w:r>
    </w:p>
    <w:bookmarkStart w:id="134" w:name="classe-jointdebate"/>
    <w:p>
      <w:pPr>
        <w:pStyle w:val="berschrift3"/>
      </w:pPr>
      <w:r>
        <w:t xml:space="preserve">Classe: JointDebate</w:t>
      </w:r>
      <w:r>
        <w:t xml:space="preserve"> </w:t>
      </w:r>
      <w:bookmarkStart w:id="131" w:name="JointDebate"/>
      <w:bookmarkEnd w:id="131"/>
    </w:p>
    <w:p>
      <w:pPr>
        <w:pStyle w:val="FirstParagraph"/>
      </w:pPr>
      <w:r>
        <w:rPr>
          <w:i/>
          <w:iCs/>
        </w:rPr>
        <w:t xml:space="preserve">Une délibération commune : plusieurs points de l’ordre du jour sont traités ensemble, par exemple des affaires connexes délibérées dans un seul et même débat. La délibération commune est rattachée à un point de l’ordre du jour (AgendaItem), à un point du procès-verbal (ProtocolItem), à une séance (Meeting) ou à une session (Session) et renvoie, par leurs identifiants, aux points traités conjointement. Rattachée à une séance ou à une session, elle peut aussi réunir des points répartis sur plusieurs positions de l’ordre du jour ou sur plusieurs séances.</w:t>
      </w:r>
    </w:p>
    <w:bookmarkStart w:id="132"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Identifiants des points de l’ordre du jour traités conjointement (AgendaItem ou ProtocolItem).</w:t>
            </w:r>
          </w:p>
        </w:tc>
      </w:tr>
    </w:tbl>
    <w:bookmarkEnd w:id="132"/>
    <w:bookmarkStart w:id="133"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Meeting">
              <w:r>
                <w:rPr>
                  <w:rStyle w:val="Hyperlink"/>
                </w:rPr>
                <w:t xml:space="preserve">Meeting</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33"/>
    <w:bookmarkEnd w:id="134"/>
    <w:bookmarkEnd w:id="135"/>
    <w:bookmarkStart w:id="152" w:name="resolution-décision"/>
    <w:p>
      <w:pPr>
        <w:pStyle w:val="berschrift2"/>
      </w:pPr>
      <w:r>
        <w:t xml:space="preserve">Resolution (décision)</w:t>
      </w:r>
    </w:p>
    <w:bookmarkStart w:id="139" w:name="classe-resolution"/>
    <w:p>
      <w:pPr>
        <w:pStyle w:val="berschrift3"/>
      </w:pPr>
      <w:r>
        <w:t xml:space="preserve">Classe: Resolution</w:t>
      </w:r>
      <w:r>
        <w:t xml:space="preserve"> </w:t>
      </w:r>
      <w:bookmarkStart w:id="136" w:name="Resolution"/>
      <w:bookmarkEnd w:id="136"/>
    </w:p>
    <w:p>
      <w:pPr>
        <w:pStyle w:val="FirstParagraph"/>
      </w:pPr>
      <w:r>
        <w:rPr>
          <w:i/>
          <w:iCs/>
        </w:rPr>
        <w:t xml:space="preserve">La décision formelle prise sur un point de l’ordre du jour, y compris les procédures de vote appliquées. Elle retient ce qui a été décidé, tandis que Voting retient comment il a été décidé (procédure et rapport de voix). Toute décision ne repose pas sur un vote formel : les prises de connaissance, les adoptions tacites ou les décisions administratives interviennent sans vote.</w:t>
      </w:r>
    </w:p>
    <w:bookmarkStart w:id="137"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Procédures selon lesquelles le vote a eu lieu. Procédures ouvertes : main levée, assis-debout, vote électronique, appel nominal et, en situation de crise, vote à distance (voix communiquées à l’avance à la présidence et saisies en même temps que le vote au conseil), procédure par voie de circulation ou vote lors de séances virtuelles. Procédures secrètes : bulletin de vote, vote électronique secret. La procédure détermine si les voix individuelles peuvent être saisies.</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37"/>
    <w:bookmarkStart w:id="138" w:name="utilisations-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38"/>
    <w:bookmarkEnd w:id="139"/>
    <w:bookmarkStart w:id="151" w:name="enum-resolutiontypeenum"/>
    <w:p>
      <w:pPr>
        <w:pStyle w:val="berschrift3"/>
      </w:pPr>
      <w:r>
        <w:t xml:space="preserve">Enum: ResolutionTypeEnum</w:t>
      </w:r>
      <w:r>
        <w:t xml:space="preserve"> </w:t>
      </w:r>
      <w:bookmarkStart w:id="140" w:name="ResolutionTypeEnum"/>
      <w:bookmarkEnd w:id="140"/>
    </w:p>
    <w:p>
      <w:pPr>
        <w:pStyle w:val="FirstParagraph"/>
      </w:pPr>
      <w:r>
        <w:rPr>
          <w:i/>
          <w:iCs/>
        </w:rPr>
        <w:t xml:space="preserve">Type de décision prise sur un point de l’ordre du jour.</w:t>
      </w:r>
    </w:p>
    <w:p>
      <w:pPr>
        <w:pStyle w:val="Textkrper"/>
      </w:pPr>
      <w:r>
        <w:t xml:space="preserve">URI:</w:t>
      </w:r>
      <w:r>
        <w:t xml:space="preserve"> </w:t>
      </w:r>
      <w:hyperlink ns1:id="rId141">
        <w:r>
          <w:rPr>
            <w:rStyle w:val="Hyperlink"/>
          </w:rPr>
          <w:t xml:space="preserve">ops:ResolutionTypeEnum</w:t>
        </w:r>
      </w:hyperlink>
    </w:p>
    <w:bookmarkStart w:id="150"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Adoption : p. ex. un projet de loi adopté, une proposition approuvée, une décision prise.</w:t>
            </w:r>
          </w:p>
        </w:tc>
      </w:tr>
      <w:tr>
        <w:tc>
          <w:tcPr/>
          <w:p>
            <w:pPr>
              <w:pStyle w:val="Compact"/>
            </w:pPr>
          </w:p>
        </w:tc>
        <w:tc>
          <w:tcPr/>
          <w:p>
            <w:pPr>
              <w:pStyle w:val="Compact"/>
            </w:pPr>
            <w:hyperlink ns1:id="rId142">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 : p. ex. un projet de loi rejeté, une proposition repoussée.</w:t>
            </w:r>
          </w:p>
        </w:tc>
      </w:tr>
      <w:tr>
        <w:tc>
          <w:tcPr/>
          <w:p>
            <w:pPr>
              <w:pStyle w:val="Compact"/>
            </w:pPr>
          </w:p>
        </w:tc>
        <w:tc>
          <w:tcPr/>
          <w:p>
            <w:pPr>
              <w:pStyle w:val="Compact"/>
            </w:pPr>
            <w:hyperlink ns1:id="rId143">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 : p. ex. rapports sans vote, communications, points informatifs.</w:t>
            </w:r>
          </w:p>
        </w:tc>
      </w:tr>
      <w:tr>
        <w:tc>
          <w:tcPr/>
          <w:p>
            <w:pPr>
              <w:pStyle w:val="Compact"/>
            </w:pPr>
          </w:p>
        </w:tc>
        <w:tc>
          <w:tcPr/>
          <w:p>
            <w:pPr>
              <w:pStyle w:val="Compact"/>
            </w:pPr>
            <w:hyperlink ns1:id="rId144">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45">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46">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47">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48">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49">
              <w:r>
                <w:rPr>
                  <w:rStyle w:val="Hyperlink"/>
                </w:rPr>
                <w:t xml:space="preserve">ops:enum/resolution_type/other</w:t>
              </w:r>
            </w:hyperlink>
          </w:p>
        </w:tc>
      </w:tr>
    </w:tbl>
    <w:bookmarkEnd w:id="150"/>
    <w:bookmarkEnd w:id="151"/>
    <w:bookmarkEnd w:id="152"/>
    <w:bookmarkStart w:id="156" w:name="motion-propositions"/>
    <w:p>
      <w:pPr>
        <w:pStyle w:val="berschrift2"/>
      </w:pPr>
      <w:r>
        <w:t xml:space="preserve">Motion (propositions)</w:t>
      </w:r>
    </w:p>
    <w:bookmarkStart w:id="155" w:name="classe-motion"/>
    <w:p>
      <w:pPr>
        <w:pStyle w:val="berschrift3"/>
      </w:pPr>
      <w:r>
        <w:t xml:space="preserve">Classe: Motion</w:t>
      </w:r>
      <w:r>
        <w:t xml:space="preserve"> </w:t>
      </w:r>
      <w:bookmarkStart w:id="153" w:name="Motion"/>
      <w:bookmarkEnd w:id="153"/>
    </w:p>
    <w:p>
      <w:pPr>
        <w:pStyle w:val="FirstParagraph"/>
      </w:pPr>
      <w:r>
        <w:rPr>
          <w:i/>
          <w:iCs/>
        </w:rPr>
        <w:t xml:space="preserve">Une proposition formelle déposée au cours des délibérations, par exemple une proposition d’amendement à un texte légal, une motion d’ordre (p. ex. clôture du débat) ou une proposition de renvoi. Elle constitue une entité propre, car un point de l’ordre du jour peut comprendre plusieurs propositions, chacune ayant son propre déroulement (déposée, soutenue, mise aux voix) et, le cas échéant, son propre vote.</w:t>
      </w:r>
    </w:p>
    <w:bookmarkStart w:id="154"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abrégé de la proposition.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intégral de la proposition.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54"/>
    <w:p>
      <w:r>
        <w:br w:type="page"/>
      </w:r>
    </w:p>
    <w:bookmarkEnd w:id="155"/>
    <w:bookmarkEnd w:id="156"/>
    <w:bookmarkEnd w:id="157"/>
    <w:bookmarkStart w:id="226"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w:t>
      </w:r>
    </w:p>
    <w:bookmarkStart w:id="187" w:name="voting-vote"/>
    <w:p>
      <w:pPr>
        <w:pStyle w:val="berschrift2"/>
      </w:pPr>
      <w:r>
        <w:t xml:space="preserve">Voting (vote)</w:t>
      </w:r>
    </w:p>
    <w:bookmarkStart w:id="166" w:name="classe-voting"/>
    <w:p>
      <w:pPr>
        <w:pStyle w:val="berschrift3"/>
      </w:pPr>
      <w:r>
        <w:t xml:space="preserve">Classe: Voting</w:t>
      </w:r>
      <w:r>
        <w:t xml:space="preserve"> </w:t>
      </w:r>
      <w:bookmarkStart w:id="158" w:name="Voting"/>
      <w:bookmarkEnd w:id="158"/>
    </w:p>
    <w:p>
      <w:pPr>
        <w:pStyle w:val="FirstParagraph"/>
      </w:pPr>
      <w:r>
        <w:rPr>
          <w:i/>
          <w:iCs/>
        </w:rPr>
        <w:t xml:space="preserve">Un vote sur une question matérielle : l’objet du vote (la question), la procédure, le résultat avec le rapport de voix et — pour les votes ouverts — les voix individuelles des membres. Le vote a lieu au cours de la séance et est donc rattaché au procès-verbal (parent_protocol, parent_protocol_item) ; il est en outre lié à la séance (parent_meeting) et à l’affaire (affair_id). La présidente ou le président ne participe pas aux votes, mais départage en cas d’égalité des voix (tie_breaker). La décision catégorielle (adopté, rejeté, pris acte …) n’est pas retenue sur le vote, mais dans la Resolution du point de l’ordre du jour.</w:t>
      </w:r>
    </w:p>
    <w:bookmarkStart w:id="159"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le résultat a été obtenu, en cas d’égalité des voix, par la voix prépondérante de la présidente ou du président.</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Nombres de voix pour les options d’un vote à choix multiple, une entrée par option ; remplace total_count_yes, total_count_no et total_count_abstention (voir TotalOther).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membres absents qui n’ont pas pu participer. La liste de présence (Attendance) indique si une absence était excusée.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p. ex. « Adopté par 120 voix contre 75 et 5 abstentions ». Pour les votes, la décision catégorielle (adopté, rejeté, pris acte …) n’est pas retenue ici, mais dans la Resolution (resolution_type) du point de l’ordre du jour.</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dans lequel le vote ou l’élection est consigné. Le vote a lieu au cours de la séance et se rattache donc au procès-verbal, et non à l’ordre du jour planifié à l’avance : ce qui a été mis à l’ordre du jour ne dit pas encore sur quoi il a effectivement été voté. Inversement, le procès-verbal reprend ses votes et élections sous forme de listes (votings, elections).</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59"/>
    <w:bookmarkStart w:id="160"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160"/>
    <w:bookmarkStart w:id="165" w:name="exemples-6"/>
    <w:p>
      <w:pPr>
        <w:pStyle w:val="berschrift4"/>
      </w:pPr>
      <w:r>
        <w:t xml:space="preserve">Exemples</w:t>
      </w:r>
    </w:p>
    <w:bookmarkStart w:id="161"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61"/>
    <w:bookmarkStart w:id="162"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162"/>
    <w:bookmarkStart w:id="163"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3"/>
    <w:bookmarkStart w:id="164"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164"/>
    <w:bookmarkEnd w:id="165"/>
    <w:bookmarkEnd w:id="166"/>
    <w:bookmarkStart w:id="175" w:name="enum-votingtypeenum"/>
    <w:p>
      <w:pPr>
        <w:pStyle w:val="berschrift3"/>
      </w:pPr>
      <w:r>
        <w:t xml:space="preserve">Enum: VotingTypeEnum</w:t>
      </w:r>
      <w:r>
        <w:t xml:space="preserve"> </w:t>
      </w:r>
      <w:bookmarkStart w:id="167" w:name="VotingTypeEnum"/>
      <w:bookmarkEnd w:id="167"/>
    </w:p>
    <w:p>
      <w:pPr>
        <w:pStyle w:val="FirstParagraph"/>
      </w:pPr>
      <w:r>
        <w:rPr>
          <w:i/>
          <w:iCs/>
        </w:rPr>
        <w:t xml:space="preserve">Type de procédure de vote.</w:t>
      </w:r>
    </w:p>
    <w:p>
      <w:pPr>
        <w:pStyle w:val="Textkrper"/>
      </w:pPr>
      <w:r>
        <w:t xml:space="preserve">URI:</w:t>
      </w:r>
      <w:r>
        <w:t xml:space="preserve"> </w:t>
      </w:r>
      <w:hyperlink ns1:id="rId168">
        <w:r>
          <w:rPr>
            <w:rStyle w:val="Hyperlink"/>
          </w:rPr>
          <w:t xml:space="preserve">ops:VotingTypeEnum</w:t>
        </w:r>
      </w:hyperlink>
    </w:p>
    <w:bookmarkStart w:id="174"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 au cours de la délibération, p. ex. sur l’entrée en matière, sur une proposition, opposition de deux propositions qui s’excluent mutuellement ou portent sur le même passage, vote éventuel lorsque plus de deux propositions portent sur un même objet, sur un article isolé d’une loi, ou vote sur l’ensemble après la première lecture d’un acte délibéré en deux lectures.</w:t>
            </w:r>
          </w:p>
        </w:tc>
      </w:tr>
      <w:tr>
        <w:tc>
          <w:tcPr/>
          <w:p>
            <w:pPr>
              <w:pStyle w:val="Compact"/>
            </w:pPr>
          </w:p>
        </w:tc>
        <w:tc>
          <w:tcPr/>
          <w:p>
            <w:pPr>
              <w:pStyle w:val="Compact"/>
            </w:pPr>
            <w:hyperlink ns1:id="rId16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 sur l’objet dans son ensemble, p. ex. après la dernière lecture d’un acte, vote sur l’ensemble d’un arrêté, adoption ou rejet d’un objet dans sa totalité, ou vote point par point sur une intervention parlementaire.</w:t>
            </w:r>
          </w:p>
        </w:tc>
      </w:tr>
      <w:tr>
        <w:tc>
          <w:tcPr/>
          <w:p>
            <w:pPr>
              <w:pStyle w:val="Compact"/>
            </w:pPr>
          </w:p>
        </w:tc>
        <w:tc>
          <w:tcPr/>
          <w:p>
            <w:pPr>
              <w:pStyle w:val="Compact"/>
            </w:pPr>
            <w:hyperlink ns1:id="rId17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présidente ou du président en cas d’égalité des voix. La présidente ou le président ne participe pas aux votes, mais tranche en cas d’égalité. Si un vote secret aboutit à une égalité, c’est la proposition de l’organe préparatoire qui est réputée adoptée.</w:t>
            </w:r>
          </w:p>
        </w:tc>
      </w:tr>
      <w:tr>
        <w:tc>
          <w:tcPr/>
          <w:p>
            <w:pPr>
              <w:pStyle w:val="Compact"/>
            </w:pPr>
          </w:p>
        </w:tc>
        <w:tc>
          <w:tcPr/>
          <w:p>
            <w:pPr>
              <w:pStyle w:val="Compact"/>
            </w:pPr>
            <w:hyperlink ns1:id="rId17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secret, p. ex. sur des objets particulièrement sensibles tels qu’un recours en grâce ou la levée de l’immunité, après une délibération secrète ou sur demande. Seul le résultat global est publié.</w:t>
            </w:r>
          </w:p>
        </w:tc>
      </w:tr>
      <w:tr>
        <w:tc>
          <w:tcPr/>
          <w:p>
            <w:pPr>
              <w:pStyle w:val="Compact"/>
            </w:pPr>
          </w:p>
        </w:tc>
        <w:tc>
          <w:tcPr/>
          <w:p>
            <w:pPr>
              <w:pStyle w:val="Compact"/>
            </w:pPr>
            <w:hyperlink ns1:id="rId17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 précisé dans type_label — p. ex. un vote à choix multiple sur plusieurs propositions de même sens (voir TotalOther).</w:t>
            </w:r>
          </w:p>
        </w:tc>
      </w:tr>
      <w:tr>
        <w:tc>
          <w:tcPr/>
          <w:p>
            <w:pPr>
              <w:pStyle w:val="Compact"/>
            </w:pPr>
          </w:p>
        </w:tc>
        <w:tc>
          <w:tcPr/>
          <w:p>
            <w:pPr>
              <w:pStyle w:val="Compact"/>
            </w:pPr>
            <w:hyperlink ns1:id="rId173">
              <w:r>
                <w:rPr>
                  <w:rStyle w:val="Hyperlink"/>
                </w:rPr>
                <w:t xml:space="preserve">ops:enum/voting_type/other</w:t>
              </w:r>
            </w:hyperlink>
          </w:p>
        </w:tc>
      </w:tr>
    </w:tbl>
    <w:bookmarkEnd w:id="174"/>
    <w:bookmarkEnd w:id="175"/>
    <w:bookmarkStart w:id="182" w:name="enum-majoritytypeenum"/>
    <w:p>
      <w:pPr>
        <w:pStyle w:val="berschrift3"/>
      </w:pPr>
      <w:r>
        <w:t xml:space="preserve">Enum: MajorityTypeEnum</w:t>
      </w:r>
      <w:r>
        <w:t xml:space="preserve"> </w:t>
      </w:r>
      <w:bookmarkStart w:id="176" w:name="MajorityTypeEnum"/>
      <w:bookmarkEnd w:id="176"/>
    </w:p>
    <w:p>
      <w:pPr>
        <w:pStyle w:val="FirstParagraph"/>
      </w:pPr>
      <w:r>
        <w:rPr>
          <w:i/>
          <w:iCs/>
        </w:rPr>
        <w:t xml:space="preserve">Type de majorité requise pour le vote.</w:t>
      </w:r>
    </w:p>
    <w:p>
      <w:pPr>
        <w:pStyle w:val="Textkrper"/>
      </w:pPr>
      <w:r>
        <w:t xml:space="preserve">URI:</w:t>
      </w:r>
      <w:r>
        <w:t xml:space="preserve"> </w:t>
      </w:r>
      <w:hyperlink ns1:id="rId177">
        <w:r>
          <w:rPr>
            <w:rStyle w:val="Hyperlink"/>
          </w:rPr>
          <w:t xml:space="preserve">ops:MajorityTypeEnum</w:t>
        </w:r>
      </w:hyperlink>
    </w:p>
    <w:bookmarkStart w:id="181"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 : plus de la moitié de la base de référence (membres ou voix exprimées, selon la réglementation applicable), p. ex. au moins 101 sur 200. Cas standard pour les élections de personnes telles que l’élection du Conseil fédéral ou des présidences de commission, et requise dans certains cantons pour les modifications constitutionnelles. Si personne ne l’atteint au premier tour d’une élection, un second tour suit généralement, où la majorité relative suffit.</w:t>
            </w:r>
          </w:p>
        </w:tc>
      </w:tr>
      <w:tr>
        <w:tc>
          <w:tcPr/>
          <w:p>
            <w:pPr>
              <w:pStyle w:val="Compact"/>
            </w:pPr>
          </w:p>
        </w:tc>
        <w:tc>
          <w:tcPr/>
          <w:p>
            <w:pPr>
              <w:pStyle w:val="Compact"/>
            </w:pPr>
            <w:hyperlink ns1:id="rId17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 p. ex. au moins 134 sur 200 ; requise dans certains cantons pour les modifications constitutionnelles.</w:t>
            </w:r>
          </w:p>
        </w:tc>
      </w:tr>
      <w:tr>
        <w:tc>
          <w:tcPr/>
          <w:p>
            <w:pPr>
              <w:pStyle w:val="Compact"/>
            </w:pPr>
          </w:p>
        </w:tc>
        <w:tc>
          <w:tcPr/>
          <w:p>
            <w:pPr>
              <w:pStyle w:val="Compact"/>
            </w:pPr>
            <w:hyperlink ns1:id="rId17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 p. ex. la majorité relative entre plusieurs options d’un vote à choix multiple.</w:t>
            </w:r>
          </w:p>
        </w:tc>
      </w:tr>
      <w:tr>
        <w:tc>
          <w:tcPr/>
          <w:p>
            <w:pPr>
              <w:pStyle w:val="Compact"/>
            </w:pPr>
          </w:p>
        </w:tc>
        <w:tc>
          <w:tcPr/>
          <w:p>
            <w:pPr>
              <w:pStyle w:val="Compact"/>
            </w:pPr>
            <w:hyperlink ns1:id="rId180">
              <w:r>
                <w:rPr>
                  <w:rStyle w:val="Hyperlink"/>
                </w:rPr>
                <w:t xml:space="preserve">ops:enum/majority_type/other</w:t>
              </w:r>
            </w:hyperlink>
          </w:p>
        </w:tc>
      </w:tr>
    </w:tbl>
    <w:bookmarkEnd w:id="181"/>
    <w:bookmarkEnd w:id="182"/>
    <w:bookmarkStart w:id="186" w:name="classe-totalother"/>
    <w:p>
      <w:pPr>
        <w:pStyle w:val="berschrift3"/>
      </w:pPr>
      <w:r>
        <w:t xml:space="preserve">Classe: TotalOther</w:t>
      </w:r>
      <w:r>
        <w:t xml:space="preserve"> </w:t>
      </w:r>
      <w:bookmarkStart w:id="183" w:name="TotalOther"/>
      <w:bookmarkEnd w:id="183"/>
    </w:p>
    <w:p>
      <w:pPr>
        <w:pStyle w:val="FirstParagraph"/>
      </w:pPr>
      <w:r>
        <w:rPr>
          <w:i/>
          <w:iCs/>
        </w:rPr>
        <w:t xml:space="preserve">Nombre de voix pour une option d’un vote à choix multiple. Lorsque plusieurs propositions de même sens portent sur la même question, les membres votent simultanément sur plus de deux variantes, et la variante qui obtient le plus de voix l’emporte (à Zurich, familièrement « Cup-Abstimmung », au moyen de plusieurs boutons de vote). Un tel vote est représenté avec voting_type other et un type_label explicite ; total_count_yes, total_count_no et total_count_abstention restent vides, et chaque option reçoit une entrée avec count et label. Exemple : Gemeinderat de la Ville de Zurich, séance du 28 février 2024, affaire 2023/361, quatre options avec 75, 25, 12 et 0 voix.</w:t>
      </w:r>
    </w:p>
    <w:bookmarkStart w:id="184"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184"/>
    <w:bookmarkStart w:id="185" w:name="utilisations-9"/>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185"/>
    <w:bookmarkEnd w:id="186"/>
    <w:bookmarkEnd w:id="187"/>
    <w:bookmarkStart w:id="213" w:name="individual-vote-voix-individuelle"/>
    <w:p>
      <w:pPr>
        <w:pStyle w:val="berschrift2"/>
      </w:pPr>
      <w:r>
        <w:t xml:space="preserve">Individual Vote (voix individuelle)</w:t>
      </w:r>
    </w:p>
    <w:bookmarkStart w:id="202" w:name="classe-individualvote"/>
    <w:p>
      <w:pPr>
        <w:pStyle w:val="berschrift3"/>
      </w:pPr>
      <w:r>
        <w:t xml:space="preserve">Classe: IndividualVote</w:t>
      </w:r>
      <w:r>
        <w:t xml:space="preserve"> </w:t>
      </w:r>
      <w:bookmarkStart w:id="188" w:name="IndividualVote"/>
      <w:bookmarkEnd w:id="188"/>
    </w:p>
    <w:p>
      <w:pPr>
        <w:pStyle w:val="FirstParagraph"/>
      </w:pPr>
      <w:r>
        <w:rPr>
          <w:i/>
          <w:iCs/>
        </w:rPr>
        <w:t xml:space="preserve">La voix exprimée par un membre lors d’un vote. Les voix individuelles ne sont saisies que pour les votes ouverts ; pour les votes secrets, seul le résultat global est publié. Une voix individuelle concerne un vote déterminé et se distingue de la présence (Attendance), qui retient la présence à la séance dans son ensemble : un membre présent à la séance peut être saisi avec not_voted lors d’un vote particulier, par exemple parce qu’il a brièvement quitté la salle.</w:t>
      </w:r>
    </w:p>
    <w:bookmarkStart w:id="189"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Le membre qui a exprimé la voix, sous forme de référence à une personne selon eCH-0294.</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Poids de la voix du membre ; normalement 1. D’autres valeurs se présentent par exemple lorsqu’un membre vote aussi pour un membre absent (représentation, poids 2), dans les assemblées communales où des personnes morales disposent de plusieurs voix, ou dans des systèmes historiques où différents groupes de personnes avaient un poids de voix différent.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89"/>
    <w:bookmarkStart w:id="190" w:name="utilisations-1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190"/>
    <w:bookmarkStart w:id="201" w:name="exemples-7"/>
    <w:p>
      <w:pPr>
        <w:pStyle w:val="berschrift4"/>
      </w:pPr>
      <w:r>
        <w:t xml:space="preserve">Exemples</w:t>
      </w:r>
    </w:p>
    <w:bookmarkStart w:id="191" w:name="exemple-individualvote-voix-non"/>
    <w:p>
      <w:pPr>
        <w:pStyle w:val="berschrift5"/>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1"/>
    <w:bookmarkStart w:id="192"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2"/>
    <w:bookmarkStart w:id="193"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3"/>
    <w:bookmarkStart w:id="194"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4"/>
    <w:bookmarkStart w:id="195"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5"/>
    <w:bookmarkStart w:id="196"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6"/>
    <w:bookmarkStart w:id="197"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7"/>
    <w:bookmarkStart w:id="198"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8"/>
    <w:bookmarkStart w:id="199"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9"/>
    <w:bookmarkStart w:id="200"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00"/>
    <w:bookmarkEnd w:id="201"/>
    <w:bookmarkEnd w:id="202"/>
    <w:bookmarkStart w:id="212" w:name="enum-individualvotetypeenum"/>
    <w:p>
      <w:pPr>
        <w:pStyle w:val="berschrift3"/>
      </w:pPr>
      <w:r>
        <w:t xml:space="preserve">Enum: IndividualVoteTypeEnum</w:t>
      </w:r>
      <w:r>
        <w:t xml:space="preserve"> </w:t>
      </w:r>
      <w:bookmarkStart w:id="203" w:name="IndividualVoteTypeEnum"/>
      <w:bookmarkEnd w:id="203"/>
    </w:p>
    <w:p>
      <w:pPr>
        <w:pStyle w:val="FirstParagraph"/>
      </w:pPr>
      <w:r>
        <w:rPr>
          <w:i/>
          <w:iCs/>
        </w:rPr>
        <w:t xml:space="preserve">Type de voix individuelle exprimée par un membre.</w:t>
      </w:r>
    </w:p>
    <w:p>
      <w:pPr>
        <w:pStyle w:val="Textkrper"/>
      </w:pPr>
      <w:r>
        <w:t xml:space="preserve">URI:</w:t>
      </w:r>
      <w:r>
        <w:t xml:space="preserve"> </w:t>
      </w:r>
      <w:hyperlink ns1:id="rId204">
        <w:r>
          <w:rPr>
            <w:rStyle w:val="Hyperlink"/>
          </w:rPr>
          <w:t xml:space="preserve">ops:IndividualVoteTypeEnum</w:t>
        </w:r>
      </w:hyperlink>
    </w:p>
    <w:bookmarkStart w:id="211"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Oui : le membre approuve l’objet ou la proposition.</w:t>
            </w:r>
          </w:p>
        </w:tc>
      </w:tr>
      <w:tr>
        <w:tc>
          <w:tcPr/>
          <w:p>
            <w:pPr>
              <w:pStyle w:val="Compact"/>
            </w:pPr>
          </w:p>
        </w:tc>
        <w:tc>
          <w:tcPr/>
          <w:p>
            <w:pPr>
              <w:pStyle w:val="Compact"/>
            </w:pPr>
            <w:hyperlink ns1:id="rId205">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Non : le membre rejette l’objet ou la proposition.</w:t>
            </w:r>
          </w:p>
        </w:tc>
      </w:tr>
      <w:tr>
        <w:tc>
          <w:tcPr/>
          <w:p>
            <w:pPr>
              <w:pStyle w:val="Compact"/>
            </w:pPr>
          </w:p>
        </w:tc>
        <w:tc>
          <w:tcPr/>
          <w:p>
            <w:pPr>
              <w:pStyle w:val="Compact"/>
            </w:pPr>
            <w:hyperlink ns1:id="rId206">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 : le membre participe au vote mais s’abstient ; en cas de vote électronique, il presse le bouton « abstention ».</w:t>
            </w:r>
          </w:p>
        </w:tc>
      </w:tr>
      <w:tr>
        <w:tc>
          <w:tcPr/>
          <w:p>
            <w:pPr>
              <w:pStyle w:val="Compact"/>
            </w:pPr>
          </w:p>
        </w:tc>
        <w:tc>
          <w:tcPr/>
          <w:p>
            <w:pPr>
              <w:pStyle w:val="Compact"/>
            </w:pPr>
            <w:hyperlink ns1:id="rId207">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 : le membre n’a pas exprimé de voix, par exemple parce qu’il était présent sans voter ou absent.</w:t>
            </w:r>
          </w:p>
        </w:tc>
      </w:tr>
      <w:tr>
        <w:tc>
          <w:tcPr/>
          <w:p>
            <w:pPr>
              <w:pStyle w:val="Compact"/>
            </w:pPr>
          </w:p>
        </w:tc>
        <w:tc>
          <w:tcPr/>
          <w:p>
            <w:pPr>
              <w:pStyle w:val="Compact"/>
            </w:pPr>
            <w:hyperlink ns1:id="rId208">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exprimée par la présidente ou le président en cas d’égalité des voix (voir voting_type tie_breaker_president).</w:t>
            </w:r>
          </w:p>
        </w:tc>
      </w:tr>
      <w:tr>
        <w:tc>
          <w:tcPr/>
          <w:p>
            <w:pPr>
              <w:pStyle w:val="Compact"/>
            </w:pPr>
          </w:p>
        </w:tc>
        <w:tc>
          <w:tcPr/>
          <w:p>
            <w:pPr>
              <w:pStyle w:val="Compact"/>
            </w:pPr>
            <w:hyperlink ns1:id="rId209">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Voix qui ne peut être placée sur l’axe oui/non — par exemple lors d’un vote à choix multiple, où le membre a voté, mais ni oui ni non ; l’option choisie est retenue dans type_label (p. ex. « Choix A »). Pendant de total_other sur le vote ; la voix individuelle reste ainsi exploitable sans qu’il faille une valeur d’énumération propre pour chaque mécanisme de choix cantonal.</w:t>
            </w:r>
          </w:p>
        </w:tc>
      </w:tr>
      <w:tr>
        <w:tc>
          <w:tcPr/>
          <w:p>
            <w:pPr>
              <w:pStyle w:val="Compact"/>
            </w:pPr>
          </w:p>
        </w:tc>
        <w:tc>
          <w:tcPr/>
          <w:p>
            <w:pPr>
              <w:pStyle w:val="Compact"/>
            </w:pPr>
            <w:hyperlink ns1:id="rId210">
              <w:r>
                <w:rPr>
                  <w:rStyle w:val="Hyperlink"/>
                </w:rPr>
                <w:t xml:space="preserve">ops:enum/individual_vote_type/other</w:t>
              </w:r>
            </w:hyperlink>
          </w:p>
        </w:tc>
      </w:tr>
    </w:tbl>
    <w:bookmarkEnd w:id="211"/>
    <w:bookmarkEnd w:id="212"/>
    <w:bookmarkEnd w:id="213"/>
    <w:bookmarkStart w:id="225" w:name="election-élection"/>
    <w:p>
      <w:pPr>
        <w:pStyle w:val="berschrift2"/>
      </w:pPr>
      <w:r>
        <w:t xml:space="preserve">Election (élection)</w:t>
      </w:r>
    </w:p>
    <w:bookmarkStart w:id="217" w:name="classe-election"/>
    <w:p>
      <w:pPr>
        <w:pStyle w:val="berschrift3"/>
      </w:pPr>
      <w:r>
        <w:t xml:space="preserve">Classe: Election</w:t>
      </w:r>
      <w:r>
        <w:t xml:space="preserve"> </w:t>
      </w:r>
      <w:bookmarkStart w:id="214" w:name="Election"/>
      <w:bookmarkEnd w:id="214"/>
    </w:p>
    <w:p>
      <w:pPr>
        <w:pStyle w:val="FirstParagraph"/>
      </w:pPr>
      <w:r>
        <w:rPr>
          <w:i/>
          <w:iCs/>
        </w:rPr>
        <w:t xml:space="preserve">Une élection par laquelle un organe parlementaire désigne une ou plusieurs personnes à une charge ou à une fonction. Contrairement au vote (Voting), qui tranche des questions matérielles, l’élection est une décision portant sur des personnes : elle a souvent lieu au scrutin secret et requiert en général la majorité absolue, alors que les votes sont le plus souvent ouverts. La présidente ou le président, qui ne participe pas aux votes, prend part aux élections. Chaque tour de scrutin est saisi comme une élection distincte ; les tours d’une même élection sont reliés par le point de l’ordre du jour commun — par exemple un premier tour à la majorité absolue resté sans résultat, suivi d’un second tour où la majorité relative suffit.</w:t>
      </w:r>
    </w:p>
    <w:bookmarkStart w:id="215"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l’élection, p. ex. « Élection à la présidence de la CER ».</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de membres absents qui n’ont pas pu participer. La liste de présence (Attendance) indique si une absence était excusée.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p. ex. « Adopté par 120 voix contre 75 et 5 abstentions ». Pour les votes, la décision catégorielle (adopté, rejeté, pris acte …) n’est pas retenue ici, mais dans la Resolution (resolution_type) du point de l’ordre du jour.</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dans lequel le vote ou l’élection est consigné. Le vote a lieu au cours de la séance et se rattache donc au procès-verbal, et non à l’ordre du jour planifié à l’avance : ce qui a été mis à l’ordre du jour ne dit pas encore sur quoi il a effectivement été voté. Inversement, le procès-verbal reprend ses votes et élections sous forme de listes (votings, elections).</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Identifiant de l’affaire (eCH-0295) à laquelle se rapporte l’enregistrement. Les points administratifs (p. ex. approbation du procès-verbal) n’ont pas d’affaire. Une affaire passe en règle générale par plusieurs points de l’ordre du jour — dans la législation, par exemple, le débat d’entrée en matière, la discussion par article, le vote final et, le cas échéant, la procédure d’élimination des divergences entre les conseils.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15"/>
    <w:bookmarkStart w:id="216" w:name="utilisations-1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216"/>
    <w:bookmarkEnd w:id="217"/>
    <w:bookmarkStart w:id="224" w:name="enum-electiontypeenum"/>
    <w:p>
      <w:pPr>
        <w:pStyle w:val="berschrift3"/>
      </w:pPr>
      <w:r>
        <w:t xml:space="preserve">Enum: ElectionTypeEnum</w:t>
      </w:r>
      <w:r>
        <w:t xml:space="preserve"> </w:t>
      </w:r>
      <w:bookmarkStart w:id="218" w:name="ElectionTypeEnum"/>
      <w:bookmarkEnd w:id="218"/>
    </w:p>
    <w:p>
      <w:pPr>
        <w:pStyle w:val="FirstParagraph"/>
      </w:pPr>
      <w:r>
        <w:rPr>
          <w:i/>
          <w:iCs/>
        </w:rPr>
        <w:t xml:space="preserve">Type de procédure d’élection.</w:t>
      </w:r>
    </w:p>
    <w:p>
      <w:pPr>
        <w:pStyle w:val="Textkrper"/>
      </w:pPr>
      <w:r>
        <w:t xml:space="preserve">URI:</w:t>
      </w:r>
      <w:r>
        <w:t xml:space="preserve"> </w:t>
      </w:r>
      <w:hyperlink ns1:id="rId219">
        <w:r>
          <w:rPr>
            <w:rStyle w:val="Hyperlink"/>
          </w:rPr>
          <w:t xml:space="preserve">ops:ElectionTypeEnum</w:t>
        </w:r>
      </w:hyperlink>
    </w:p>
    <w:bookmarkStart w:id="223"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secrète : les voix sont exprimées anonymement, au moyen d’un bulletin ou d’un système électronique de vote secret, de sorte qu’on ne peut savoir qui a élu qui. Standard pour les élections de personnes et souvent prescrite par la loi — au niveau fédéral p. ex. le Conseil fédéral (par l’Assemblée fédérale Chambres réunies, à la majorité absolue lors des premiers tours), les juges fédérales et juges fédéraux et les présidences de commission ; au niveau cantonal p. ex. la présidence du parlement, la présidence du gouvernement, les présidences des tribunaux suprêmes, les juges, la chancelière ou le chancelier d’État et les présidences de commission. Seul le résultat global est publié, sans voix individuelles.</w:t>
            </w:r>
          </w:p>
        </w:tc>
      </w:tr>
      <w:tr>
        <w:tc>
          <w:tcPr/>
          <w:p>
            <w:pPr>
              <w:pStyle w:val="Compact"/>
            </w:pPr>
          </w:p>
        </w:tc>
        <w:tc>
          <w:tcPr/>
          <w:p>
            <w:pPr>
              <w:pStyle w:val="Compact"/>
            </w:pPr>
            <w:hyperlink ns1:id="rId22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ouverte : les voix sont exprimées ouvertement et l’on peut savoir qui a élu qui ; les voix individuelles peuvent donc être saisies. Usuelle lorsque la transparence est souhaitée, pour les élections non disputées ou dans les organes de petite taille.</w:t>
            </w:r>
          </w:p>
        </w:tc>
      </w:tr>
      <w:tr>
        <w:tc>
          <w:tcPr/>
          <w:p>
            <w:pPr>
              <w:pStyle w:val="Compact"/>
            </w:pPr>
          </w:p>
        </w:tc>
        <w:tc>
          <w:tcPr/>
          <w:p>
            <w:pPr>
              <w:pStyle w:val="Compact"/>
            </w:pPr>
            <w:hyperlink ns1:id="rId22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vote formel, par acclamation ou consensus ; possible uniquement si aucune opposition n’est formulée, p. ex. la réélection d’une présidente ou d’un président de commission sans candidature concurrente.</w:t>
            </w:r>
          </w:p>
        </w:tc>
      </w:tr>
      <w:tr>
        <w:tc>
          <w:tcPr/>
          <w:p>
            <w:pPr>
              <w:pStyle w:val="Compact"/>
            </w:pPr>
          </w:p>
        </w:tc>
        <w:tc>
          <w:tcPr/>
          <w:p>
            <w:pPr>
              <w:pStyle w:val="Compact"/>
            </w:pPr>
            <w:hyperlink ns1:id="rId222">
              <w:r>
                <w:rPr>
                  <w:rStyle w:val="Hyperlink"/>
                </w:rPr>
                <w:t xml:space="preserve">ops:enum/election_type/silent</w:t>
              </w:r>
            </w:hyperlink>
          </w:p>
        </w:tc>
      </w:tr>
    </w:tbl>
    <w:bookmarkEnd w:id="223"/>
    <w:p>
      <w:r>
        <w:br w:type="page"/>
      </w:r>
    </w:p>
    <w:bookmarkEnd w:id="224"/>
    <w:bookmarkEnd w:id="225"/>
    <w:bookmarkEnd w:id="226"/>
    <w:bookmarkStart w:id="258"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231" w:name="attendance-présence"/>
    <w:p>
      <w:pPr>
        <w:pStyle w:val="berschrift2"/>
      </w:pPr>
      <w:r>
        <w:t xml:space="preserve">Attendance (présence)</w:t>
      </w:r>
    </w:p>
    <w:bookmarkStart w:id="227" w:name="notion-et-signification"/>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227"/>
    <w:bookmarkStart w:id="230" w:name="structure-à-deux-niveaux"/>
    <w:p>
      <w:pPr>
        <w:pStyle w:val="berschrift3"/>
      </w:pPr>
      <w:r>
        <w:t xml:space="preserve">Structure à deux niveaux</w:t>
      </w:r>
    </w:p>
    <w:p>
      <w:pPr>
        <w:pStyle w:val="FirstParagraph"/>
      </w:pPr>
      <w:r>
        <w:t xml:space="preserve">La norme distingue deux niveaux de saisie de la présence :</w:t>
      </w:r>
    </w:p>
    <w:bookmarkStart w:id="228"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228"/>
    <w:bookmarkStart w:id="229"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229"/>
    <w:bookmarkEnd w:id="230"/>
    <w:bookmarkEnd w:id="231"/>
    <w:bookmarkStart w:id="235" w:name="attendance-niveau-agrégé-1"/>
    <w:p>
      <w:pPr>
        <w:pStyle w:val="berschrift2"/>
      </w:pPr>
      <w:r>
        <w:t xml:space="preserve">Attendance (niveau agrégé)</w:t>
      </w:r>
    </w:p>
    <w:bookmarkStart w:id="232" w:name="rattachement-à-la-séance-et-à-lorgane"/>
    <w:p>
      <w:pPr>
        <w:pStyle w:val="berschrift4"/>
      </w:pPr>
      <w:r>
        <w:t xml:space="preserve">Rattachement à la séance et à l’organe</w:t>
      </w:r>
    </w:p>
    <w:p>
      <w:pPr>
        <w:pStyle w:val="Compact"/>
        <w:numPr>
          <w:ilvl w:val="0"/>
          <w:numId w:val="1002"/>
        </w:numPr>
      </w:pPr>
      <w:r>
        <w:rPr>
          <w:b/>
          <w:bCs/>
        </w:rPr>
        <w:t xml:space="preserve">parent_meeting</w:t>
      </w:r>
      <w:r>
        <w:t xml:space="preserve"> </w:t>
      </w:r>
      <w:r>
        <w:t xml:space="preserve">: renvoi à la séance à laquelle se rapporte la liste de présence</w:t>
      </w:r>
    </w:p>
    <w:p>
      <w:pPr>
        <w:pStyle w:val="Compact"/>
        <w:numPr>
          <w:ilvl w:val="0"/>
          <w:numId w:val="1002"/>
        </w:numPr>
      </w:pPr>
      <w:r>
        <w:rPr>
          <w:b/>
          <w:bCs/>
        </w:rPr>
        <w:t xml:space="preserve">actor_id</w:t>
      </w:r>
      <w:r>
        <w:t xml:space="preserve"> </w:t>
      </w:r>
      <w:r>
        <w:t xml:space="preserve">: renvoi à l’organe (parlement, commission) selon eCH-0294 Actors</w:t>
      </w:r>
    </w:p>
    <w:p>
      <w:pPr>
        <w:pStyle w:val="Compact"/>
        <w:numPr>
          <w:ilvl w:val="0"/>
          <w:numId w:val="1002"/>
        </w:numPr>
      </w:pPr>
      <w:r>
        <w:rPr>
          <w:b/>
          <w:bCs/>
        </w:rPr>
        <w:t xml:space="preserve">datetime_begin</w:t>
      </w:r>
      <w:r>
        <w:t xml:space="preserve"> </w:t>
      </w:r>
      <w:r>
        <w:t xml:space="preserve">: moment de la constatation de la présence</w:t>
      </w:r>
    </w:p>
    <w:bookmarkEnd w:id="232"/>
    <w:bookmarkStart w:id="233" w:name="chiffres-agrégés"/>
    <w:p>
      <w:pPr>
        <w:pStyle w:val="berschrift4"/>
      </w:pPr>
      <w:r>
        <w:t xml:space="preserve">Chiffres agrégés</w:t>
      </w:r>
    </w:p>
    <w:p>
      <w:pPr>
        <w:pStyle w:val="Compact"/>
        <w:numPr>
          <w:ilvl w:val="0"/>
          <w:numId w:val="1003"/>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03"/>
        </w:numPr>
      </w:pPr>
      <w:r>
        <w:rPr>
          <w:b/>
          <w:bCs/>
        </w:rPr>
        <w:t xml:space="preserve">total_present</w:t>
      </w:r>
      <w:r>
        <w:t xml:space="preserve"> </w:t>
      </w:r>
      <w:r>
        <w:t xml:space="preserve">: nombre de membres présents</w:t>
      </w:r>
    </w:p>
    <w:p>
      <w:pPr>
        <w:pStyle w:val="Compact"/>
        <w:numPr>
          <w:ilvl w:val="0"/>
          <w:numId w:val="1003"/>
        </w:numPr>
      </w:pPr>
      <w:r>
        <w:rPr>
          <w:b/>
          <w:bCs/>
        </w:rPr>
        <w:t xml:space="preserve">total_excused</w:t>
      </w:r>
      <w:r>
        <w:t xml:space="preserve"> </w:t>
      </w:r>
      <w:r>
        <w:t xml:space="preserve">: nombre de membres excusés</w:t>
      </w:r>
    </w:p>
    <w:p>
      <w:pPr>
        <w:pStyle w:val="Compact"/>
        <w:numPr>
          <w:ilvl w:val="0"/>
          <w:numId w:val="1003"/>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233"/>
    <w:bookmarkStart w:id="234" w:name="quorum"/>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234"/>
    <w:bookmarkEnd w:id="235"/>
    <w:bookmarkStart w:id="257" w:name="individualattendance-niveau-individuel-1"/>
    <w:p>
      <w:pPr>
        <w:pStyle w:val="berschrift2"/>
      </w:pPr>
      <w:r>
        <w:t xml:space="preserve">IndividualAttendance (niveau individuel)</w:t>
      </w:r>
    </w:p>
    <w:bookmarkStart w:id="236" w:name="lien"/>
    <w:p>
      <w:pPr>
        <w:pStyle w:val="berschrift4"/>
      </w:pPr>
      <w:r>
        <w:t xml:space="preserve">Lien</w:t>
      </w:r>
    </w:p>
    <w:p>
      <w:pPr>
        <w:pStyle w:val="Compact"/>
        <w:numPr>
          <w:ilvl w:val="0"/>
          <w:numId w:val="1004"/>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04"/>
        </w:numPr>
      </w:pPr>
      <w:r>
        <w:rPr>
          <w:b/>
          <w:bCs/>
        </w:rPr>
        <w:t xml:space="preserve">actor_id</w:t>
      </w:r>
      <w:r>
        <w:t xml:space="preserve"> </w:t>
      </w:r>
      <w:r>
        <w:t xml:space="preserve">: renvoi à la personne selon eCH-0294 Actors</w:t>
      </w:r>
    </w:p>
    <w:bookmarkEnd w:id="236"/>
    <w:bookmarkStart w:id="238"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05"/>
        </w:numPr>
      </w:pPr>
      <w:r>
        <w:rPr>
          <w:b/>
          <w:bCs/>
        </w:rPr>
        <w:t xml:space="preserve">present</w:t>
      </w:r>
      <w:r>
        <w:t xml:space="preserve"> </w:t>
      </w:r>
      <w:r>
        <w:t xml:space="preserve">: présent en personne</w:t>
      </w:r>
    </w:p>
    <w:p>
      <w:pPr>
        <w:pStyle w:val="Compact"/>
        <w:numPr>
          <w:ilvl w:val="0"/>
          <w:numId w:val="1005"/>
        </w:numPr>
      </w:pPr>
      <w:r>
        <w:rPr>
          <w:b/>
          <w:bCs/>
        </w:rPr>
        <w:t xml:space="preserve">remote</w:t>
      </w:r>
      <w:r>
        <w:t xml:space="preserve"> </w:t>
      </w:r>
      <w:r>
        <w:t xml:space="preserve">: présent à distance (p. ex. visioconférence)</w:t>
      </w:r>
    </w:p>
    <w:p>
      <w:pPr>
        <w:pStyle w:val="Compact"/>
        <w:numPr>
          <w:ilvl w:val="0"/>
          <w:numId w:val="1005"/>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23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238"/>
    <w:bookmarkStart w:id="239"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d’un retard ou d’une suppléance.</w:t>
      </w:r>
    </w:p>
    <w:bookmarkEnd w:id="239"/>
    <w:bookmarkStart w:id="240"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240"/>
    <w:bookmarkStart w:id="241" w:name="utilisations-12"/>
    <w:p>
      <w:pPr>
        <w:pStyle w:val="berschrift3"/>
      </w:pPr>
      <w:r>
        <w:t xml:space="preserve">Utilisations</w:t>
      </w:r>
    </w:p>
    <w:p>
      <w:pPr>
        <w:pStyle w:val="FirstParagraph"/>
      </w:pPr>
      <w:r>
        <w:t xml:space="preserve">Les entités Attendance permettent :</w:t>
      </w:r>
    </w:p>
    <w:p>
      <w:pPr>
        <w:pStyle w:val="Compact"/>
        <w:numPr>
          <w:ilvl w:val="0"/>
          <w:numId w:val="1006"/>
        </w:numPr>
      </w:pPr>
      <w:r>
        <w:rPr>
          <w:b/>
          <w:bCs/>
        </w:rPr>
        <w:t xml:space="preserve">Documentation</w:t>
      </w:r>
      <w:r>
        <w:t xml:space="preserve"> </w:t>
      </w:r>
      <w:r>
        <w:t xml:space="preserve">: saisie traçable de la participation</w:t>
      </w:r>
    </w:p>
    <w:p>
      <w:pPr>
        <w:pStyle w:val="Compact"/>
        <w:numPr>
          <w:ilvl w:val="0"/>
          <w:numId w:val="1006"/>
        </w:numPr>
      </w:pPr>
      <w:r>
        <w:rPr>
          <w:b/>
          <w:bCs/>
        </w:rPr>
        <w:t xml:space="preserve">Vérification du quorum</w:t>
      </w:r>
      <w:r>
        <w:t xml:space="preserve"> </w:t>
      </w:r>
      <w:r>
        <w:t xml:space="preserve">: garantie de la capacité de décision</w:t>
      </w:r>
    </w:p>
    <w:p>
      <w:pPr>
        <w:pStyle w:val="Compact"/>
        <w:numPr>
          <w:ilvl w:val="0"/>
          <w:numId w:val="1006"/>
        </w:numPr>
      </w:pPr>
      <w:r>
        <w:rPr>
          <w:b/>
          <w:bCs/>
        </w:rPr>
        <w:t xml:space="preserve">Transparence</w:t>
      </w:r>
      <w:r>
        <w:t xml:space="preserve"> </w:t>
      </w:r>
      <w:r>
        <w:t xml:space="preserve">: information publique sur la présence</w:t>
      </w:r>
    </w:p>
    <w:p>
      <w:pPr>
        <w:pStyle w:val="Compact"/>
        <w:numPr>
          <w:ilvl w:val="0"/>
          <w:numId w:val="1006"/>
        </w:numPr>
      </w:pPr>
      <w:r>
        <w:rPr>
          <w:b/>
          <w:bCs/>
        </w:rPr>
        <w:t xml:space="preserve">Reddition de comptes</w:t>
      </w:r>
      <w:r>
        <w:t xml:space="preserve"> </w:t>
      </w:r>
      <w:r>
        <w:t xml:space="preserve">: contrôle de l’exécution des obligations</w:t>
      </w:r>
    </w:p>
    <w:p>
      <w:pPr>
        <w:pStyle w:val="Compact"/>
        <w:numPr>
          <w:ilvl w:val="0"/>
          <w:numId w:val="1006"/>
        </w:numPr>
      </w:pPr>
      <w:r>
        <w:rPr>
          <w:b/>
          <w:bCs/>
        </w:rPr>
        <w:t xml:space="preserve">Statistiques</w:t>
      </w:r>
      <w:r>
        <w:t xml:space="preserve"> </w:t>
      </w:r>
      <w:r>
        <w:t xml:space="preserve">: évaluation des taux de présence</w:t>
      </w:r>
    </w:p>
    <w:p>
      <w:pPr>
        <w:pStyle w:val="Compact"/>
        <w:numPr>
          <w:ilvl w:val="0"/>
          <w:numId w:val="1006"/>
        </w:numPr>
      </w:pPr>
      <w:r>
        <w:rPr>
          <w:b/>
          <w:bCs/>
        </w:rPr>
        <w:t xml:space="preserve">Administration</w:t>
      </w:r>
      <w:r>
        <w:t xml:space="preserve"> </w:t>
      </w:r>
      <w:r>
        <w:t xml:space="preserve">: calcul des indemnités et des frais</w:t>
      </w:r>
    </w:p>
    <w:bookmarkEnd w:id="241"/>
    <w:bookmarkStart w:id="245" w:name="classe-attendance"/>
    <w:p>
      <w:pPr>
        <w:pStyle w:val="berschrift3"/>
      </w:pPr>
      <w:r>
        <w:t xml:space="preserve">Classe: Attendance</w:t>
      </w:r>
      <w:r>
        <w:t xml:space="preserve"> </w:t>
      </w:r>
      <w:bookmarkStart w:id="242" w:name="Attendance"/>
      <w:bookmarkEnd w:id="242"/>
    </w:p>
    <w:p>
      <w:pPr>
        <w:pStyle w:val="FirstParagraph"/>
      </w:pPr>
      <w:r>
        <w:rPr>
          <w:i/>
          <w:iCs/>
        </w:rPr>
        <w:t xml:space="preserve">Liste de présence agrégée pour une séance (nombre de membres présents, absents, excusés).</w:t>
      </w:r>
    </w:p>
    <w:bookmarkStart w:id="243"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membres absents qui n’ont pas pu participer. La liste de présence (Attendance) indique si une absence était excusée.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43"/>
    <w:bookmarkStart w:id="244" w:name="utilisations-13"/>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244"/>
    <w:bookmarkEnd w:id="245"/>
    <w:bookmarkStart w:id="249" w:name="classe-individualattendance"/>
    <w:p>
      <w:pPr>
        <w:pStyle w:val="berschrift3"/>
      </w:pPr>
      <w:r>
        <w:t xml:space="preserve">Classe: IndividualAttendance</w:t>
      </w:r>
      <w:r>
        <w:t xml:space="preserve"> </w:t>
      </w:r>
      <w:bookmarkStart w:id="246" w:name="IndividualAttendance"/>
      <w:bookmarkEnd w:id="246"/>
    </w:p>
    <w:p>
      <w:pPr>
        <w:pStyle w:val="FirstParagraph"/>
      </w:pPr>
      <w:r>
        <w:rPr>
          <w:i/>
          <w:iCs/>
        </w:rPr>
        <w:t xml:space="preserve">Constatation individuelle de la présence d’une personne à une séance (rattachée à l’agrégat Attendance parent).</w:t>
      </w:r>
    </w:p>
    <w:bookmarkStart w:id="247"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du retard ou de la suppléance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47"/>
    <w:bookmarkStart w:id="248"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248"/>
    <w:bookmarkEnd w:id="249"/>
    <w:bookmarkStart w:id="256" w:name="enum-attendancetypeenum"/>
    <w:p>
      <w:pPr>
        <w:pStyle w:val="berschrift3"/>
      </w:pPr>
      <w:r>
        <w:t xml:space="preserve">Enum: AttendanceTypeEnum</w:t>
      </w:r>
      <w:r>
        <w:t xml:space="preserve"> </w:t>
      </w:r>
      <w:bookmarkStart w:id="250" w:name="AttendanceTypeEnum"/>
      <w:bookmarkEnd w:id="250"/>
    </w:p>
    <w:p>
      <w:pPr>
        <w:pStyle w:val="FirstParagraph"/>
      </w:pPr>
      <w:r>
        <w:rPr>
          <w:i/>
          <w:iCs/>
        </w:rPr>
        <w:t xml:space="preserve">Type de présence individuelle.</w:t>
      </w:r>
    </w:p>
    <w:p>
      <w:pPr>
        <w:pStyle w:val="Textkrper"/>
      </w:pPr>
      <w:r>
        <w:t xml:space="preserve">URI:</w:t>
      </w:r>
      <w:r>
        <w:t xml:space="preserve"> </w:t>
      </w:r>
      <w:hyperlink ns1:id="rId251">
        <w:r>
          <w:rPr>
            <w:rStyle w:val="Hyperlink"/>
          </w:rPr>
          <w:t xml:space="preserve">ops:AttendanceTypeEnum</w:t>
        </w:r>
      </w:hyperlink>
    </w:p>
    <w:bookmarkStart w:id="255"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25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25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254">
              <w:r>
                <w:rPr>
                  <w:rStyle w:val="Hyperlink"/>
                </w:rPr>
                <w:t xml:space="preserve">ops:enum/attendance_type/present</w:t>
              </w:r>
            </w:hyperlink>
          </w:p>
        </w:tc>
      </w:tr>
    </w:tbl>
    <w:bookmarkEnd w:id="255"/>
    <w:p>
      <w:r>
        <w:br w:type="page"/>
      </w:r>
    </w:p>
    <w:bookmarkEnd w:id="256"/>
    <w:bookmarkEnd w:id="257"/>
    <w:bookmarkEnd w:id="258"/>
    <w:bookmarkStart w:id="290"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289" w:name="speech-intervention-prise-de-parole"/>
    <w:p>
      <w:pPr>
        <w:pStyle w:val="berschrift2"/>
      </w:pPr>
      <w:r>
        <w:t xml:space="preserve">Speech (intervention, prise de parole)</w:t>
      </w:r>
    </w:p>
    <w:bookmarkStart w:id="259" w:name="notion-et-signification-1"/>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259"/>
    <w:bookmarkStart w:id="264" w:name="types-de-speeches"/>
    <w:p>
      <w:pPr>
        <w:pStyle w:val="berschrift3"/>
      </w:pPr>
      <w:r>
        <w:t xml:space="preserve">Types de Speeches</w:t>
      </w:r>
    </w:p>
    <w:p>
      <w:pPr>
        <w:pStyle w:val="FirstParagraph"/>
      </w:pPr>
      <w:r>
        <w:t xml:space="preserve">Les interventions parlementaires prennent différentes formes :</w:t>
      </w:r>
    </w:p>
    <w:bookmarkStart w:id="260" w:name="interventions-principales"/>
    <w:p>
      <w:pPr>
        <w:pStyle w:val="berschrift4"/>
      </w:pPr>
      <w:r>
        <w:t xml:space="preserve">Interventions principales</w:t>
      </w:r>
    </w:p>
    <w:p>
      <w:pPr>
        <w:pStyle w:val="Compact"/>
        <w:numPr>
          <w:ilvl w:val="0"/>
          <w:numId w:val="1007"/>
        </w:numPr>
      </w:pPr>
      <w:r>
        <w:t xml:space="preserve">Prises de position détaillées sur une affaire</w:t>
      </w:r>
    </w:p>
    <w:p>
      <w:pPr>
        <w:pStyle w:val="Compact"/>
        <w:numPr>
          <w:ilvl w:val="0"/>
          <w:numId w:val="1007"/>
        </w:numPr>
      </w:pPr>
      <w:r>
        <w:t xml:space="preserve">Motivation de propositions</w:t>
      </w:r>
    </w:p>
    <w:p>
      <w:pPr>
        <w:pStyle w:val="Compact"/>
        <w:numPr>
          <w:ilvl w:val="0"/>
          <w:numId w:val="1007"/>
        </w:numPr>
      </w:pPr>
      <w:r>
        <w:t xml:space="preserve">Exposé de la position du groupe</w:t>
      </w:r>
    </w:p>
    <w:bookmarkEnd w:id="260"/>
    <w:bookmarkStart w:id="261" w:name="interventions-brèves"/>
    <w:p>
      <w:pPr>
        <w:pStyle w:val="berschrift4"/>
      </w:pPr>
      <w:r>
        <w:t xml:space="preserve">Interventions brèves</w:t>
      </w:r>
    </w:p>
    <w:p>
      <w:pPr>
        <w:pStyle w:val="Compact"/>
        <w:numPr>
          <w:ilvl w:val="0"/>
          <w:numId w:val="1008"/>
        </w:numPr>
      </w:pPr>
      <w:r>
        <w:t xml:space="preserve">Prises de parole courtes</w:t>
      </w:r>
    </w:p>
    <w:p>
      <w:pPr>
        <w:pStyle w:val="Compact"/>
        <w:numPr>
          <w:ilvl w:val="0"/>
          <w:numId w:val="1008"/>
        </w:numPr>
      </w:pPr>
      <w:r>
        <w:t xml:space="preserve">Questions intercalaires</w:t>
      </w:r>
    </w:p>
    <w:p>
      <w:pPr>
        <w:pStyle w:val="Compact"/>
        <w:numPr>
          <w:ilvl w:val="0"/>
          <w:numId w:val="1008"/>
        </w:numPr>
      </w:pPr>
      <w:r>
        <w:t xml:space="preserve">Rectifications</w:t>
      </w:r>
    </w:p>
    <w:bookmarkEnd w:id="261"/>
    <w:bookmarkStart w:id="262" w:name="déclarations-de-groupe"/>
    <w:p>
      <w:pPr>
        <w:pStyle w:val="berschrift4"/>
      </w:pPr>
      <w:r>
        <w:t xml:space="preserve">Déclarations de groupe</w:t>
      </w:r>
    </w:p>
    <w:p>
      <w:pPr>
        <w:pStyle w:val="Compact"/>
        <w:numPr>
          <w:ilvl w:val="0"/>
          <w:numId w:val="1009"/>
        </w:numPr>
      </w:pPr>
      <w:r>
        <w:t xml:space="preserve">Prise de position officielle d’un groupe</w:t>
      </w:r>
    </w:p>
    <w:p>
      <w:pPr>
        <w:pStyle w:val="Compact"/>
        <w:numPr>
          <w:ilvl w:val="0"/>
          <w:numId w:val="1009"/>
        </w:numPr>
      </w:pPr>
      <w:r>
        <w:t xml:space="preserve">Présentée par la ou le porte-parole du groupe</w:t>
      </w:r>
    </w:p>
    <w:bookmarkEnd w:id="262"/>
    <w:bookmarkStart w:id="263" w:name="interventions-gouvernementales"/>
    <w:p>
      <w:pPr>
        <w:pStyle w:val="berschrift4"/>
      </w:pPr>
      <w:r>
        <w:t xml:space="preserve">Interventions gouvernementales</w:t>
      </w:r>
    </w:p>
    <w:p>
      <w:pPr>
        <w:pStyle w:val="Compact"/>
        <w:numPr>
          <w:ilvl w:val="0"/>
          <w:numId w:val="1010"/>
        </w:numPr>
      </w:pPr>
      <w:r>
        <w:t xml:space="preserve">Prises de position de membres du gouvernement</w:t>
      </w:r>
    </w:p>
    <w:p>
      <w:pPr>
        <w:pStyle w:val="Compact"/>
        <w:numPr>
          <w:ilvl w:val="0"/>
          <w:numId w:val="1010"/>
        </w:numPr>
      </w:pPr>
      <w:r>
        <w:t xml:space="preserve">Réponses aux questions</w:t>
      </w:r>
    </w:p>
    <w:p>
      <w:pPr>
        <w:pStyle w:val="Compact"/>
        <w:numPr>
          <w:ilvl w:val="0"/>
          <w:numId w:val="1010"/>
        </w:numPr>
      </w:pPr>
      <w:r>
        <w:t xml:space="preserve">Défense de projets</w:t>
      </w:r>
    </w:p>
    <w:bookmarkEnd w:id="263"/>
    <w:bookmarkEnd w:id="264"/>
    <w:bookmarkStart w:id="266"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265" w:name="champs-de-rattachement"/>
    <w:p>
      <w:pPr>
        <w:pStyle w:val="berschrift4"/>
      </w:pPr>
      <w:r>
        <w:t xml:space="preserve">Champs de rattachement</w:t>
      </w:r>
    </w:p>
    <w:p>
      <w:pPr>
        <w:pStyle w:val="Compact"/>
        <w:numPr>
          <w:ilvl w:val="0"/>
          <w:numId w:val="1011"/>
        </w:numPr>
      </w:pPr>
      <w:r>
        <w:rPr>
          <w:b/>
          <w:bCs/>
        </w:rPr>
        <w:t xml:space="preserve">meeting_id</w:t>
      </w:r>
      <w:r>
        <w:t xml:space="preserve"> </w:t>
      </w:r>
      <w:r>
        <w:t xml:space="preserve">: la séance au cours de laquelle l’intervention a eu lieu</w:t>
      </w:r>
    </w:p>
    <w:p>
      <w:pPr>
        <w:pStyle w:val="Compact"/>
        <w:numPr>
          <w:ilvl w:val="0"/>
          <w:numId w:val="1011"/>
        </w:numPr>
      </w:pPr>
      <w:r>
        <w:rPr>
          <w:b/>
          <w:bCs/>
        </w:rPr>
        <w:t xml:space="preserve">agenda_item_id</w:t>
      </w:r>
      <w:r>
        <w:t xml:space="preserve"> </w:t>
      </w:r>
      <w:r>
        <w:t xml:space="preserve">: le point de l’ordre du jour auquel se rapporte l’intervention</w:t>
      </w:r>
    </w:p>
    <w:p>
      <w:pPr>
        <w:pStyle w:val="Compact"/>
        <w:numPr>
          <w:ilvl w:val="0"/>
          <w:numId w:val="1011"/>
        </w:numPr>
      </w:pPr>
      <w:r>
        <w:rPr>
          <w:b/>
          <w:bCs/>
        </w:rPr>
        <w:t xml:space="preserve">person_id</w:t>
      </w:r>
      <w:r>
        <w:t xml:space="preserve"> </w:t>
      </w:r>
      <w:r>
        <w:t xml:space="preserve">: la personne qui s’exprime (selon eCH-0294 Actors)</w:t>
      </w:r>
    </w:p>
    <w:bookmarkEnd w:id="265"/>
    <w:bookmarkEnd w:id="266"/>
    <w:bookmarkStart w:id="267" w:name="X9ca50a71b8d0f7518b3b24134e269a33f0b90ff"/>
    <w:p>
      <w:pPr>
        <w:pStyle w:val="berschrift3"/>
      </w:pPr>
      <w:r>
        <w:t xml:space="preserve">Identification des personnes qui s’expriment</w:t>
      </w:r>
    </w:p>
    <w:p>
      <w:pPr>
        <w:pStyle w:val="Compact"/>
        <w:numPr>
          <w:ilvl w:val="0"/>
          <w:numId w:val="1012"/>
        </w:numPr>
      </w:pPr>
      <w:r>
        <w:rPr>
          <w:b/>
          <w:bCs/>
        </w:rPr>
        <w:t xml:space="preserve">person_id</w:t>
      </w:r>
      <w:r>
        <w:t xml:space="preserve"> </w:t>
      </w:r>
      <w:r>
        <w:t xml:space="preserve">: identification univoque de la personne</w:t>
      </w:r>
    </w:p>
    <w:p>
      <w:pPr>
        <w:pStyle w:val="Compact"/>
        <w:numPr>
          <w:ilvl w:val="0"/>
          <w:numId w:val="1012"/>
        </w:numPr>
      </w:pPr>
      <w:r>
        <w:rPr>
          <w:b/>
          <w:bCs/>
        </w:rPr>
        <w:t xml:space="preserve">person_name</w:t>
      </w:r>
      <w:r>
        <w:t xml:space="preserve"> </w:t>
      </w:r>
      <w:r>
        <w:t xml:space="preserve">: nom, pour un accès rapide</w:t>
      </w:r>
    </w:p>
    <w:p>
      <w:pPr>
        <w:pStyle w:val="Compact"/>
        <w:numPr>
          <w:ilvl w:val="0"/>
          <w:numId w:val="1012"/>
        </w:numPr>
      </w:pPr>
      <w:r>
        <w:rPr>
          <w:b/>
          <w:bCs/>
        </w:rPr>
        <w:t xml:space="preserve">role</w:t>
      </w:r>
      <w:r>
        <w:t xml:space="preserve"> </w:t>
      </w:r>
      <w:r>
        <w:t xml:space="preserve">: rôle de la personne (p. ex. « présidence de groupe », « rapporteuse ou rapporteur », « conseillère fédérale / conseiller fédéral »)</w:t>
      </w:r>
    </w:p>
    <w:bookmarkEnd w:id="267"/>
    <w:bookmarkStart w:id="268" w:name="saisie-temporelle"/>
    <w:p>
      <w:pPr>
        <w:pStyle w:val="berschrift3"/>
      </w:pPr>
      <w:r>
        <w:t xml:space="preserve">Saisie temporelle</w:t>
      </w:r>
    </w:p>
    <w:p>
      <w:pPr>
        <w:pStyle w:val="Compact"/>
        <w:numPr>
          <w:ilvl w:val="0"/>
          <w:numId w:val="1013"/>
        </w:numPr>
      </w:pPr>
      <w:r>
        <w:rPr>
          <w:b/>
          <w:bCs/>
        </w:rPr>
        <w:t xml:space="preserve">start_time</w:t>
      </w:r>
      <w:r>
        <w:t xml:space="preserve"> </w:t>
      </w:r>
      <w:r>
        <w:t xml:space="preserve">: début de l’intervention</w:t>
      </w:r>
    </w:p>
    <w:p>
      <w:pPr>
        <w:pStyle w:val="Compact"/>
        <w:numPr>
          <w:ilvl w:val="0"/>
          <w:numId w:val="1013"/>
        </w:numPr>
      </w:pPr>
      <w:r>
        <w:rPr>
          <w:b/>
          <w:bCs/>
        </w:rPr>
        <w:t xml:space="preserve">end_time</w:t>
      </w:r>
      <w:r>
        <w:t xml:space="preserve"> </w:t>
      </w:r>
      <w:r>
        <w:t xml:space="preserve">: fin de l’intervention</w:t>
      </w:r>
    </w:p>
    <w:p>
      <w:pPr>
        <w:pStyle w:val="Compact"/>
        <w:numPr>
          <w:ilvl w:val="0"/>
          <w:numId w:val="1013"/>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268"/>
    <w:bookmarkStart w:id="269"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14"/>
        </w:numPr>
      </w:pPr>
      <w:r>
        <w:rPr>
          <w:b/>
          <w:bCs/>
        </w:rPr>
        <w:t xml:space="preserve">de</w:t>
      </w:r>
      <w:r>
        <w:t xml:space="preserve"> </w:t>
      </w:r>
      <w:r>
        <w:t xml:space="preserve">: allemand</w:t>
      </w:r>
    </w:p>
    <w:p>
      <w:pPr>
        <w:pStyle w:val="Compact"/>
        <w:numPr>
          <w:ilvl w:val="0"/>
          <w:numId w:val="1014"/>
        </w:numPr>
      </w:pPr>
      <w:r>
        <w:rPr>
          <w:b/>
          <w:bCs/>
        </w:rPr>
        <w:t xml:space="preserve">fr</w:t>
      </w:r>
      <w:r>
        <w:t xml:space="preserve"> </w:t>
      </w:r>
      <w:r>
        <w:t xml:space="preserve">: français</w:t>
      </w:r>
    </w:p>
    <w:p>
      <w:pPr>
        <w:pStyle w:val="Compact"/>
        <w:numPr>
          <w:ilvl w:val="0"/>
          <w:numId w:val="1014"/>
        </w:numPr>
      </w:pPr>
      <w:r>
        <w:rPr>
          <w:b/>
          <w:bCs/>
        </w:rPr>
        <w:t xml:space="preserve">it</w:t>
      </w:r>
      <w:r>
        <w:t xml:space="preserve"> </w:t>
      </w:r>
      <w:r>
        <w:t xml:space="preserve">: italien</w:t>
      </w:r>
    </w:p>
    <w:p>
      <w:pPr>
        <w:pStyle w:val="Compact"/>
        <w:numPr>
          <w:ilvl w:val="0"/>
          <w:numId w:val="1014"/>
        </w:numPr>
      </w:pPr>
      <w:r>
        <w:rPr>
          <w:b/>
          <w:bCs/>
        </w:rPr>
        <w:t xml:space="preserve">rm</w:t>
      </w:r>
      <w:r>
        <w:t xml:space="preserve"> </w:t>
      </w:r>
      <w:r>
        <w:t xml:space="preserve">: romanche</w:t>
      </w:r>
    </w:p>
    <w:p>
      <w:pPr>
        <w:pStyle w:val="Compact"/>
        <w:numPr>
          <w:ilvl w:val="0"/>
          <w:numId w:val="1014"/>
        </w:numPr>
      </w:pPr>
      <w:r>
        <w:rPr>
          <w:b/>
          <w:bCs/>
        </w:rPr>
        <w:t xml:space="preserve">en</w:t>
      </w:r>
      <w:r>
        <w:t xml:space="preserve"> </w:t>
      </w:r>
      <w:r>
        <w:t xml:space="preserve">: anglais</w:t>
      </w:r>
    </w:p>
    <w:bookmarkEnd w:id="269"/>
    <w:bookmarkStart w:id="275"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273" w:name="différentes-versions-du-texte"/>
    <w:p>
      <w:pPr>
        <w:pStyle w:val="berschrift4"/>
      </w:pPr>
      <w:r>
        <w:t xml:space="preserve">Différentes versions du texte</w:t>
      </w:r>
    </w:p>
    <w:bookmarkStart w:id="270" w:name="transcription-brute"/>
    <w:p>
      <w:pPr>
        <w:pStyle w:val="berschrift5"/>
      </w:pPr>
      <w:r>
        <w:t xml:space="preserve">Transcription brute</w:t>
      </w:r>
    </w:p>
    <w:p>
      <w:pPr>
        <w:pStyle w:val="Compact"/>
        <w:numPr>
          <w:ilvl w:val="0"/>
          <w:numId w:val="1015"/>
        </w:numPr>
      </w:pPr>
      <w:r>
        <w:t xml:space="preserve">Retranscription littérale</w:t>
      </w:r>
    </w:p>
    <w:p>
      <w:pPr>
        <w:pStyle w:val="Compact"/>
        <w:numPr>
          <w:ilvl w:val="0"/>
          <w:numId w:val="1015"/>
        </w:numPr>
      </w:pPr>
      <w:r>
        <w:t xml:space="preserve">Non remaniée, avec les mots de remplissage</w:t>
      </w:r>
    </w:p>
    <w:p>
      <w:pPr>
        <w:pStyle w:val="Compact"/>
        <w:numPr>
          <w:ilvl w:val="0"/>
          <w:numId w:val="1015"/>
        </w:numPr>
      </w:pPr>
      <w:r>
        <w:t xml:space="preserve">Disponible directement après la séance</w:t>
      </w:r>
    </w:p>
    <w:bookmarkEnd w:id="270"/>
    <w:bookmarkStart w:id="271" w:name="transcription-remaniée"/>
    <w:p>
      <w:pPr>
        <w:pStyle w:val="berschrift5"/>
      </w:pPr>
      <w:r>
        <w:t xml:space="preserve">Transcription remaniée</w:t>
      </w:r>
    </w:p>
    <w:p>
      <w:pPr>
        <w:pStyle w:val="Compact"/>
        <w:numPr>
          <w:ilvl w:val="0"/>
          <w:numId w:val="1016"/>
        </w:numPr>
      </w:pPr>
      <w:r>
        <w:t xml:space="preserve">Revue sur le plan rédactionnel</w:t>
      </w:r>
    </w:p>
    <w:p>
      <w:pPr>
        <w:pStyle w:val="Compact"/>
        <w:numPr>
          <w:ilvl w:val="0"/>
          <w:numId w:val="1016"/>
        </w:numPr>
      </w:pPr>
      <w:r>
        <w:t xml:space="preserve">Corrigée grammaticalement</w:t>
      </w:r>
    </w:p>
    <w:p>
      <w:pPr>
        <w:pStyle w:val="Compact"/>
        <w:numPr>
          <w:ilvl w:val="0"/>
          <w:numId w:val="1016"/>
        </w:numPr>
      </w:pPr>
      <w:r>
        <w:t xml:space="preserve">Version officielle du procès-verbal</w:t>
      </w:r>
    </w:p>
    <w:bookmarkEnd w:id="271"/>
    <w:bookmarkStart w:id="272" w:name="traductions"/>
    <w:p>
      <w:pPr>
        <w:pStyle w:val="berschrift5"/>
      </w:pPr>
      <w:r>
        <w:t xml:space="preserve">Traductions</w:t>
      </w:r>
    </w:p>
    <w:p>
      <w:pPr>
        <w:pStyle w:val="Compact"/>
        <w:numPr>
          <w:ilvl w:val="0"/>
          <w:numId w:val="1017"/>
        </w:numPr>
      </w:pPr>
      <w:r>
        <w:t xml:space="preserve">Dans d’autres langues nationales</w:t>
      </w:r>
    </w:p>
    <w:p>
      <w:pPr>
        <w:pStyle w:val="Compact"/>
        <w:numPr>
          <w:ilvl w:val="0"/>
          <w:numId w:val="1017"/>
        </w:numPr>
      </w:pPr>
      <w:r>
        <w:t xml:space="preserve">Pour les publications internationales</w:t>
      </w:r>
    </w:p>
    <w:bookmarkEnd w:id="272"/>
    <w:bookmarkEnd w:id="273"/>
    <w:bookmarkStart w:id="274"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274"/>
    <w:bookmarkEnd w:id="275"/>
    <w:bookmarkStart w:id="279"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276" w:name="enregistrements-audio"/>
    <w:p>
      <w:pPr>
        <w:pStyle w:val="berschrift4"/>
      </w:pPr>
      <w:r>
        <w:t xml:space="preserve">Enregistrements audio</w:t>
      </w:r>
    </w:p>
    <w:p>
      <w:pPr>
        <w:pStyle w:val="Compact"/>
        <w:numPr>
          <w:ilvl w:val="0"/>
          <w:numId w:val="1018"/>
        </w:numPr>
      </w:pPr>
      <w:r>
        <w:t xml:space="preserve">Son original de l’intervention</w:t>
      </w:r>
    </w:p>
    <w:p>
      <w:pPr>
        <w:pStyle w:val="Compact"/>
        <w:numPr>
          <w:ilvl w:val="0"/>
          <w:numId w:val="1018"/>
        </w:numPr>
      </w:pPr>
      <w:r>
        <w:t xml:space="preserve">Format : MP3, WAV, etc.</w:t>
      </w:r>
    </w:p>
    <w:p>
      <w:pPr>
        <w:pStyle w:val="Compact"/>
        <w:numPr>
          <w:ilvl w:val="0"/>
          <w:numId w:val="1018"/>
        </w:numPr>
      </w:pPr>
      <w:r>
        <w:t xml:space="preserve">Métadonnées techniques (qualité, débit binaire)</w:t>
      </w:r>
    </w:p>
    <w:bookmarkEnd w:id="276"/>
    <w:bookmarkStart w:id="277" w:name="enregistrements-vidéo"/>
    <w:p>
      <w:pPr>
        <w:pStyle w:val="berschrift4"/>
      </w:pPr>
      <w:r>
        <w:t xml:space="preserve">Enregistrements vidéo</w:t>
      </w:r>
    </w:p>
    <w:p>
      <w:pPr>
        <w:pStyle w:val="Compact"/>
        <w:numPr>
          <w:ilvl w:val="0"/>
          <w:numId w:val="1019"/>
        </w:numPr>
      </w:pPr>
      <w:r>
        <w:t xml:space="preserve">Enregistrement visuel (lors des séances plénières)</w:t>
      </w:r>
    </w:p>
    <w:p>
      <w:pPr>
        <w:pStyle w:val="Compact"/>
        <w:numPr>
          <w:ilvl w:val="0"/>
          <w:numId w:val="1019"/>
        </w:numPr>
      </w:pPr>
      <w:r>
        <w:t xml:space="preserve">Format : MP4, WebM, etc.</w:t>
      </w:r>
    </w:p>
    <w:p>
      <w:pPr>
        <w:pStyle w:val="Compact"/>
        <w:numPr>
          <w:ilvl w:val="0"/>
          <w:numId w:val="1019"/>
        </w:numPr>
      </w:pPr>
      <w:r>
        <w:t xml:space="preserve">Différentes résolutions</w:t>
      </w:r>
    </w:p>
    <w:bookmarkEnd w:id="277"/>
    <w:bookmarkStart w:id="278" w:name="diffusion-en-direct"/>
    <w:p>
      <w:pPr>
        <w:pStyle w:val="berschrift4"/>
      </w:pPr>
      <w:r>
        <w:t xml:space="preserve">Diffusion en direct</w:t>
      </w:r>
    </w:p>
    <w:p>
      <w:pPr>
        <w:pStyle w:val="Compact"/>
        <w:numPr>
          <w:ilvl w:val="0"/>
          <w:numId w:val="1020"/>
        </w:numPr>
      </w:pPr>
      <w:r>
        <w:t xml:space="preserve">Transmission en temps réel</w:t>
      </w:r>
    </w:p>
    <w:p>
      <w:pPr>
        <w:pStyle w:val="Compact"/>
        <w:numPr>
          <w:ilvl w:val="0"/>
          <w:numId w:val="1020"/>
        </w:numPr>
      </w:pPr>
      <w:r>
        <w:t xml:space="preserve">URL du flux</w:t>
      </w:r>
    </w:p>
    <w:p>
      <w:pPr>
        <w:pStyle w:val="Compact"/>
        <w:numPr>
          <w:ilvl w:val="0"/>
          <w:numId w:val="1020"/>
        </w:numPr>
      </w:pPr>
      <w:r>
        <w:t xml:space="preserve">Archivage après la séance</w:t>
      </w:r>
    </w:p>
    <w:bookmarkEnd w:id="278"/>
    <w:bookmarkEnd w:id="279"/>
    <w:bookmarkStart w:id="280" w:name="titre-et-description"/>
    <w:p>
      <w:pPr>
        <w:pStyle w:val="berschrift3"/>
      </w:pPr>
      <w:r>
        <w:t xml:space="preserve">Titre et description</w:t>
      </w:r>
    </w:p>
    <w:p>
      <w:pPr>
        <w:pStyle w:val="Compact"/>
        <w:numPr>
          <w:ilvl w:val="0"/>
          <w:numId w:val="1021"/>
        </w:numPr>
      </w:pPr>
      <w:r>
        <w:rPr>
          <w:b/>
          <w:bCs/>
        </w:rPr>
        <w:t xml:space="preserve">title</w:t>
      </w:r>
      <w:r>
        <w:t xml:space="preserve"> </w:t>
      </w:r>
      <w:r>
        <w:t xml:space="preserve">: titre court (p. ex. « Intervention sur la politique énergétique »)</w:t>
      </w:r>
    </w:p>
    <w:p>
      <w:pPr>
        <w:pStyle w:val="Compact"/>
        <w:numPr>
          <w:ilvl w:val="0"/>
          <w:numId w:val="1021"/>
        </w:numPr>
      </w:pPr>
      <w:r>
        <w:rPr>
          <w:b/>
          <w:bCs/>
        </w:rPr>
        <w:t xml:space="preserve">description</w:t>
      </w:r>
      <w:r>
        <w:t xml:space="preserve"> </w:t>
      </w:r>
      <w:r>
        <w:t xml:space="preserve">: résumé ou contexte de l’intervention</w:t>
      </w:r>
    </w:p>
    <w:bookmarkEnd w:id="280"/>
    <w:bookmarkStart w:id="281"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22"/>
        </w:numPr>
      </w:pPr>
      <w:r>
        <w:rPr>
          <w:b/>
          <w:bCs/>
        </w:rPr>
        <w:t xml:space="preserve">statement</w:t>
      </w:r>
      <w:r>
        <w:t xml:space="preserve"> </w:t>
      </w:r>
      <w:r>
        <w:t xml:space="preserve">: prise de position</w:t>
      </w:r>
    </w:p>
    <w:p>
      <w:pPr>
        <w:pStyle w:val="Compact"/>
        <w:numPr>
          <w:ilvl w:val="0"/>
          <w:numId w:val="1022"/>
        </w:numPr>
      </w:pPr>
      <w:r>
        <w:rPr>
          <w:b/>
          <w:bCs/>
        </w:rPr>
        <w:t xml:space="preserve">question</w:t>
      </w:r>
      <w:r>
        <w:t xml:space="preserve"> </w:t>
      </w:r>
      <w:r>
        <w:t xml:space="preserve">: question</w:t>
      </w:r>
    </w:p>
    <w:p>
      <w:pPr>
        <w:pStyle w:val="Compact"/>
        <w:numPr>
          <w:ilvl w:val="0"/>
          <w:numId w:val="1022"/>
        </w:numPr>
      </w:pPr>
      <w:r>
        <w:rPr>
          <w:b/>
          <w:bCs/>
        </w:rPr>
        <w:t xml:space="preserve">response</w:t>
      </w:r>
      <w:r>
        <w:t xml:space="preserve"> </w:t>
      </w:r>
      <w:r>
        <w:t xml:space="preserve">: réponse (p. ex. du gouvernement à une question)</w:t>
      </w:r>
    </w:p>
    <w:p>
      <w:pPr>
        <w:pStyle w:val="Compact"/>
        <w:numPr>
          <w:ilvl w:val="0"/>
          <w:numId w:val="1022"/>
        </w:numPr>
      </w:pPr>
      <w:r>
        <w:rPr>
          <w:b/>
          <w:bCs/>
        </w:rPr>
        <w:t xml:space="preserve">procedural</w:t>
      </w:r>
      <w:r>
        <w:t xml:space="preserve"> </w:t>
      </w:r>
      <w:r>
        <w:t xml:space="preserve">: proposition d’ordre</w:t>
      </w:r>
    </w:p>
    <w:p>
      <w:pPr>
        <w:pStyle w:val="Compact"/>
        <w:numPr>
          <w:ilvl w:val="0"/>
          <w:numId w:val="1022"/>
        </w:numPr>
      </w:pPr>
      <w:r>
        <w:rPr>
          <w:b/>
          <w:bCs/>
        </w:rPr>
        <w:t xml:space="preserve">declaration</w:t>
      </w:r>
      <w:r>
        <w:t xml:space="preserve"> </w:t>
      </w:r>
      <w:r>
        <w:t xml:space="preserve">: déclaration</w:t>
      </w:r>
    </w:p>
    <w:bookmarkEnd w:id="281"/>
    <w:bookmarkStart w:id="282"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282"/>
    <w:bookmarkStart w:id="288" w:name="classe-speech"/>
    <w:p>
      <w:pPr>
        <w:pStyle w:val="berschrift3"/>
      </w:pPr>
      <w:r>
        <w:t xml:space="preserve">Classe: Speech</w:t>
      </w:r>
      <w:r>
        <w:t xml:space="preserve"> </w:t>
      </w:r>
      <w:bookmarkStart w:id="283" w:name="Speech"/>
      <w:bookmarkEnd w:id="283"/>
    </w:p>
    <w:p>
      <w:pPr>
        <w:pStyle w:val="FirstParagraph"/>
      </w:pPr>
      <w:r>
        <w:rPr>
          <w:i/>
          <w:iCs/>
        </w:rPr>
        <w:t xml:space="preserve">Une intervention prononcée au cours d’une séance (également appelée prise de parole).</w:t>
      </w:r>
    </w:p>
    <w:bookmarkStart w:id="284"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vote, une élection, une intervention, une liste de présence ou un procès-verbal, la séance au cours de laquelle l’enregistrement est né. Les points de l’ordre du jour ne le portent pas : ils sont imbriqués dans leur séance.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forme une hiérarchie de points — p. ex. un groupe « Délibérations législatives » avec les sous-points « Loi sur l’énergie (discussion par article) » et « Loi sur l’énergie (vote final) » ; pour une intervention, il désigne le point sous lequel elle a été faite.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84"/>
    <w:bookmarkStart w:id="285" w:name="utilisations-1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285"/>
    <w:bookmarkStart w:id="287" w:name="exemples-8"/>
    <w:p>
      <w:pPr>
        <w:pStyle w:val="berschrift4"/>
      </w:pPr>
      <w:r>
        <w:t xml:space="preserve">Exemples</w:t>
      </w:r>
    </w:p>
    <w:bookmarkStart w:id="286"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286"/>
    <w:bookmarkEnd w:id="287"/>
    <w:p>
      <w:r>
        <w:br w:type="page"/>
      </w:r>
    </w:p>
    <w:bookmarkEnd w:id="288"/>
    <w:bookmarkEnd w:id="289"/>
    <w:bookmarkEnd w:id="290"/>
    <w:bookmarkStart w:id="309"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296" w:name="textsegment"/>
    <w:p>
      <w:pPr>
        <w:pStyle w:val="berschrift2"/>
      </w:pPr>
      <w:r>
        <w:t xml:space="preserve">TextSegment</w:t>
      </w:r>
    </w:p>
    <w:bookmarkStart w:id="291" w:name="but"/>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291"/>
    <w:bookmarkStart w:id="292" w:name="structure"/>
    <w:p>
      <w:pPr>
        <w:pStyle w:val="berschrift3"/>
      </w:pPr>
      <w:r>
        <w:t xml:space="preserve">Structure</w:t>
      </w:r>
    </w:p>
    <w:p>
      <w:pPr>
        <w:pStyle w:val="Compact"/>
        <w:numPr>
          <w:ilvl w:val="0"/>
          <w:numId w:val="1023"/>
        </w:numPr>
      </w:pPr>
      <w:r>
        <w:rPr>
          <w:b/>
          <w:bCs/>
        </w:rPr>
        <w:t xml:space="preserve">text</w:t>
      </w:r>
      <w:r>
        <w:t xml:space="preserve"> </w:t>
      </w:r>
      <w:r>
        <w:t xml:space="preserve">: le contenu textuel proprement dit</w:t>
      </w:r>
    </w:p>
    <w:p>
      <w:pPr>
        <w:pStyle w:val="Compact"/>
        <w:numPr>
          <w:ilvl w:val="0"/>
          <w:numId w:val="1023"/>
        </w:numPr>
      </w:pPr>
      <w:r>
        <w:rPr>
          <w:b/>
          <w:bCs/>
        </w:rPr>
        <w:t xml:space="preserve">language</w:t>
      </w:r>
      <w:r>
        <w:t xml:space="preserve"> </w:t>
      </w:r>
      <w:r>
        <w:t xml:space="preserve">: code de langue (ISO 639-1)</w:t>
      </w:r>
    </w:p>
    <w:p>
      <w:pPr>
        <w:pStyle w:val="Compact"/>
        <w:numPr>
          <w:ilvl w:val="0"/>
          <w:numId w:val="1023"/>
        </w:numPr>
      </w:pPr>
      <w:r>
        <w:rPr>
          <w:b/>
          <w:bCs/>
        </w:rPr>
        <w:t xml:space="preserve">format</w:t>
      </w:r>
      <w:r>
        <w:t xml:space="preserve"> </w:t>
      </w:r>
      <w:r>
        <w:t xml:space="preserve">: format du texte (plain, markdown, html)</w:t>
      </w:r>
    </w:p>
    <w:p>
      <w:pPr>
        <w:pStyle w:val="Compact"/>
        <w:numPr>
          <w:ilvl w:val="0"/>
          <w:numId w:val="1023"/>
        </w:numPr>
      </w:pPr>
      <w:r>
        <w:rPr>
          <w:b/>
          <w:bCs/>
        </w:rPr>
        <w:t xml:space="preserve">version_type</w:t>
      </w:r>
      <w:r>
        <w:t xml:space="preserve"> </w:t>
      </w:r>
      <w:r>
        <w:t xml:space="preserve">: type de version</w:t>
      </w:r>
    </w:p>
    <w:p>
      <w:pPr>
        <w:pStyle w:val="Compact"/>
        <w:numPr>
          <w:ilvl w:val="1"/>
          <w:numId w:val="1024"/>
        </w:numPr>
      </w:pPr>
      <w:r>
        <w:rPr>
          <w:b/>
          <w:bCs/>
        </w:rPr>
        <w:t xml:space="preserve">raw</w:t>
      </w:r>
      <w:r>
        <w:t xml:space="preserve"> </w:t>
      </w:r>
      <w:r>
        <w:t xml:space="preserve">: transcription brute non remaniée</w:t>
      </w:r>
    </w:p>
    <w:p>
      <w:pPr>
        <w:pStyle w:val="Compact"/>
        <w:numPr>
          <w:ilvl w:val="1"/>
          <w:numId w:val="1024"/>
        </w:numPr>
      </w:pPr>
      <w:r>
        <w:rPr>
          <w:b/>
          <w:bCs/>
        </w:rPr>
        <w:t xml:space="preserve">edited</w:t>
      </w:r>
      <w:r>
        <w:t xml:space="preserve"> </w:t>
      </w:r>
      <w:r>
        <w:t xml:space="preserve">: version remaniée sur le plan rédactionnel</w:t>
      </w:r>
    </w:p>
    <w:p>
      <w:pPr>
        <w:pStyle w:val="Compact"/>
        <w:numPr>
          <w:ilvl w:val="1"/>
          <w:numId w:val="1024"/>
        </w:numPr>
      </w:pPr>
      <w:r>
        <w:rPr>
          <w:b/>
          <w:bCs/>
        </w:rPr>
        <w:t xml:space="preserve">translated</w:t>
      </w:r>
      <w:r>
        <w:t xml:space="preserve"> </w:t>
      </w:r>
      <w:r>
        <w:t xml:space="preserve">: traduction dans une autre langue</w:t>
      </w:r>
    </w:p>
    <w:p>
      <w:pPr>
        <w:pStyle w:val="Compact"/>
        <w:numPr>
          <w:ilvl w:val="1"/>
          <w:numId w:val="1024"/>
        </w:numPr>
      </w:pPr>
      <w:r>
        <w:rPr>
          <w:b/>
          <w:bCs/>
        </w:rPr>
        <w:t xml:space="preserve">summary</w:t>
      </w:r>
      <w:r>
        <w:t xml:space="preserve"> </w:t>
      </w:r>
      <w:r>
        <w:t xml:space="preserve">: résumé</w:t>
      </w:r>
    </w:p>
    <w:bookmarkEnd w:id="292"/>
    <w:bookmarkStart w:id="293" w:name="décision-de-conception"/>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293"/>
    <w:bookmarkStart w:id="294" w:name="application"/>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294"/>
    <w:bookmarkStart w:id="295" w:name="porteurs-dun-segment-de-texte"/>
    <w:p>
      <w:pPr>
        <w:pStyle w:val="berschrift3"/>
      </w:pPr>
      <w:r>
        <w:t xml:space="preserve">Porteurs d’un segment de texte</w:t>
      </w:r>
    </w:p>
    <w:p>
      <w:pPr>
        <w:pStyle w:val="FirstParagraph"/>
      </w:pPr>
      <w:r>
        <w:t xml:space="preserve">Les segments de texte ne se rattachent pas uniquement au procès-verbal in extenso :</w:t>
      </w:r>
      <w:r>
        <w:t xml:space="preserve"> </w:t>
      </w:r>
      <w:r>
        <w:rPr>
          <w:rStyle w:val="VerbatimChar"/>
        </w:rPr>
        <w:t xml:space="preserve">Protocol</w:t>
      </w:r>
      <w:r>
        <w:t xml:space="preserve"> </w:t>
      </w:r>
      <w:r>
        <w:t xml:space="preserve">les porte pour le texte intégral de toute la séance, et</w:t>
      </w:r>
      <w:r>
        <w:t xml:space="preserve"> </w:t>
      </w:r>
      <w:r>
        <w:rPr>
          <w:rStyle w:val="VerbatimChar"/>
        </w:rPr>
        <w:t xml:space="preserve">AgendaItem</w:t>
      </w:r>
      <w:r>
        <w:t xml:space="preserve"> </w:t>
      </w:r>
      <w:r>
        <w:t xml:space="preserve">— respectivement le</w:t>
      </w:r>
      <w:r>
        <w:t xml:space="preserve"> </w:t>
      </w:r>
      <w:r>
        <w:rPr>
          <w:rStyle w:val="VerbatimChar"/>
        </w:rPr>
        <w:t xml:space="preserve">ProtocolItem</w:t>
      </w:r>
      <w:r>
        <w:t xml:space="preserve"> </w:t>
      </w:r>
      <w:r>
        <w:t xml:space="preserve">consigné — pour un texte se rapportant à un seul point de l’ordre du jour, par exemple un intertitre, un renvoi ou une motivation publiée déjà avec l’ordre du jour. Comme les deux classes portent le mixin</w:t>
      </w:r>
      <w:r>
        <w:t xml:space="preserve"> </w:t>
      </w:r>
      <w:r>
        <w:rPr>
          <w:rStyle w:val="VerbatimChar"/>
        </w:rPr>
        <w:t xml:space="preserve">IsAgendaItem</w:t>
      </w:r>
      <w:r>
        <w:t xml:space="preserve">,</w:t>
      </w:r>
      <w:r>
        <w:t xml:space="preserve"> </w:t>
      </w:r>
      <w:r>
        <w:rPr>
          <w:rStyle w:val="VerbatimChar"/>
        </w:rPr>
        <w:t xml:space="preserve">text_segments</w:t>
      </w:r>
      <w:r>
        <w:t xml:space="preserve"> </w:t>
      </w:r>
      <w:r>
        <w:t xml:space="preserve">est disponible aussi bien du côté planifié que du côté consigné. L’intervention isolée, en revanche, porte son texte directement dans</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et</w:t>
      </w:r>
      <w:r>
        <w:t xml:space="preserve"> </w:t>
      </w:r>
      <w:r>
        <w:rPr>
          <w:rStyle w:val="VerbatimChar"/>
        </w:rPr>
        <w:t xml:space="preserve">text_type</w:t>
      </w:r>
      <w:r>
        <w:t xml:space="preserve">.</w:t>
      </w:r>
    </w:p>
    <w:bookmarkEnd w:id="295"/>
    <w:bookmarkEnd w:id="296"/>
    <w:bookmarkStart w:id="308" w:name="media"/>
    <w:p>
      <w:pPr>
        <w:pStyle w:val="berschrift2"/>
      </w:pPr>
      <w:r>
        <w:t xml:space="preserve">Media</w:t>
      </w:r>
    </w:p>
    <w:bookmarkStart w:id="297" w:name="but-1"/>
    <w:p>
      <w:pPr>
        <w:pStyle w:val="berschrift3"/>
      </w:pPr>
      <w:r>
        <w:t xml:space="preserve">But</w:t>
      </w:r>
    </w:p>
    <w:p>
      <w:pPr>
        <w:pStyle w:val="FirstParagraph"/>
      </w:pPr>
      <w:r>
        <w:t xml:space="preserve">Référence des fichiers médias (audio, vidéo, documents) se rapportant aux activités parlementaires.</w:t>
      </w:r>
    </w:p>
    <w:bookmarkEnd w:id="297"/>
    <w:bookmarkStart w:id="298" w:name="structure-1"/>
    <w:p>
      <w:pPr>
        <w:pStyle w:val="berschrift3"/>
      </w:pPr>
      <w:r>
        <w:t xml:space="preserve">Structure</w:t>
      </w:r>
    </w:p>
    <w:p>
      <w:pPr>
        <w:pStyle w:val="Compact"/>
        <w:numPr>
          <w:ilvl w:val="0"/>
          <w:numId w:val="1025"/>
        </w:numPr>
      </w:pPr>
      <w:r>
        <w:rPr>
          <w:b/>
          <w:bCs/>
        </w:rPr>
        <w:t xml:space="preserve">media_type</w:t>
      </w:r>
      <w:r>
        <w:t xml:space="preserve"> </w:t>
      </w:r>
      <w:r>
        <w:t xml:space="preserve">: type du fichier média</w:t>
      </w:r>
    </w:p>
    <w:p>
      <w:pPr>
        <w:pStyle w:val="Compact"/>
        <w:numPr>
          <w:ilvl w:val="1"/>
          <w:numId w:val="1026"/>
        </w:numPr>
      </w:pPr>
      <w:r>
        <w:rPr>
          <w:b/>
          <w:bCs/>
        </w:rPr>
        <w:t xml:space="preserve">audio</w:t>
      </w:r>
      <w:r>
        <w:t xml:space="preserve"> </w:t>
      </w:r>
      <w:r>
        <w:t xml:space="preserve">: enregistrement audio</w:t>
      </w:r>
    </w:p>
    <w:p>
      <w:pPr>
        <w:pStyle w:val="Compact"/>
        <w:numPr>
          <w:ilvl w:val="1"/>
          <w:numId w:val="1026"/>
        </w:numPr>
      </w:pPr>
      <w:r>
        <w:rPr>
          <w:b/>
          <w:bCs/>
        </w:rPr>
        <w:t xml:space="preserve">video</w:t>
      </w:r>
      <w:r>
        <w:t xml:space="preserve"> </w:t>
      </w:r>
      <w:r>
        <w:t xml:space="preserve">: enregistrement vidéo</w:t>
      </w:r>
    </w:p>
    <w:p>
      <w:pPr>
        <w:pStyle w:val="Compact"/>
        <w:numPr>
          <w:ilvl w:val="1"/>
          <w:numId w:val="1026"/>
        </w:numPr>
      </w:pPr>
      <w:r>
        <w:rPr>
          <w:b/>
          <w:bCs/>
        </w:rPr>
        <w:t xml:space="preserve">document</w:t>
      </w:r>
      <w:r>
        <w:t xml:space="preserve"> </w:t>
      </w:r>
      <w:r>
        <w:t xml:space="preserve">: documents (PDF, etc.)</w:t>
      </w:r>
    </w:p>
    <w:p>
      <w:pPr>
        <w:pStyle w:val="Compact"/>
        <w:numPr>
          <w:ilvl w:val="1"/>
          <w:numId w:val="1026"/>
        </w:numPr>
      </w:pPr>
      <w:r>
        <w:rPr>
          <w:b/>
          <w:bCs/>
        </w:rPr>
        <w:t xml:space="preserve">image</w:t>
      </w:r>
      <w:r>
        <w:t xml:space="preserve"> </w:t>
      </w:r>
      <w:r>
        <w:t xml:space="preserve">: images</w:t>
      </w:r>
    </w:p>
    <w:p>
      <w:pPr>
        <w:pStyle w:val="Compact"/>
        <w:numPr>
          <w:ilvl w:val="0"/>
          <w:numId w:val="1025"/>
        </w:numPr>
      </w:pPr>
      <w:r>
        <w:rPr>
          <w:b/>
          <w:bCs/>
        </w:rPr>
        <w:t xml:space="preserve">url</w:t>
      </w:r>
      <w:r>
        <w:t xml:space="preserve"> </w:t>
      </w:r>
      <w:r>
        <w:t xml:space="preserve">: URL du fichier média</w:t>
      </w:r>
    </w:p>
    <w:p>
      <w:pPr>
        <w:pStyle w:val="Compact"/>
        <w:numPr>
          <w:ilvl w:val="0"/>
          <w:numId w:val="1025"/>
        </w:numPr>
      </w:pPr>
      <w:r>
        <w:rPr>
          <w:b/>
          <w:bCs/>
        </w:rPr>
        <w:t xml:space="preserve">mime_type</w:t>
      </w:r>
      <w:r>
        <w:t xml:space="preserve"> </w:t>
      </w:r>
      <w:r>
        <w:t xml:space="preserve">: type MIME (audio/mp3, video/mp4, application/pdf, etc.)</w:t>
      </w:r>
    </w:p>
    <w:p>
      <w:pPr>
        <w:pStyle w:val="Compact"/>
        <w:numPr>
          <w:ilvl w:val="0"/>
          <w:numId w:val="1025"/>
        </w:numPr>
      </w:pPr>
      <w:r>
        <w:rPr>
          <w:b/>
          <w:bCs/>
        </w:rPr>
        <w:t xml:space="preserve">title</w:t>
      </w:r>
      <w:r>
        <w:t xml:space="preserve"> </w:t>
      </w:r>
      <w:r>
        <w:t xml:space="preserve">: titre du fichier média</w:t>
      </w:r>
    </w:p>
    <w:p>
      <w:pPr>
        <w:pStyle w:val="Compact"/>
        <w:numPr>
          <w:ilvl w:val="0"/>
          <w:numId w:val="1025"/>
        </w:numPr>
      </w:pPr>
      <w:r>
        <w:rPr>
          <w:b/>
          <w:bCs/>
        </w:rPr>
        <w:t xml:space="preserve">description</w:t>
      </w:r>
      <w:r>
        <w:t xml:space="preserve"> </w:t>
      </w:r>
      <w:r>
        <w:t xml:space="preserve">: description</w:t>
      </w:r>
    </w:p>
    <w:p>
      <w:pPr>
        <w:pStyle w:val="Compact"/>
        <w:numPr>
          <w:ilvl w:val="0"/>
          <w:numId w:val="1025"/>
        </w:numPr>
      </w:pPr>
      <w:r>
        <w:rPr>
          <w:b/>
          <w:bCs/>
        </w:rPr>
        <w:t xml:space="preserve">language</w:t>
      </w:r>
      <w:r>
        <w:t xml:space="preserve"> </w:t>
      </w:r>
      <w:r>
        <w:t xml:space="preserve">: langue (pour les médias fondés sur la langue)</w:t>
      </w:r>
    </w:p>
    <w:p>
      <w:pPr>
        <w:pStyle w:val="Compact"/>
        <w:numPr>
          <w:ilvl w:val="0"/>
          <w:numId w:val="1025"/>
        </w:numPr>
      </w:pPr>
      <w:r>
        <w:rPr>
          <w:b/>
          <w:bCs/>
        </w:rPr>
        <w:t xml:space="preserve">duration</w:t>
      </w:r>
      <w:r>
        <w:t xml:space="preserve"> </w:t>
      </w:r>
      <w:r>
        <w:t xml:space="preserve">: durée (pour l’audio et la vidéo, en secondes)</w:t>
      </w:r>
    </w:p>
    <w:p>
      <w:pPr>
        <w:pStyle w:val="Compact"/>
        <w:numPr>
          <w:ilvl w:val="0"/>
          <w:numId w:val="1025"/>
        </w:numPr>
      </w:pPr>
      <w:r>
        <w:rPr>
          <w:b/>
          <w:bCs/>
        </w:rPr>
        <w:t xml:space="preserve">file_size</w:t>
      </w:r>
      <w:r>
        <w:t xml:space="preserve"> </w:t>
      </w:r>
      <w:r>
        <w:t xml:space="preserve">: taille du fichier en octets</w:t>
      </w:r>
    </w:p>
    <w:p>
      <w:pPr>
        <w:pStyle w:val="Compact"/>
        <w:numPr>
          <w:ilvl w:val="0"/>
          <w:numId w:val="1025"/>
        </w:numPr>
      </w:pPr>
      <w:r>
        <w:rPr>
          <w:b/>
          <w:bCs/>
        </w:rPr>
        <w:t xml:space="preserve">quality</w:t>
      </w:r>
      <w:r>
        <w:t xml:space="preserve"> </w:t>
      </w:r>
      <w:r>
        <w:t xml:space="preserve">: indication de qualité (p. ex. « 720p », « high », « low »)</w:t>
      </w:r>
    </w:p>
    <w:bookmarkEnd w:id="298"/>
    <w:bookmarkStart w:id="299" w:name="décision-de-conception-1"/>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299"/>
    <w:bookmarkStart w:id="300" w:name="application-1"/>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00"/>
    <w:bookmarkStart w:id="304" w:name="classe-textsegment"/>
    <w:p>
      <w:pPr>
        <w:pStyle w:val="berschrift3"/>
      </w:pPr>
      <w:r>
        <w:t xml:space="preserve">Classe: TextSegment</w:t>
      </w:r>
      <w:r>
        <w:t xml:space="preserve"> </w:t>
      </w:r>
      <w:bookmarkStart w:id="301" w:name="TextSegment"/>
      <w:bookmarkEnd w:id="301"/>
    </w:p>
    <w:p>
      <w:pPr>
        <w:pStyle w:val="FirstParagraph"/>
      </w:pPr>
      <w:r>
        <w:rPr>
          <w:i/>
          <w:iCs/>
        </w:rPr>
        <w:t xml:space="preserve">Un segment de texte tel qu’un renvoi ou un intertitre. Les segments de texte sont portés par le procès-verbal, par une intervention ou par un point de l’ordre du jour (AgendaItem planifié ou ProtocolItem consigné).</w:t>
      </w:r>
    </w:p>
    <w:bookmarkStart w:id="302"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302"/>
    <w:bookmarkStart w:id="303" w:name="utilisations-1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303"/>
    <w:bookmarkEnd w:id="304"/>
    <w:bookmarkStart w:id="307" w:name="classe-media"/>
    <w:p>
      <w:pPr>
        <w:pStyle w:val="berschrift3"/>
      </w:pPr>
      <w:r>
        <w:t xml:space="preserve">Classe: Media</w:t>
      </w:r>
      <w:r>
        <w:t xml:space="preserve"> </w:t>
      </w:r>
      <w:bookmarkStart w:id="305" w:name="Media"/>
      <w:bookmarkEnd w:id="305"/>
    </w:p>
    <w:p>
      <w:pPr>
        <w:pStyle w:val="FirstParagraph"/>
      </w:pPr>
      <w:r>
        <w:rPr>
          <w:i/>
          <w:iCs/>
        </w:rPr>
        <w:t xml:space="preserve">Fichiers médias ou documents (y compris les procès-verbaux en PDF/HTML/WORD ou les liens vers des contenus audio/vidéo).</w:t>
      </w:r>
    </w:p>
    <w:bookmarkStart w:id="306"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306"/>
    <w:p>
      <w:r>
        <w:br w:type="page"/>
      </w:r>
    </w:p>
    <w:bookmarkEnd w:id="307"/>
    <w:bookmarkEnd w:id="308"/>
    <w:bookmarkEnd w:id="309"/>
    <w:bookmarkStart w:id="339" w:name="éléments-partagés"/>
    <w:p>
      <w:pPr>
        <w:pStyle w:val="berschrift1"/>
      </w:pPr>
      <w:r>
        <w:t xml:space="preserve">Éléments partagés</w:t>
      </w:r>
    </w:p>
    <w:bookmarkStart w:id="320"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27"/>
        </w:numPr>
      </w:pPr>
      <w:r>
        <w:rPr>
          <w:b/>
          <w:bCs/>
        </w:rPr>
        <w:t xml:space="preserve">Des données locales utiles</w:t>
      </w:r>
      <w:r>
        <w:t xml:space="preserve"> </w:t>
      </w:r>
      <w:r>
        <w:t xml:space="preserve">sans interrogation coûteuse de l’entité complète</w:t>
      </w:r>
    </w:p>
    <w:p>
      <w:pPr>
        <w:pStyle w:val="Compact"/>
        <w:numPr>
          <w:ilvl w:val="0"/>
          <w:numId w:val="1027"/>
        </w:numPr>
      </w:pPr>
      <w:r>
        <w:rPr>
          <w:b/>
          <w:bCs/>
        </w:rPr>
        <w:t xml:space="preserve">Pas de redondance</w:t>
      </w:r>
      <w:r>
        <w:t xml:space="preserve">, puisque toutes les indications ne doivent pas être répétées à chaque mention</w:t>
      </w:r>
    </w:p>
    <w:p>
      <w:pPr>
        <w:pStyle w:val="Compact"/>
        <w:numPr>
          <w:ilvl w:val="0"/>
          <w:numId w:val="1027"/>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314" w:name="classe-personreference"/>
    <w:p>
      <w:pPr>
        <w:pStyle w:val="berschrift3"/>
      </w:pPr>
      <w:r>
        <w:t xml:space="preserve">Classe: PersonReference</w:t>
      </w:r>
      <w:r>
        <w:t xml:space="preserve"> </w:t>
      </w:r>
      <w:bookmarkStart w:id="310" w:name="PersonReference"/>
      <w:bookmarkEnd w:id="310"/>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312"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311"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28"/>
        </w:numPr>
      </w:pPr>
      <w:r>
        <w:t xml:space="preserve">local_id</w:t>
      </w:r>
    </w:p>
    <w:p>
      <w:pPr>
        <w:pStyle w:val="Compact"/>
        <w:numPr>
          <w:ilvl w:val="0"/>
          <w:numId w:val="1028"/>
        </w:numPr>
      </w:pPr>
      <w:r>
        <w:t xml:space="preserve">global_uri</w:t>
      </w:r>
    </w:p>
    <w:bookmarkEnd w:id="311"/>
    <w:bookmarkEnd w:id="312"/>
    <w:bookmarkStart w:id="313"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313"/>
    <w:bookmarkEnd w:id="314"/>
    <w:bookmarkStart w:id="319" w:name="classe-groupreference"/>
    <w:p>
      <w:pPr>
        <w:pStyle w:val="berschrift3"/>
      </w:pPr>
      <w:r>
        <w:t xml:space="preserve">Classe: GroupReference</w:t>
      </w:r>
      <w:r>
        <w:t xml:space="preserve"> </w:t>
      </w:r>
      <w:bookmarkStart w:id="315" w:name="GroupReference"/>
      <w:bookmarkEnd w:id="315"/>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317"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316"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29"/>
        </w:numPr>
      </w:pPr>
      <w:r>
        <w:t xml:space="preserve">local_id</w:t>
      </w:r>
    </w:p>
    <w:p>
      <w:pPr>
        <w:pStyle w:val="Compact"/>
        <w:numPr>
          <w:ilvl w:val="0"/>
          <w:numId w:val="1029"/>
        </w:numPr>
      </w:pPr>
      <w:r>
        <w:t xml:space="preserve">global_uri</w:t>
      </w:r>
    </w:p>
    <w:bookmarkEnd w:id="316"/>
    <w:bookmarkEnd w:id="317"/>
    <w:bookmarkStart w:id="318"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318"/>
    <w:bookmarkEnd w:id="319"/>
    <w:bookmarkEnd w:id="320"/>
    <w:bookmarkStart w:id="325"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324" w:name="classe-multilingualstring"/>
    <w:p>
      <w:pPr>
        <w:pStyle w:val="berschrift3"/>
      </w:pPr>
      <w:r>
        <w:t xml:space="preserve">Classe: MultilingualString</w:t>
      </w:r>
      <w:r>
        <w:t xml:space="preserve"> </w:t>
      </w:r>
      <w:bookmarkStart w:id="321" w:name="MultilingualString"/>
      <w:bookmarkEnd w:id="321"/>
    </w:p>
    <w:p>
      <w:pPr>
        <w:pStyle w:val="FirstParagraph"/>
      </w:pPr>
      <w:r>
        <w:rPr>
          <w:i/>
          <w:iCs/>
        </w:rPr>
        <w:t xml:space="preserve">Une chaîne de caractères pouvant contenir du texte en plusieurs langues.</w:t>
      </w:r>
    </w:p>
    <w:bookmarkStart w:id="322"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322"/>
    <w:bookmarkStart w:id="323"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323"/>
    <w:bookmarkEnd w:id="324"/>
    <w:bookmarkEnd w:id="325"/>
    <w:bookmarkStart w:id="338"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329" w:name="classe-hasidentification"/>
    <w:p>
      <w:pPr>
        <w:pStyle w:val="berschrift3"/>
      </w:pPr>
      <w:r>
        <w:t xml:space="preserve">Classe: HasIdentification</w:t>
      </w:r>
      <w:r>
        <w:t xml:space="preserve"> </w:t>
      </w:r>
      <w:bookmarkStart w:id="326" w:name="HasIdentification"/>
      <w:bookmarkEnd w:id="326"/>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27"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327"/>
    <w:bookmarkStart w:id="328"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328"/>
    <w:bookmarkEnd w:id="329"/>
    <w:bookmarkStart w:id="333" w:name="classe-hascreationmodificationdates"/>
    <w:p>
      <w:pPr>
        <w:pStyle w:val="berschrift3"/>
      </w:pPr>
      <w:r>
        <w:t xml:space="preserve">Classe: HasCreationModificationDates</w:t>
      </w:r>
      <w:r>
        <w:t xml:space="preserve"> </w:t>
      </w:r>
      <w:bookmarkStart w:id="330" w:name="HasCreationModificationDates"/>
      <w:bookmarkEnd w:id="330"/>
    </w:p>
    <w:p>
      <w:pPr>
        <w:pStyle w:val="FirstParagraph"/>
      </w:pPr>
      <w:r>
        <w:rPr>
          <w:i/>
          <w:iCs/>
        </w:rPr>
        <w:t xml:space="preserve">Une classe mixin qui fournit des slots pour modéliser les dates de création et de modification d’une entité.</w:t>
      </w:r>
    </w:p>
    <w:bookmarkStart w:id="331"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331"/>
    <w:bookmarkStart w:id="332"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332"/>
    <w:bookmarkEnd w:id="333"/>
    <w:bookmarkStart w:id="337" w:name="classe-iseventwithduration"/>
    <w:p>
      <w:pPr>
        <w:pStyle w:val="berschrift3"/>
      </w:pPr>
      <w:r>
        <w:t xml:space="preserve">Classe: IsEventWithDuration</w:t>
      </w:r>
      <w:r>
        <w:t xml:space="preserve"> </w:t>
      </w:r>
      <w:bookmarkStart w:id="334" w:name="IsEventWithDuration"/>
      <w:bookmarkEnd w:id="334"/>
    </w:p>
    <w:p>
      <w:pPr>
        <w:pStyle w:val="FirstParagraph"/>
      </w:pPr>
      <w:r>
        <w:rPr>
          <w:i/>
          <w:iCs/>
        </w:rPr>
        <w:t xml:space="preserve">Une classe mixin qui fournit des slots pour modéliser des événements ou occurrences avec une durée.</w:t>
      </w:r>
    </w:p>
    <w:bookmarkStart w:id="335"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335"/>
    <w:bookmarkStart w:id="336"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336"/>
    <w:p>
      <w:r>
        <w:br w:type="page"/>
      </w:r>
    </w:p>
    <w:bookmarkEnd w:id="337"/>
    <w:bookmarkEnd w:id="338"/>
    <w:bookmarkEnd w:id="339"/>
    <w:bookmarkStart w:id="340" w:name="droits-dauteur"/>
    <w:p>
      <w:pPr>
        <w:pStyle w:val="berschrift1"/>
      </w:pPr>
      <w:r>
        <w:t xml:space="preserve">Droits d’auteur</w:t>
      </w:r>
    </w:p>
    <w:p>
      <w:pPr>
        <w:pStyle w:val="FirstParagraph"/>
      </w:pPr>
      <w:r>
        <w:t xml:space="preserve">Quiconque élabore des normes eCH 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eCH pour une utilisation et un développement sans restriction dans le cadre des buts de l’association.</w:t>
      </w:r>
    </w:p>
    <w:p>
      <w:pPr>
        <w:pStyle w:val="Textkrper"/>
      </w:pPr>
      <w:r>
        <w:t xml:space="preserve">Les normes élaborées par les groupes de spécialistes peuvent, moyennant mention du détenteur/de la détentrice des droits d’auteur eCH respectifs, être utilisées, développées et déployées gratuitement et sans restriction.</w:t>
      </w:r>
    </w:p>
    <w:p>
      <w:pPr>
        <w:pStyle w:val="Textkrper"/>
      </w:pPr>
      <w:r>
        <w:t xml:space="preserve">Les normes eCH sont complètement documentées et libres de toute restriction relevant du droit des brevets ou de droits de licence. La documentation correspondante peut être obtenue gratuitement.</w:t>
      </w:r>
    </w:p>
    <w:p>
      <w:pPr>
        <w:pStyle w:val="Textkrper"/>
      </w:pPr>
      <w:r>
        <w:t xml:space="preserve">Les présentes dispositions s’appliquent exclusivement aux normes élaborées par eCH, non aux normes ou produits de tiers auxquels il est fait référence dans les normes eCH. Les normes incluront les références appropriées aux droits de tiers.</w:t>
      </w:r>
    </w:p>
    <w:p>
      <w:r>
        <w:br w:type="page"/>
      </w:r>
    </w:p>
    <w:bookmarkEnd w:id="340"/>
    <w:bookmarkStart w:id="350"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346"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34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342">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34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44">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45">
              <w:r>
                <w:rPr>
                  <w:rStyle w:val="Hyperlink"/>
                </w:rPr>
                <w:t xml:space="preserve">https://www.ech.ch/de/ech/ech-0297</w:t>
              </w:r>
            </w:hyperlink>
          </w:p>
        </w:tc>
      </w:tr>
    </w:tbl>
    <w:bookmarkEnd w:id="346"/>
    <w:bookmarkStart w:id="349"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34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48">
              <w:r>
                <w:rPr>
                  <w:rStyle w:val="Hyperlink"/>
                </w:rPr>
                <w:t xml:space="preserve">https://linkml.io</w:t>
              </w:r>
            </w:hyperlink>
          </w:p>
        </w:tc>
      </w:tr>
    </w:tbl>
    <w:bookmarkEnd w:id="349"/>
    <w:bookmarkEnd w:id="3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3" Target="https://ch.paf.link/schema/operations/AgendaItemTypeEnum" TargetMode="External" /><Relationship Type="http://schemas.openxmlformats.org/officeDocument/2006/relationships/hyperlink" Id="rId251" Target="https://ch.paf.link/schema/operations/AttendanceTypeEnum" TargetMode="External" /><Relationship Type="http://schemas.openxmlformats.org/officeDocument/2006/relationships/hyperlink" Id="rId219" Target="https://ch.paf.link/schema/operations/ElectionTypeEnum" TargetMode="External" /><Relationship Type="http://schemas.openxmlformats.org/officeDocument/2006/relationships/hyperlink" Id="rId204" Target="https://ch.paf.link/schema/operations/IndividualVoteTypeEnum" TargetMode="External" /><Relationship Type="http://schemas.openxmlformats.org/officeDocument/2006/relationships/hyperlink" Id="rId177" Target="https://ch.paf.link/schema/operations/MajorityTypeEnum" TargetMode="External" /><Relationship Type="http://schemas.openxmlformats.org/officeDocument/2006/relationships/hyperlink" Id="rId141"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16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7" Target="https://github.com/swiss/political-affairs-ech-group/issues/24" TargetMode="External" /><Relationship Type="http://schemas.openxmlformats.org/officeDocument/2006/relationships/hyperlink" Id="rId348" Target="https://linkml.io" TargetMode="External" /><Relationship Type="http://schemas.openxmlformats.org/officeDocument/2006/relationships/hyperlink" Id="rId347" Target="https://www.dublincore.org/specifications/dublin-core/dcmi-terms/" TargetMode="External" /><Relationship Type="http://schemas.openxmlformats.org/officeDocument/2006/relationships/hyperlink" Id="rId341" Target="https://www.ech.ch/de/ech/ech-0292" TargetMode="External" /><Relationship Type="http://schemas.openxmlformats.org/officeDocument/2006/relationships/hyperlink" Id="rId342" Target="https://www.ech.ch/de/ech/ech-0294" TargetMode="External" /><Relationship Type="http://schemas.openxmlformats.org/officeDocument/2006/relationships/hyperlink" Id="rId343" Target="https://www.ech.ch/de/ech/ech-0295" TargetMode="External" /><Relationship Type="http://schemas.openxmlformats.org/officeDocument/2006/relationships/hyperlink" Id="rId344" Target="https://www.ech.ch/de/ech/ech-0296" TargetMode="External" /><Relationship Type="http://schemas.openxmlformats.org/officeDocument/2006/relationships/hyperlink" Id="rId345" Target="https://www.ech.ch/de/ech/ech-0297" TargetMode="External" /><Relationship Type="http://schemas.openxmlformats.org/officeDocument/2006/relationships/hyperlink" Id="rId115" Target="ops:enum/agenda_item_type/group" TargetMode="External" /><Relationship Type="http://schemas.openxmlformats.org/officeDocument/2006/relationships/hyperlink" Id="rId114" Target="ops:enum/agenda_item_type/item" TargetMode="External" /><Relationship Type="http://schemas.openxmlformats.org/officeDocument/2006/relationships/hyperlink" Id="rId254" Target="ops:enum/attendance_type/present" TargetMode="External" /><Relationship Type="http://schemas.openxmlformats.org/officeDocument/2006/relationships/hyperlink" Id="rId252" Target="ops:enum/attendance_type/remote" TargetMode="External" /><Relationship Type="http://schemas.openxmlformats.org/officeDocument/2006/relationships/hyperlink" Id="rId253" Target="ops:enum/attendance_type/substitute" TargetMode="External" /><Relationship Type="http://schemas.openxmlformats.org/officeDocument/2006/relationships/hyperlink" Id="rId221" Target="ops:enum/election_type/open" TargetMode="External" /><Relationship Type="http://schemas.openxmlformats.org/officeDocument/2006/relationships/hyperlink" Id="rId220" Target="ops:enum/election_type/secret" TargetMode="External" /><Relationship Type="http://schemas.openxmlformats.org/officeDocument/2006/relationships/hyperlink" Id="rId222" Target="ops:enum/election_type/silent" TargetMode="External" /><Relationship Type="http://schemas.openxmlformats.org/officeDocument/2006/relationships/hyperlink" Id="rId207" Target="ops:enum/individual_vote_type/abstention" TargetMode="External" /><Relationship Type="http://schemas.openxmlformats.org/officeDocument/2006/relationships/hyperlink" Id="rId206" Target="ops:enum/individual_vote_type/no" TargetMode="External" /><Relationship Type="http://schemas.openxmlformats.org/officeDocument/2006/relationships/hyperlink" Id="rId208" Target="ops:enum/individual_vote_type/not_voted" TargetMode="External" /><Relationship Type="http://schemas.openxmlformats.org/officeDocument/2006/relationships/hyperlink" Id="rId210" Target="ops:enum/individual_vote_type/other" TargetMode="External" /><Relationship Type="http://schemas.openxmlformats.org/officeDocument/2006/relationships/hyperlink" Id="rId209" Target="ops:enum/individual_vote_type/tie_breaker" TargetMode="External" /><Relationship Type="http://schemas.openxmlformats.org/officeDocument/2006/relationships/hyperlink" Id="rId205" Target="ops:enum/individual_vote_type/yes" TargetMode="External" /><Relationship Type="http://schemas.openxmlformats.org/officeDocument/2006/relationships/hyperlink" Id="rId178" Target="ops:enum/majority_type/absolute" TargetMode="External" /><Relationship Type="http://schemas.openxmlformats.org/officeDocument/2006/relationships/hyperlink" Id="rId180" Target="ops:enum/majority_type/other" TargetMode="External" /><Relationship Type="http://schemas.openxmlformats.org/officeDocument/2006/relationships/hyperlink" Id="rId179" Target="ops:enum/majority_type/two_thirds" TargetMode="External" /><Relationship Type="http://schemas.openxmlformats.org/officeDocument/2006/relationships/hyperlink" Id="rId142" Target="ops:enum/resolution_type/accepted" TargetMode="External" /><Relationship Type="http://schemas.openxmlformats.org/officeDocument/2006/relationships/hyperlink" Id="rId145" Target="ops:enum/resolution_type/accepted_point_by_point" TargetMode="External" /><Relationship Type="http://schemas.openxmlformats.org/officeDocument/2006/relationships/hyperlink" Id="rId146" Target="ops:enum/resolution_type/accepted_with_postulate" TargetMode="External" /><Relationship Type="http://schemas.openxmlformats.org/officeDocument/2006/relationships/hyperlink" Id="rId148" Target="ops:enum/resolution_type/nearly_unanimous" TargetMode="External" /><Relationship Type="http://schemas.openxmlformats.org/officeDocument/2006/relationships/hyperlink" Id="rId144" Target="ops:enum/resolution_type/noted" TargetMode="External" /><Relationship Type="http://schemas.openxmlformats.org/officeDocument/2006/relationships/hyperlink" Id="rId147" Target="ops:enum/resolution_type/orally_settled" TargetMode="External" /><Relationship Type="http://schemas.openxmlformats.org/officeDocument/2006/relationships/hyperlink" Id="rId149" Target="ops:enum/resolution_type/other" TargetMode="External" /><Relationship Type="http://schemas.openxmlformats.org/officeDocument/2006/relationships/hyperlink" Id="rId143"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170" Target="ops:enum/voting_type/final_vote" TargetMode="External" /><Relationship Type="http://schemas.openxmlformats.org/officeDocument/2006/relationships/hyperlink" Id="rId173" Target="ops:enum/voting_type/other" TargetMode="External" /><Relationship Type="http://schemas.openxmlformats.org/officeDocument/2006/relationships/hyperlink" Id="rId169" Target="ops:enum/voting_type/preliminary_vote" TargetMode="External" /><Relationship Type="http://schemas.openxmlformats.org/officeDocument/2006/relationships/hyperlink" Id="rId172" Target="ops:enum/voting_type/secret_vote" TargetMode="External" /><Relationship Type="http://schemas.openxmlformats.org/officeDocument/2006/relationships/hyperlink" Id="rId17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2026-09-23T14:12:45Z</dcterms:created>
  <dcterms:modified xsi:type="dcterms:W3CDTF">2026-09-23T14:12:45Z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