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2ec73cd4289b02130d056bbdb77bd184add2f65"/>
    <w:p>
      <w:pPr>
        <w:pStyle w:val="berschrift4"/>
      </w:pPr>
      <w:r>
        <w:t xml:space="preserve">Example: Parliamentary group referencing the parliament it belongs to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3e67f4362f95b9a5f2a144f1da145a9bfa2c8b2"/>
    <w:p>
      <w:pPr>
        <w:pStyle w:val="berschrift4"/>
      </w:pPr>
      <w:r>
        <w:t xml:space="preserve">Example: Cantonal party as its own group at its federal level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Controlled vocabulary for the type of a group. It covers the councils and their organs, assemblies, committees and delegations, parties, parliamentary groups and electoral lists, the units of the administration, courts and oversight bodies, as well as organisations outside the state.</w:t>
      </w:r>
    </w:p>
    <w:p>
      <w:pPr>
        <w:pStyle w:val="Textkrper"/>
      </w:pPr>
      <w:r>
        <w:rPr>
          <w:i/>
          <w:iCs/>
        </w:rPr>
        <w:t xml:space="preserve">A</w:t>
      </w:r>
      <w:r>
        <w:rPr>
          <w:i/>
          <w:iCs/>
        </w:rPr>
        <w:t xml:space="preserve"> </w:t>
      </w:r>
      <w:r>
        <w:rPr>
          <w:rStyle w:val="VerbatimChar"/>
          <w:i/>
          <w:iCs/>
        </w:rPr>
        <w:t xml:space="preserve">group_type</w:t>
      </w:r>
      <w:r>
        <w:rPr>
          <w:i/>
          <w:iCs/>
        </w:rPr>
        <w:t xml:space="preserve"> </w:t>
      </w:r>
      <w:r>
        <w:rPr>
          <w:i/>
          <w:iCs/>
        </w:rPr>
        <w:t xml:space="preserve">must always be set. What counts is the political function, not the designation used locally; the latter is recorded in the label. Where no value fits,</w:t>
      </w:r>
      <w:r>
        <w:rPr>
          <w:i/>
          <w:iCs/>
        </w:rPr>
        <w:t xml:space="preserve"> </w:t>
      </w:r>
      <w:r>
        <w:rPr>
          <w:rStyle w:val="VerbatimChar"/>
          <w:i/>
          <w:iCs/>
        </w:rPr>
        <w:t xml:space="preserve">other</w:t>
      </w:r>
      <w:r>
        <w:rPr>
          <w:i/>
          <w:iCs/>
        </w:rPr>
        <w:t xml:space="preserve"> </w:t>
      </w:r>
      <w:r>
        <w:rPr>
          <w:i/>
          <w:iCs/>
        </w:rPr>
        <w:t xml:space="preserve">is used.</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62">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52"/>
    <w:bookmarkStart w:id="256"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7"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61">
        <w:r>
          <w:rPr>
            <w:rStyle w:val="Hyperlink"/>
          </w:rPr>
          <w:t xml:space="preserve">search API of geo.admin.ch</w:t>
        </w:r>
      </w:hyperlink>
      <w:r>
        <w:t xml:space="preserve"> </w:t>
      </w:r>
      <w:r>
        <w:t xml:space="preserve">or match against the</w:t>
      </w:r>
      <w:r>
        <w:t xml:space="preserve"> </w:t>
      </w:r>
      <w:hyperlink ns1:id="rId262">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63"/>
    <w:bookmarkStart w:id="270" w:name="class-address"/>
    <w:p>
      <w:pPr>
        <w:pStyle w:val="berschrift2"/>
      </w:pPr>
      <w:r>
        <w:t xml:space="preserve">Class: Address</w:t>
      </w:r>
    </w:p>
    <w:p>
      <w:pPr>
        <w:pStyle w:val="FirstParagraph"/>
      </w:pPr>
      <w:r>
        <w:rPr>
          <w:i/>
          <w:iCs/>
        </w:rPr>
        <w:t xml:space="preserve">An address with a type (e.g., private address, business address) and a value.</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4"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amples-4"/>
    <w:p>
      <w:pPr>
        <w:pStyle w:val="berschrift3"/>
      </w:pPr>
      <w:r>
        <w:t xml:space="preserve">Examples</w:t>
      </w:r>
    </w:p>
    <w:bookmarkStart w:id="267"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71">
        <w:r>
          <w:rPr>
            <w:rStyle w:val="Hyperlink"/>
          </w:rPr>
          <w:t xml:space="preserve">act:AddressTypeEnum</w:t>
        </w:r>
      </w:hyperlink>
    </w:p>
    <w:bookmarkStart w:id="272"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72"/>
    <w:bookmarkEnd w:id="273"/>
    <w:bookmarkStart w:id="276"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4"/>
    <w:bookmarkStart w:id="275"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83"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82">
              <w:r>
                <w:rPr>
                  <w:rStyle w:val="Hyperlink"/>
                </w:rPr>
                <w:t xml:space="preserve">https://www.ech.ch/de/ech/ech-0297</w:t>
              </w:r>
            </w:hyperlink>
          </w:p>
        </w:tc>
      </w:tr>
    </w:tbl>
    <w:bookmarkEnd w:id="283"/>
    <w:bookmarkStart w:id="285"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84">
              <w:r>
                <w:rPr>
                  <w:rStyle w:val="Hyperlink"/>
                </w:rPr>
                <w:t xml:space="preserve">https://www.ech.ch/de/ech/ech-0108/6.0.0</w:t>
              </w:r>
            </w:hyperlink>
          </w:p>
        </w:tc>
      </w:tr>
    </w:tbl>
    <w:bookmarkEnd w:id="285"/>
    <w:bookmarkStart w:id="291"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2026-08-08T23:04:19Z</dcterms:created>
  <dcterms:modified xsi:type="dcterms:W3CDTF">2026-08-08T23:04:19Z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